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9136" w14:textId="46F0D45F" w:rsidR="00C606E5" w:rsidRDefault="007204BF" w:rsidP="00C606E5">
      <w:pPr>
        <w:shd w:val="clear" w:color="auto" w:fill="DBE5F1" w:themeFill="accent1" w:themeFillTint="33"/>
        <w:ind w:left="-284" w:right="-2015" w:firstLine="142"/>
        <w:rPr>
          <w:b/>
          <w:bCs/>
        </w:rPr>
      </w:pPr>
      <w:r>
        <w:rPr>
          <w:b/>
          <w:bCs/>
        </w:rPr>
        <w:t xml:space="preserve"> </w:t>
      </w:r>
      <w:r w:rsidR="00C606E5">
        <w:rPr>
          <w:b/>
          <w:bCs/>
        </w:rPr>
        <w:t>Detailed assessment of Solvency II Amendments</w:t>
      </w:r>
      <w:r w:rsidR="00FF30EE">
        <w:rPr>
          <w:b/>
          <w:bCs/>
        </w:rPr>
        <w:t xml:space="preserve"> 41</w:t>
      </w:r>
      <w:r w:rsidR="007056BF">
        <w:rPr>
          <w:b/>
          <w:bCs/>
        </w:rPr>
        <w:t>3-596</w:t>
      </w:r>
    </w:p>
    <w:p w14:paraId="4A249AA2" w14:textId="77777777" w:rsidR="00C606E5" w:rsidRPr="00614849" w:rsidRDefault="00C606E5" w:rsidP="00C606E5">
      <w:pPr>
        <w:autoSpaceDE w:val="0"/>
        <w:autoSpaceDN w:val="0"/>
        <w:adjustRightInd w:val="0"/>
        <w:rPr>
          <w:szCs w:val="17"/>
        </w:rPr>
      </w:pPr>
    </w:p>
    <w:tbl>
      <w:tblPr>
        <w:tblStyle w:val="Mriekatabuky"/>
        <w:tblW w:w="14655" w:type="dxa"/>
        <w:tblInd w:w="-176" w:type="dxa"/>
        <w:tblLayout w:type="fixed"/>
        <w:tblLook w:val="04A0" w:firstRow="1" w:lastRow="0" w:firstColumn="1" w:lastColumn="0" w:noHBand="0" w:noVBand="1"/>
      </w:tblPr>
      <w:tblGrid>
        <w:gridCol w:w="696"/>
        <w:gridCol w:w="1931"/>
        <w:gridCol w:w="6588"/>
        <w:gridCol w:w="1842"/>
        <w:gridCol w:w="2127"/>
        <w:gridCol w:w="1471"/>
      </w:tblGrid>
      <w:tr w:rsidR="000958A5" w:rsidRPr="00586687" w14:paraId="4C7983AA" w14:textId="77777777" w:rsidTr="00A2044B">
        <w:trPr>
          <w:trHeight w:val="499"/>
        </w:trPr>
        <w:tc>
          <w:tcPr>
            <w:tcW w:w="696" w:type="dxa"/>
            <w:shd w:val="clear" w:color="auto" w:fill="595959" w:themeFill="text1" w:themeFillTint="A6"/>
            <w:vAlign w:val="center"/>
          </w:tcPr>
          <w:p w14:paraId="794D26C5" w14:textId="77777777" w:rsidR="00C606E5" w:rsidRPr="00586687" w:rsidRDefault="00C606E5" w:rsidP="00143694">
            <w:pPr>
              <w:jc w:val="center"/>
              <w:rPr>
                <w:b/>
                <w:color w:val="FFFFFF" w:themeColor="background1"/>
                <w:szCs w:val="17"/>
              </w:rPr>
            </w:pPr>
            <w:r w:rsidRPr="00586687">
              <w:rPr>
                <w:b/>
                <w:color w:val="FFFFFF" w:themeColor="background1"/>
                <w:szCs w:val="17"/>
              </w:rPr>
              <w:t>AM number</w:t>
            </w:r>
          </w:p>
        </w:tc>
        <w:tc>
          <w:tcPr>
            <w:tcW w:w="1931" w:type="dxa"/>
            <w:shd w:val="clear" w:color="auto" w:fill="595959" w:themeFill="text1" w:themeFillTint="A6"/>
            <w:vAlign w:val="center"/>
          </w:tcPr>
          <w:p w14:paraId="1FD53F51" w14:textId="77777777" w:rsidR="00C606E5" w:rsidRPr="00586687" w:rsidRDefault="00C606E5" w:rsidP="00143694">
            <w:pPr>
              <w:jc w:val="center"/>
              <w:rPr>
                <w:b/>
                <w:color w:val="FFFFFF" w:themeColor="background1"/>
                <w:szCs w:val="17"/>
              </w:rPr>
            </w:pPr>
            <w:r w:rsidRPr="00586687">
              <w:rPr>
                <w:b/>
                <w:color w:val="FFFFFF" w:themeColor="background1"/>
                <w:szCs w:val="17"/>
              </w:rPr>
              <w:t>Recital/Article Number</w:t>
            </w:r>
          </w:p>
        </w:tc>
        <w:tc>
          <w:tcPr>
            <w:tcW w:w="6588" w:type="dxa"/>
            <w:shd w:val="clear" w:color="auto" w:fill="595959" w:themeFill="text1" w:themeFillTint="A6"/>
            <w:vAlign w:val="center"/>
          </w:tcPr>
          <w:p w14:paraId="52EAC1B1" w14:textId="77777777" w:rsidR="00C606E5" w:rsidRPr="00586687" w:rsidRDefault="00C606E5" w:rsidP="00143694">
            <w:pPr>
              <w:jc w:val="center"/>
              <w:rPr>
                <w:b/>
                <w:color w:val="FFFFFF" w:themeColor="background1"/>
                <w:szCs w:val="17"/>
              </w:rPr>
            </w:pPr>
            <w:r w:rsidRPr="00586687">
              <w:rPr>
                <w:b/>
                <w:color w:val="FFFFFF" w:themeColor="background1"/>
                <w:szCs w:val="17"/>
              </w:rPr>
              <w:t>Amendment description</w:t>
            </w:r>
          </w:p>
        </w:tc>
        <w:tc>
          <w:tcPr>
            <w:tcW w:w="1842" w:type="dxa"/>
            <w:shd w:val="clear" w:color="auto" w:fill="595959" w:themeFill="text1" w:themeFillTint="A6"/>
            <w:vAlign w:val="center"/>
          </w:tcPr>
          <w:p w14:paraId="13159725" w14:textId="77777777" w:rsidR="00C606E5" w:rsidRPr="00586687" w:rsidRDefault="00C606E5" w:rsidP="00143694">
            <w:pPr>
              <w:jc w:val="center"/>
              <w:rPr>
                <w:b/>
                <w:color w:val="FFFFFF" w:themeColor="background1"/>
                <w:szCs w:val="17"/>
              </w:rPr>
            </w:pPr>
            <w:r w:rsidRPr="00586687">
              <w:rPr>
                <w:b/>
                <w:color w:val="FFFFFF" w:themeColor="background1"/>
                <w:szCs w:val="17"/>
              </w:rPr>
              <w:t>Proposed by</w:t>
            </w:r>
          </w:p>
        </w:tc>
        <w:tc>
          <w:tcPr>
            <w:tcW w:w="2127" w:type="dxa"/>
            <w:shd w:val="clear" w:color="auto" w:fill="595959" w:themeFill="text1" w:themeFillTint="A6"/>
            <w:vAlign w:val="center"/>
          </w:tcPr>
          <w:p w14:paraId="3E5412E0" w14:textId="77777777" w:rsidR="00C606E5" w:rsidRPr="00586687" w:rsidRDefault="00C606E5" w:rsidP="00143694">
            <w:pPr>
              <w:jc w:val="center"/>
              <w:rPr>
                <w:b/>
                <w:color w:val="FFFFFF" w:themeColor="background1"/>
                <w:szCs w:val="17"/>
              </w:rPr>
            </w:pPr>
            <w:r w:rsidRPr="00586687">
              <w:rPr>
                <w:b/>
                <w:color w:val="FFFFFF" w:themeColor="background1"/>
                <w:szCs w:val="17"/>
              </w:rPr>
              <w:t>Area</w:t>
            </w:r>
          </w:p>
        </w:tc>
        <w:tc>
          <w:tcPr>
            <w:tcW w:w="1471" w:type="dxa"/>
            <w:shd w:val="clear" w:color="auto" w:fill="595959" w:themeFill="text1" w:themeFillTint="A6"/>
            <w:vAlign w:val="center"/>
          </w:tcPr>
          <w:p w14:paraId="3A64EA33" w14:textId="77777777" w:rsidR="00C606E5" w:rsidRPr="00586687" w:rsidRDefault="00C606E5" w:rsidP="00143694">
            <w:pPr>
              <w:jc w:val="center"/>
              <w:rPr>
                <w:b/>
                <w:color w:val="FFFFFF" w:themeColor="background1"/>
                <w:szCs w:val="17"/>
              </w:rPr>
            </w:pPr>
            <w:r w:rsidRPr="00586687">
              <w:rPr>
                <w:b/>
                <w:color w:val="FFFFFF" w:themeColor="background1"/>
                <w:szCs w:val="17"/>
              </w:rPr>
              <w:t>Assessment</w:t>
            </w:r>
          </w:p>
        </w:tc>
      </w:tr>
      <w:tr w:rsidR="00C24A2E" w:rsidRPr="00586687" w14:paraId="5A83CBFA" w14:textId="77777777" w:rsidTr="00A2044B">
        <w:trPr>
          <w:trHeight w:val="494"/>
        </w:trPr>
        <w:tc>
          <w:tcPr>
            <w:tcW w:w="696" w:type="dxa"/>
            <w:shd w:val="clear" w:color="auto" w:fill="auto"/>
            <w:vAlign w:val="center"/>
          </w:tcPr>
          <w:p w14:paraId="045C8F6F" w14:textId="52B7DF0A" w:rsidR="00C24A2E" w:rsidRPr="00586687" w:rsidRDefault="000C6E8E" w:rsidP="00143694">
            <w:pPr>
              <w:jc w:val="center"/>
              <w:rPr>
                <w:bCs/>
                <w:szCs w:val="17"/>
              </w:rPr>
            </w:pPr>
            <w:r w:rsidRPr="00586687">
              <w:rPr>
                <w:bCs/>
                <w:szCs w:val="17"/>
              </w:rPr>
              <w:t>413</w:t>
            </w:r>
            <w:r w:rsidR="00063A83" w:rsidRPr="00586687">
              <w:rPr>
                <w:bCs/>
                <w:szCs w:val="17"/>
              </w:rPr>
              <w:t>-419</w:t>
            </w:r>
          </w:p>
        </w:tc>
        <w:tc>
          <w:tcPr>
            <w:tcW w:w="1931" w:type="dxa"/>
            <w:shd w:val="clear" w:color="auto" w:fill="auto"/>
            <w:vAlign w:val="center"/>
          </w:tcPr>
          <w:p w14:paraId="6DF73730" w14:textId="5539429E" w:rsidR="00C24A2E" w:rsidRPr="00412D45" w:rsidRDefault="00A81FED" w:rsidP="00143694">
            <w:pPr>
              <w:jc w:val="center"/>
              <w:rPr>
                <w:bCs/>
                <w:szCs w:val="17"/>
                <w:lang w:val="fr-FR"/>
              </w:rPr>
            </w:pPr>
            <w:r w:rsidRPr="00412D45">
              <w:rPr>
                <w:bCs/>
                <w:szCs w:val="17"/>
                <w:lang w:val="fr-FR"/>
              </w:rPr>
              <w:t>Article 35a – paragraph 1 – subparagraph 2</w:t>
            </w:r>
            <w:r w:rsidR="00063A83" w:rsidRPr="00412D45">
              <w:rPr>
                <w:bCs/>
                <w:szCs w:val="17"/>
                <w:lang w:val="fr-FR"/>
              </w:rPr>
              <w:t>/ subparagraph 3</w:t>
            </w:r>
          </w:p>
        </w:tc>
        <w:tc>
          <w:tcPr>
            <w:tcW w:w="6588" w:type="dxa"/>
            <w:shd w:val="clear" w:color="auto" w:fill="auto"/>
          </w:tcPr>
          <w:p w14:paraId="400D3089" w14:textId="24D50177" w:rsidR="00C24A2E" w:rsidRPr="00586687" w:rsidRDefault="0073027E" w:rsidP="00143694">
            <w:pPr>
              <w:jc w:val="left"/>
              <w:rPr>
                <w:bCs/>
                <w:szCs w:val="17"/>
              </w:rPr>
            </w:pPr>
            <w:r w:rsidRPr="00586687">
              <w:rPr>
                <w:bCs/>
                <w:szCs w:val="17"/>
              </w:rPr>
              <w:t xml:space="preserve">Increased from 20% to 30% </w:t>
            </w:r>
            <w:r w:rsidR="00AC46C7" w:rsidRPr="00586687">
              <w:rPr>
                <w:bCs/>
                <w:szCs w:val="17"/>
              </w:rPr>
              <w:t xml:space="preserve">the scope of undertakings that </w:t>
            </w:r>
            <w:r w:rsidR="004B3525" w:rsidRPr="00586687">
              <w:rPr>
                <w:bCs/>
                <w:szCs w:val="17"/>
              </w:rPr>
              <w:t>(</w:t>
            </w:r>
            <w:r w:rsidR="00565A0C" w:rsidRPr="00586687">
              <w:rPr>
                <w:bCs/>
                <w:szCs w:val="17"/>
              </w:rPr>
              <w:t xml:space="preserve">was </w:t>
            </w:r>
            <w:r w:rsidR="00847F87" w:rsidRPr="00586687">
              <w:rPr>
                <w:bCs/>
                <w:szCs w:val="17"/>
              </w:rPr>
              <w:t xml:space="preserve">specified </w:t>
            </w:r>
            <w:r w:rsidR="00565A0C" w:rsidRPr="00586687">
              <w:rPr>
                <w:bCs/>
                <w:szCs w:val="17"/>
              </w:rPr>
              <w:t xml:space="preserve">“collectively”) </w:t>
            </w:r>
            <w:r w:rsidR="00063EC5" w:rsidRPr="00586687">
              <w:rPr>
                <w:bCs/>
                <w:szCs w:val="17"/>
              </w:rPr>
              <w:t>should be granted the limitation to supervisory reporting</w:t>
            </w:r>
            <w:r w:rsidR="00063A83" w:rsidRPr="00586687">
              <w:rPr>
                <w:bCs/>
                <w:szCs w:val="17"/>
              </w:rPr>
              <w:t>/also in case of item-to-item basis exemption.</w:t>
            </w:r>
          </w:p>
        </w:tc>
        <w:tc>
          <w:tcPr>
            <w:tcW w:w="1842" w:type="dxa"/>
            <w:shd w:val="clear" w:color="auto" w:fill="auto"/>
            <w:vAlign w:val="center"/>
          </w:tcPr>
          <w:p w14:paraId="550BDA99" w14:textId="468D2FE7" w:rsidR="00C24A2E" w:rsidRPr="00412D45" w:rsidRDefault="00BE108C" w:rsidP="00143694">
            <w:pPr>
              <w:jc w:val="center"/>
              <w:rPr>
                <w:szCs w:val="17"/>
                <w:lang w:val="es-ES"/>
              </w:rPr>
            </w:pPr>
            <w:r w:rsidRPr="00412D45">
              <w:rPr>
                <w:szCs w:val="17"/>
                <w:lang w:val="es-ES"/>
              </w:rPr>
              <w:t>Marco Zanni, Valentino Grant, Antonio Maria Rinaldi</w:t>
            </w:r>
          </w:p>
        </w:tc>
        <w:tc>
          <w:tcPr>
            <w:tcW w:w="2127" w:type="dxa"/>
            <w:shd w:val="clear" w:color="auto" w:fill="auto"/>
            <w:vAlign w:val="center"/>
          </w:tcPr>
          <w:p w14:paraId="42CE0FD3" w14:textId="0E61D168" w:rsidR="00C24A2E" w:rsidRPr="00586687" w:rsidRDefault="00490288" w:rsidP="00143694">
            <w:pPr>
              <w:jc w:val="center"/>
              <w:rPr>
                <w:bCs/>
                <w:szCs w:val="17"/>
              </w:rPr>
            </w:pPr>
            <w:r w:rsidRPr="00586687">
              <w:rPr>
                <w:bCs/>
                <w:szCs w:val="17"/>
              </w:rPr>
              <w:t>Reporting/P</w:t>
            </w:r>
            <w:r w:rsidR="00AB20A0" w:rsidRPr="00586687">
              <w:rPr>
                <w:bCs/>
                <w:szCs w:val="17"/>
              </w:rPr>
              <w:t>roportionality</w:t>
            </w:r>
          </w:p>
        </w:tc>
        <w:tc>
          <w:tcPr>
            <w:tcW w:w="1471" w:type="dxa"/>
            <w:shd w:val="clear" w:color="auto" w:fill="auto"/>
            <w:vAlign w:val="center"/>
          </w:tcPr>
          <w:p w14:paraId="7641EF3C" w14:textId="6E8EA867" w:rsidR="00C24A2E" w:rsidRPr="00586687" w:rsidRDefault="00FB7581" w:rsidP="00143694">
            <w:pPr>
              <w:jc w:val="center"/>
              <w:rPr>
                <w:b/>
                <w:szCs w:val="17"/>
              </w:rPr>
            </w:pPr>
            <w:r w:rsidRPr="00586687">
              <w:rPr>
                <w:b/>
                <w:color w:val="00B050"/>
                <w:szCs w:val="17"/>
              </w:rPr>
              <w:t>Positive</w:t>
            </w:r>
          </w:p>
        </w:tc>
      </w:tr>
      <w:tr w:rsidR="00D3247E" w:rsidRPr="00586687" w14:paraId="6C7035C2" w14:textId="77777777" w:rsidTr="00A2044B">
        <w:trPr>
          <w:trHeight w:val="494"/>
        </w:trPr>
        <w:tc>
          <w:tcPr>
            <w:tcW w:w="696" w:type="dxa"/>
            <w:shd w:val="clear" w:color="auto" w:fill="auto"/>
            <w:vAlign w:val="center"/>
          </w:tcPr>
          <w:p w14:paraId="08A8218A" w14:textId="661D6C76" w:rsidR="00D3247E" w:rsidRPr="00586687" w:rsidRDefault="00BC55F4" w:rsidP="00143694">
            <w:pPr>
              <w:jc w:val="center"/>
              <w:rPr>
                <w:bCs/>
                <w:szCs w:val="17"/>
              </w:rPr>
            </w:pPr>
            <w:r w:rsidRPr="00586687">
              <w:rPr>
                <w:bCs/>
                <w:szCs w:val="17"/>
              </w:rPr>
              <w:t>414</w:t>
            </w:r>
            <w:r w:rsidR="002148D8" w:rsidRPr="00586687">
              <w:rPr>
                <w:bCs/>
                <w:szCs w:val="17"/>
              </w:rPr>
              <w:t>-420</w:t>
            </w:r>
          </w:p>
        </w:tc>
        <w:tc>
          <w:tcPr>
            <w:tcW w:w="1931" w:type="dxa"/>
            <w:shd w:val="clear" w:color="auto" w:fill="auto"/>
            <w:vAlign w:val="center"/>
          </w:tcPr>
          <w:p w14:paraId="351B5A57" w14:textId="3DA14ECE" w:rsidR="00D3247E" w:rsidRPr="00412D45" w:rsidRDefault="00E5489A" w:rsidP="00143694">
            <w:pPr>
              <w:jc w:val="center"/>
              <w:rPr>
                <w:bCs/>
                <w:szCs w:val="17"/>
                <w:lang w:val="fr-FR"/>
              </w:rPr>
            </w:pPr>
            <w:r w:rsidRPr="00412D45">
              <w:rPr>
                <w:bCs/>
                <w:szCs w:val="17"/>
                <w:lang w:val="fr-FR"/>
              </w:rPr>
              <w:t>Article 35a – paragraph 1 – subparagraph 2</w:t>
            </w:r>
            <w:r w:rsidR="00EB6406" w:rsidRPr="00412D45">
              <w:rPr>
                <w:bCs/>
                <w:szCs w:val="17"/>
                <w:lang w:val="fr-FR"/>
              </w:rPr>
              <w:t>/ subparagraph 3</w:t>
            </w:r>
          </w:p>
        </w:tc>
        <w:tc>
          <w:tcPr>
            <w:tcW w:w="6588" w:type="dxa"/>
            <w:shd w:val="clear" w:color="auto" w:fill="auto"/>
          </w:tcPr>
          <w:p w14:paraId="75657FB6" w14:textId="6C60B428" w:rsidR="00D3247E" w:rsidRPr="00586687" w:rsidRDefault="00934404" w:rsidP="00143694">
            <w:pPr>
              <w:jc w:val="left"/>
              <w:rPr>
                <w:bCs/>
                <w:szCs w:val="17"/>
              </w:rPr>
            </w:pPr>
            <w:r w:rsidRPr="00586687">
              <w:rPr>
                <w:bCs/>
                <w:szCs w:val="17"/>
              </w:rPr>
              <w:t>Added</w:t>
            </w:r>
            <w:r w:rsidR="00873CF0" w:rsidRPr="00586687">
              <w:rPr>
                <w:bCs/>
                <w:szCs w:val="17"/>
              </w:rPr>
              <w:t xml:space="preserve"> “collectively” without changing the scope</w:t>
            </w:r>
            <w:r w:rsidR="00EB6406" w:rsidRPr="00586687">
              <w:rPr>
                <w:bCs/>
                <w:szCs w:val="17"/>
              </w:rPr>
              <w:t>/also in case of item-</w:t>
            </w:r>
            <w:r w:rsidR="00500433" w:rsidRPr="00586687">
              <w:rPr>
                <w:bCs/>
                <w:szCs w:val="17"/>
              </w:rPr>
              <w:t>by</w:t>
            </w:r>
            <w:r w:rsidR="00EB6406" w:rsidRPr="00586687">
              <w:rPr>
                <w:bCs/>
                <w:szCs w:val="17"/>
              </w:rPr>
              <w:t>-item exemption.</w:t>
            </w:r>
          </w:p>
        </w:tc>
        <w:tc>
          <w:tcPr>
            <w:tcW w:w="1842" w:type="dxa"/>
            <w:shd w:val="clear" w:color="auto" w:fill="auto"/>
            <w:vAlign w:val="center"/>
          </w:tcPr>
          <w:p w14:paraId="51E16D97" w14:textId="08C14068" w:rsidR="00D3247E" w:rsidRPr="00586687" w:rsidRDefault="002D26D1" w:rsidP="00143694">
            <w:pPr>
              <w:jc w:val="center"/>
              <w:rPr>
                <w:bCs/>
                <w:szCs w:val="17"/>
              </w:rPr>
            </w:pPr>
            <w:proofErr w:type="spellStart"/>
            <w:r w:rsidRPr="00586687">
              <w:rPr>
                <w:bCs/>
                <w:szCs w:val="17"/>
              </w:rPr>
              <w:t>Eero</w:t>
            </w:r>
            <w:proofErr w:type="spellEnd"/>
            <w:r w:rsidRPr="00586687">
              <w:rPr>
                <w:bCs/>
                <w:szCs w:val="17"/>
              </w:rPr>
              <w:t xml:space="preserve"> </w:t>
            </w:r>
            <w:proofErr w:type="spellStart"/>
            <w:r w:rsidRPr="00586687">
              <w:rPr>
                <w:bCs/>
                <w:szCs w:val="17"/>
              </w:rPr>
              <w:t>Heinäluoma</w:t>
            </w:r>
            <w:proofErr w:type="spellEnd"/>
            <w:r w:rsidRPr="00586687">
              <w:rPr>
                <w:bCs/>
                <w:szCs w:val="17"/>
              </w:rPr>
              <w:t xml:space="preserve">, Aurore </w:t>
            </w:r>
            <w:proofErr w:type="spellStart"/>
            <w:r w:rsidRPr="00586687">
              <w:rPr>
                <w:bCs/>
                <w:szCs w:val="17"/>
              </w:rPr>
              <w:t>Lalucq</w:t>
            </w:r>
            <w:proofErr w:type="spellEnd"/>
          </w:p>
        </w:tc>
        <w:tc>
          <w:tcPr>
            <w:tcW w:w="2127" w:type="dxa"/>
            <w:shd w:val="clear" w:color="auto" w:fill="auto"/>
            <w:vAlign w:val="center"/>
          </w:tcPr>
          <w:p w14:paraId="50361917" w14:textId="1B9BD6F1" w:rsidR="00D3247E" w:rsidRPr="00586687" w:rsidRDefault="00A46E42" w:rsidP="00143694">
            <w:pPr>
              <w:jc w:val="center"/>
              <w:rPr>
                <w:bCs/>
                <w:szCs w:val="17"/>
              </w:rPr>
            </w:pPr>
            <w:r w:rsidRPr="00586687">
              <w:rPr>
                <w:bCs/>
                <w:szCs w:val="17"/>
              </w:rPr>
              <w:t>Reporting/Proportionality</w:t>
            </w:r>
          </w:p>
        </w:tc>
        <w:tc>
          <w:tcPr>
            <w:tcW w:w="1471" w:type="dxa"/>
            <w:shd w:val="clear" w:color="auto" w:fill="auto"/>
            <w:vAlign w:val="center"/>
          </w:tcPr>
          <w:p w14:paraId="466D5C06" w14:textId="05CB2651" w:rsidR="00D3247E" w:rsidRPr="00586687" w:rsidRDefault="0035625B" w:rsidP="00143694">
            <w:pPr>
              <w:jc w:val="center"/>
              <w:rPr>
                <w:bCs/>
                <w:szCs w:val="17"/>
              </w:rPr>
            </w:pPr>
            <w:r w:rsidRPr="00586687">
              <w:rPr>
                <w:b/>
                <w:color w:val="808080" w:themeColor="background1" w:themeShade="80"/>
                <w:szCs w:val="17"/>
              </w:rPr>
              <w:t>Neutral</w:t>
            </w:r>
          </w:p>
        </w:tc>
      </w:tr>
      <w:tr w:rsidR="00D3247E" w:rsidRPr="00586687" w14:paraId="1423305C" w14:textId="77777777" w:rsidTr="00A2044B">
        <w:trPr>
          <w:trHeight w:val="494"/>
        </w:trPr>
        <w:tc>
          <w:tcPr>
            <w:tcW w:w="696" w:type="dxa"/>
            <w:shd w:val="clear" w:color="auto" w:fill="auto"/>
            <w:vAlign w:val="center"/>
          </w:tcPr>
          <w:p w14:paraId="4A2F24D2" w14:textId="2216E83E" w:rsidR="00D3247E" w:rsidRPr="00586687" w:rsidRDefault="009676FC" w:rsidP="00143694">
            <w:pPr>
              <w:jc w:val="center"/>
              <w:rPr>
                <w:bCs/>
                <w:szCs w:val="17"/>
              </w:rPr>
            </w:pPr>
            <w:r w:rsidRPr="00586687">
              <w:rPr>
                <w:bCs/>
                <w:szCs w:val="17"/>
              </w:rPr>
              <w:t>415</w:t>
            </w:r>
            <w:r w:rsidR="00C1467A" w:rsidRPr="00586687">
              <w:rPr>
                <w:bCs/>
                <w:szCs w:val="17"/>
              </w:rPr>
              <w:t>-421</w:t>
            </w:r>
          </w:p>
        </w:tc>
        <w:tc>
          <w:tcPr>
            <w:tcW w:w="1931" w:type="dxa"/>
            <w:shd w:val="clear" w:color="auto" w:fill="auto"/>
            <w:vAlign w:val="center"/>
          </w:tcPr>
          <w:p w14:paraId="0DA45D4A" w14:textId="0346B433" w:rsidR="00D3247E" w:rsidRPr="00412D45" w:rsidRDefault="009676FC" w:rsidP="00143694">
            <w:pPr>
              <w:jc w:val="center"/>
              <w:rPr>
                <w:bCs/>
                <w:szCs w:val="17"/>
                <w:lang w:val="fr-FR"/>
              </w:rPr>
            </w:pPr>
            <w:r w:rsidRPr="00412D45">
              <w:rPr>
                <w:bCs/>
                <w:szCs w:val="17"/>
                <w:lang w:val="fr-FR"/>
              </w:rPr>
              <w:t>Article 35a – paragraph 1 – subparagraph 2</w:t>
            </w:r>
            <w:r w:rsidR="0015298E" w:rsidRPr="00412D45">
              <w:rPr>
                <w:bCs/>
                <w:szCs w:val="17"/>
                <w:lang w:val="fr-FR"/>
              </w:rPr>
              <w:t>/ subparagraph 3</w:t>
            </w:r>
          </w:p>
        </w:tc>
        <w:tc>
          <w:tcPr>
            <w:tcW w:w="6588" w:type="dxa"/>
            <w:shd w:val="clear" w:color="auto" w:fill="auto"/>
          </w:tcPr>
          <w:p w14:paraId="759BA0EB" w14:textId="6C749225" w:rsidR="00D3247E" w:rsidRPr="00586687" w:rsidRDefault="009274B5" w:rsidP="00143694">
            <w:pPr>
              <w:jc w:val="left"/>
              <w:rPr>
                <w:bCs/>
                <w:szCs w:val="17"/>
              </w:rPr>
            </w:pPr>
            <w:r w:rsidRPr="00586687">
              <w:rPr>
                <w:bCs/>
                <w:szCs w:val="17"/>
              </w:rPr>
              <w:t xml:space="preserve">Reduced the scope from 20% to </w:t>
            </w:r>
            <w:r w:rsidR="00764292" w:rsidRPr="00586687">
              <w:rPr>
                <w:bCs/>
                <w:szCs w:val="17"/>
              </w:rPr>
              <w:t>10%</w:t>
            </w:r>
            <w:r w:rsidR="00C1467A" w:rsidRPr="00586687">
              <w:rPr>
                <w:bCs/>
                <w:szCs w:val="17"/>
              </w:rPr>
              <w:t>/ also in case of item-</w:t>
            </w:r>
            <w:r w:rsidR="00F70FFE" w:rsidRPr="00586687">
              <w:rPr>
                <w:bCs/>
                <w:szCs w:val="17"/>
              </w:rPr>
              <w:t>by</w:t>
            </w:r>
            <w:r w:rsidR="00C1467A" w:rsidRPr="00586687">
              <w:rPr>
                <w:bCs/>
                <w:szCs w:val="17"/>
              </w:rPr>
              <w:t>-item exemption.</w:t>
            </w:r>
          </w:p>
        </w:tc>
        <w:tc>
          <w:tcPr>
            <w:tcW w:w="1842" w:type="dxa"/>
            <w:shd w:val="clear" w:color="auto" w:fill="auto"/>
            <w:vAlign w:val="center"/>
          </w:tcPr>
          <w:p w14:paraId="6E794AAF" w14:textId="507F818B" w:rsidR="00D3247E" w:rsidRPr="00586687" w:rsidRDefault="00A46E42" w:rsidP="00143694">
            <w:pPr>
              <w:jc w:val="center"/>
              <w:rPr>
                <w:bCs/>
                <w:szCs w:val="17"/>
              </w:rPr>
            </w:pPr>
            <w:proofErr w:type="spellStart"/>
            <w:r w:rsidRPr="00586687">
              <w:rPr>
                <w:bCs/>
                <w:szCs w:val="17"/>
              </w:rPr>
              <w:t>Henrike</w:t>
            </w:r>
            <w:proofErr w:type="spellEnd"/>
            <w:r w:rsidRPr="00586687">
              <w:rPr>
                <w:bCs/>
                <w:szCs w:val="17"/>
              </w:rPr>
              <w:t xml:space="preserve"> Hahn</w:t>
            </w:r>
          </w:p>
        </w:tc>
        <w:tc>
          <w:tcPr>
            <w:tcW w:w="2127" w:type="dxa"/>
            <w:shd w:val="clear" w:color="auto" w:fill="auto"/>
            <w:vAlign w:val="center"/>
          </w:tcPr>
          <w:p w14:paraId="3E330A65" w14:textId="5C87198E" w:rsidR="00D3247E" w:rsidRPr="00586687" w:rsidRDefault="00A46E42" w:rsidP="00143694">
            <w:pPr>
              <w:jc w:val="center"/>
              <w:rPr>
                <w:bCs/>
                <w:szCs w:val="17"/>
              </w:rPr>
            </w:pPr>
            <w:r w:rsidRPr="00586687">
              <w:rPr>
                <w:bCs/>
                <w:szCs w:val="17"/>
              </w:rPr>
              <w:t>Reporting/Proportionality</w:t>
            </w:r>
          </w:p>
        </w:tc>
        <w:tc>
          <w:tcPr>
            <w:tcW w:w="1471" w:type="dxa"/>
            <w:shd w:val="clear" w:color="auto" w:fill="auto"/>
            <w:vAlign w:val="center"/>
          </w:tcPr>
          <w:p w14:paraId="4722910B" w14:textId="121DF89B" w:rsidR="00D3247E" w:rsidRPr="00586687" w:rsidRDefault="00B52A78" w:rsidP="00143694">
            <w:pPr>
              <w:jc w:val="center"/>
              <w:rPr>
                <w:bCs/>
                <w:szCs w:val="17"/>
              </w:rPr>
            </w:pPr>
            <w:r w:rsidRPr="00586687">
              <w:rPr>
                <w:b/>
                <w:color w:val="FF0000"/>
                <w:szCs w:val="17"/>
              </w:rPr>
              <w:t>Negative</w:t>
            </w:r>
          </w:p>
        </w:tc>
      </w:tr>
      <w:tr w:rsidR="00D3247E" w:rsidRPr="00586687" w14:paraId="3802432E" w14:textId="77777777" w:rsidTr="00A2044B">
        <w:trPr>
          <w:trHeight w:val="494"/>
        </w:trPr>
        <w:tc>
          <w:tcPr>
            <w:tcW w:w="696" w:type="dxa"/>
            <w:shd w:val="clear" w:color="auto" w:fill="auto"/>
            <w:vAlign w:val="center"/>
          </w:tcPr>
          <w:p w14:paraId="57D5F49F" w14:textId="7B4B9DF0" w:rsidR="00D3247E" w:rsidRPr="00586687" w:rsidRDefault="00C910C7" w:rsidP="00143694">
            <w:pPr>
              <w:jc w:val="center"/>
              <w:rPr>
                <w:bCs/>
                <w:szCs w:val="17"/>
              </w:rPr>
            </w:pPr>
            <w:r w:rsidRPr="00586687">
              <w:rPr>
                <w:bCs/>
                <w:szCs w:val="17"/>
              </w:rPr>
              <w:t>416</w:t>
            </w:r>
          </w:p>
        </w:tc>
        <w:tc>
          <w:tcPr>
            <w:tcW w:w="1931" w:type="dxa"/>
            <w:shd w:val="clear" w:color="auto" w:fill="auto"/>
            <w:vAlign w:val="center"/>
          </w:tcPr>
          <w:p w14:paraId="46166EBF" w14:textId="3E9D46EF" w:rsidR="00D3247E" w:rsidRPr="00586687" w:rsidRDefault="005B62FB" w:rsidP="00143694">
            <w:pPr>
              <w:jc w:val="center"/>
              <w:rPr>
                <w:bCs/>
                <w:szCs w:val="17"/>
              </w:rPr>
            </w:pPr>
            <w:r w:rsidRPr="00586687">
              <w:rPr>
                <w:bCs/>
                <w:szCs w:val="17"/>
              </w:rPr>
              <w:t>Article 35a – paragraph 1 – subparagraph 3</w:t>
            </w:r>
          </w:p>
        </w:tc>
        <w:tc>
          <w:tcPr>
            <w:tcW w:w="6588" w:type="dxa"/>
            <w:shd w:val="clear" w:color="auto" w:fill="auto"/>
          </w:tcPr>
          <w:p w14:paraId="65A3804F" w14:textId="60C76C74" w:rsidR="00D3247E" w:rsidRPr="00586687" w:rsidRDefault="00FD5634" w:rsidP="00143694">
            <w:pPr>
              <w:jc w:val="left"/>
              <w:rPr>
                <w:bCs/>
                <w:szCs w:val="17"/>
              </w:rPr>
            </w:pPr>
            <w:r w:rsidRPr="00586687">
              <w:rPr>
                <w:bCs/>
                <w:szCs w:val="17"/>
              </w:rPr>
              <w:t>A</w:t>
            </w:r>
            <w:r w:rsidR="00416E87" w:rsidRPr="00586687">
              <w:rPr>
                <w:bCs/>
                <w:szCs w:val="17"/>
              </w:rPr>
              <w:t xml:space="preserve">uthorities </w:t>
            </w:r>
            <w:r w:rsidR="00415BC4" w:rsidRPr="00586687">
              <w:rPr>
                <w:bCs/>
                <w:szCs w:val="17"/>
              </w:rPr>
              <w:t>may</w:t>
            </w:r>
            <w:r w:rsidR="008179AC" w:rsidRPr="00586687">
              <w:rPr>
                <w:bCs/>
                <w:szCs w:val="17"/>
              </w:rPr>
              <w:t xml:space="preserve"> (instead of “</w:t>
            </w:r>
            <w:r w:rsidR="00415BC4" w:rsidRPr="00586687">
              <w:rPr>
                <w:bCs/>
                <w:szCs w:val="17"/>
              </w:rPr>
              <w:t>shall</w:t>
            </w:r>
            <w:r w:rsidR="008179AC" w:rsidRPr="00586687">
              <w:rPr>
                <w:bCs/>
                <w:szCs w:val="17"/>
              </w:rPr>
              <w:t>”)</w:t>
            </w:r>
            <w:r w:rsidR="00416E87" w:rsidRPr="00586687">
              <w:rPr>
                <w:bCs/>
                <w:szCs w:val="17"/>
              </w:rPr>
              <w:t xml:space="preserve"> give priority to low-risk profile undertakings.</w:t>
            </w:r>
          </w:p>
        </w:tc>
        <w:tc>
          <w:tcPr>
            <w:tcW w:w="1842" w:type="dxa"/>
            <w:shd w:val="clear" w:color="auto" w:fill="auto"/>
            <w:vAlign w:val="center"/>
          </w:tcPr>
          <w:p w14:paraId="4C7E3841" w14:textId="4D0C9DAF" w:rsidR="00D3247E" w:rsidRPr="00586687" w:rsidRDefault="0001101F" w:rsidP="00143694">
            <w:pPr>
              <w:jc w:val="center"/>
              <w:rPr>
                <w:bCs/>
                <w:szCs w:val="17"/>
              </w:rPr>
            </w:pPr>
            <w:proofErr w:type="spellStart"/>
            <w:r w:rsidRPr="00586687">
              <w:rPr>
                <w:bCs/>
                <w:szCs w:val="17"/>
              </w:rPr>
              <w:t>Eero</w:t>
            </w:r>
            <w:proofErr w:type="spellEnd"/>
            <w:r w:rsidRPr="00586687">
              <w:rPr>
                <w:bCs/>
                <w:szCs w:val="17"/>
              </w:rPr>
              <w:t xml:space="preserve"> </w:t>
            </w:r>
            <w:proofErr w:type="spellStart"/>
            <w:r w:rsidRPr="00586687">
              <w:rPr>
                <w:bCs/>
                <w:szCs w:val="17"/>
              </w:rPr>
              <w:t>Heinäluoma</w:t>
            </w:r>
            <w:proofErr w:type="spellEnd"/>
            <w:r w:rsidRPr="00586687">
              <w:rPr>
                <w:bCs/>
                <w:szCs w:val="17"/>
              </w:rPr>
              <w:t xml:space="preserve">, Aurore </w:t>
            </w:r>
            <w:proofErr w:type="spellStart"/>
            <w:r w:rsidRPr="00586687">
              <w:rPr>
                <w:bCs/>
                <w:szCs w:val="17"/>
              </w:rPr>
              <w:t>Lalucq</w:t>
            </w:r>
            <w:proofErr w:type="spellEnd"/>
          </w:p>
        </w:tc>
        <w:tc>
          <w:tcPr>
            <w:tcW w:w="2127" w:type="dxa"/>
            <w:shd w:val="clear" w:color="auto" w:fill="auto"/>
            <w:vAlign w:val="center"/>
          </w:tcPr>
          <w:p w14:paraId="2141027C" w14:textId="366AC6D8" w:rsidR="00D3247E" w:rsidRPr="00586687" w:rsidRDefault="00416E87" w:rsidP="00143694">
            <w:pPr>
              <w:jc w:val="center"/>
              <w:rPr>
                <w:bCs/>
                <w:szCs w:val="17"/>
              </w:rPr>
            </w:pPr>
            <w:r w:rsidRPr="00586687">
              <w:rPr>
                <w:bCs/>
                <w:szCs w:val="17"/>
              </w:rPr>
              <w:t>Reporting/Proportionality</w:t>
            </w:r>
          </w:p>
        </w:tc>
        <w:tc>
          <w:tcPr>
            <w:tcW w:w="1471" w:type="dxa"/>
            <w:shd w:val="clear" w:color="auto" w:fill="auto"/>
            <w:vAlign w:val="center"/>
          </w:tcPr>
          <w:p w14:paraId="560925F6" w14:textId="15C26927" w:rsidR="00D3247E" w:rsidRPr="00586687" w:rsidRDefault="00B52A78" w:rsidP="00143694">
            <w:pPr>
              <w:jc w:val="center"/>
              <w:rPr>
                <w:bCs/>
                <w:szCs w:val="17"/>
              </w:rPr>
            </w:pPr>
            <w:r w:rsidRPr="00586687">
              <w:rPr>
                <w:b/>
                <w:color w:val="FF0000"/>
                <w:szCs w:val="17"/>
              </w:rPr>
              <w:t>Negative</w:t>
            </w:r>
          </w:p>
        </w:tc>
      </w:tr>
      <w:tr w:rsidR="00D3247E" w:rsidRPr="00586687" w14:paraId="77F2416D" w14:textId="77777777" w:rsidTr="00A2044B">
        <w:trPr>
          <w:trHeight w:val="494"/>
        </w:trPr>
        <w:tc>
          <w:tcPr>
            <w:tcW w:w="696" w:type="dxa"/>
            <w:shd w:val="clear" w:color="auto" w:fill="auto"/>
            <w:vAlign w:val="center"/>
          </w:tcPr>
          <w:p w14:paraId="0081FD82" w14:textId="60393F2D" w:rsidR="00D3247E" w:rsidRPr="00586687" w:rsidRDefault="00213078" w:rsidP="00143694">
            <w:pPr>
              <w:jc w:val="center"/>
              <w:rPr>
                <w:bCs/>
                <w:szCs w:val="17"/>
              </w:rPr>
            </w:pPr>
            <w:r w:rsidRPr="00586687">
              <w:rPr>
                <w:bCs/>
                <w:szCs w:val="17"/>
              </w:rPr>
              <w:t>417</w:t>
            </w:r>
          </w:p>
        </w:tc>
        <w:tc>
          <w:tcPr>
            <w:tcW w:w="1931" w:type="dxa"/>
            <w:shd w:val="clear" w:color="auto" w:fill="auto"/>
            <w:vAlign w:val="center"/>
          </w:tcPr>
          <w:p w14:paraId="15E71B3A" w14:textId="6769029F" w:rsidR="00D3247E" w:rsidRPr="00586687" w:rsidRDefault="00945955" w:rsidP="00143694">
            <w:pPr>
              <w:jc w:val="center"/>
              <w:rPr>
                <w:bCs/>
                <w:szCs w:val="17"/>
              </w:rPr>
            </w:pPr>
            <w:r w:rsidRPr="00586687">
              <w:rPr>
                <w:bCs/>
                <w:szCs w:val="17"/>
              </w:rPr>
              <w:t>Article 35a – paragraph 1 – subparagraph 3 a (new)</w:t>
            </w:r>
          </w:p>
        </w:tc>
        <w:tc>
          <w:tcPr>
            <w:tcW w:w="6588" w:type="dxa"/>
            <w:shd w:val="clear" w:color="auto" w:fill="auto"/>
          </w:tcPr>
          <w:p w14:paraId="5E0C3FFC" w14:textId="05E18F62" w:rsidR="00D3247E" w:rsidRPr="00586687" w:rsidRDefault="0021382A" w:rsidP="00143694">
            <w:pPr>
              <w:jc w:val="left"/>
              <w:rPr>
                <w:bCs/>
                <w:szCs w:val="17"/>
              </w:rPr>
            </w:pPr>
            <w:r w:rsidRPr="00586687">
              <w:rPr>
                <w:bCs/>
                <w:szCs w:val="17"/>
              </w:rPr>
              <w:t>T</w:t>
            </w:r>
            <w:r w:rsidR="00AD6DA1" w:rsidRPr="00586687">
              <w:rPr>
                <w:bCs/>
                <w:szCs w:val="17"/>
              </w:rPr>
              <w:t xml:space="preserve">he limitation to </w:t>
            </w:r>
            <w:r w:rsidRPr="00586687">
              <w:rPr>
                <w:bCs/>
                <w:szCs w:val="17"/>
              </w:rPr>
              <w:t>RSR</w:t>
            </w:r>
            <w:r w:rsidR="00AD6DA1" w:rsidRPr="00586687">
              <w:rPr>
                <w:bCs/>
                <w:szCs w:val="17"/>
              </w:rPr>
              <w:t xml:space="preserve"> shall not apply to undertakings to which a capital add-on has been set.</w:t>
            </w:r>
          </w:p>
        </w:tc>
        <w:tc>
          <w:tcPr>
            <w:tcW w:w="1842" w:type="dxa"/>
            <w:shd w:val="clear" w:color="auto" w:fill="auto"/>
            <w:vAlign w:val="center"/>
          </w:tcPr>
          <w:p w14:paraId="16FF8991" w14:textId="02FD4A68" w:rsidR="00D3247E" w:rsidRPr="00586687" w:rsidRDefault="00213078" w:rsidP="00143694">
            <w:pPr>
              <w:jc w:val="center"/>
              <w:rPr>
                <w:bCs/>
                <w:szCs w:val="17"/>
              </w:rPr>
            </w:pPr>
            <w:proofErr w:type="spellStart"/>
            <w:r w:rsidRPr="00586687">
              <w:rPr>
                <w:bCs/>
                <w:szCs w:val="17"/>
              </w:rPr>
              <w:t>Henrike</w:t>
            </w:r>
            <w:proofErr w:type="spellEnd"/>
            <w:r w:rsidRPr="00586687">
              <w:rPr>
                <w:bCs/>
                <w:szCs w:val="17"/>
              </w:rPr>
              <w:t xml:space="preserve"> Hahn</w:t>
            </w:r>
          </w:p>
        </w:tc>
        <w:tc>
          <w:tcPr>
            <w:tcW w:w="2127" w:type="dxa"/>
            <w:shd w:val="clear" w:color="auto" w:fill="auto"/>
            <w:vAlign w:val="center"/>
          </w:tcPr>
          <w:p w14:paraId="644D47C1" w14:textId="37E73591" w:rsidR="00D3247E" w:rsidRPr="00586687" w:rsidRDefault="00AD6DA1" w:rsidP="00143694">
            <w:pPr>
              <w:jc w:val="center"/>
              <w:rPr>
                <w:bCs/>
                <w:szCs w:val="17"/>
              </w:rPr>
            </w:pPr>
            <w:r w:rsidRPr="00586687">
              <w:rPr>
                <w:bCs/>
                <w:szCs w:val="17"/>
              </w:rPr>
              <w:t>Reporting/Proportionality</w:t>
            </w:r>
          </w:p>
        </w:tc>
        <w:tc>
          <w:tcPr>
            <w:tcW w:w="1471" w:type="dxa"/>
            <w:shd w:val="clear" w:color="auto" w:fill="auto"/>
            <w:vAlign w:val="center"/>
          </w:tcPr>
          <w:p w14:paraId="03C6AD47" w14:textId="500374E8" w:rsidR="00D3247E" w:rsidRPr="00586687" w:rsidRDefault="00E73F96" w:rsidP="00143694">
            <w:pPr>
              <w:jc w:val="center"/>
              <w:rPr>
                <w:bCs/>
                <w:szCs w:val="17"/>
              </w:rPr>
            </w:pPr>
            <w:r w:rsidRPr="00586687">
              <w:rPr>
                <w:b/>
                <w:color w:val="808080" w:themeColor="background1" w:themeShade="80"/>
                <w:szCs w:val="17"/>
              </w:rPr>
              <w:t>Neutral</w:t>
            </w:r>
          </w:p>
        </w:tc>
      </w:tr>
      <w:tr w:rsidR="00D3247E" w:rsidRPr="00586687" w14:paraId="0A9F605E" w14:textId="77777777" w:rsidTr="00A2044B">
        <w:trPr>
          <w:trHeight w:val="494"/>
        </w:trPr>
        <w:tc>
          <w:tcPr>
            <w:tcW w:w="696" w:type="dxa"/>
            <w:shd w:val="clear" w:color="auto" w:fill="auto"/>
            <w:vAlign w:val="center"/>
          </w:tcPr>
          <w:p w14:paraId="23C4DB20" w14:textId="71578FAC" w:rsidR="00D3247E" w:rsidRPr="00586687" w:rsidRDefault="00006A23" w:rsidP="00143694">
            <w:pPr>
              <w:jc w:val="center"/>
              <w:rPr>
                <w:bCs/>
                <w:szCs w:val="17"/>
              </w:rPr>
            </w:pPr>
            <w:r w:rsidRPr="00586687">
              <w:rPr>
                <w:bCs/>
                <w:szCs w:val="17"/>
              </w:rPr>
              <w:t>418</w:t>
            </w:r>
          </w:p>
        </w:tc>
        <w:tc>
          <w:tcPr>
            <w:tcW w:w="1931" w:type="dxa"/>
            <w:shd w:val="clear" w:color="auto" w:fill="auto"/>
            <w:vAlign w:val="center"/>
          </w:tcPr>
          <w:p w14:paraId="52171D16" w14:textId="50B72483" w:rsidR="00D3247E" w:rsidRPr="00586687" w:rsidRDefault="00006A23" w:rsidP="00143694">
            <w:pPr>
              <w:jc w:val="center"/>
              <w:rPr>
                <w:bCs/>
                <w:szCs w:val="17"/>
              </w:rPr>
            </w:pPr>
            <w:r w:rsidRPr="00586687">
              <w:rPr>
                <w:bCs/>
                <w:szCs w:val="17"/>
              </w:rPr>
              <w:t>Article 35a – paragraph 2</w:t>
            </w:r>
          </w:p>
        </w:tc>
        <w:tc>
          <w:tcPr>
            <w:tcW w:w="6588" w:type="dxa"/>
            <w:shd w:val="clear" w:color="auto" w:fill="auto"/>
          </w:tcPr>
          <w:p w14:paraId="08F4C923" w14:textId="0A6EA687" w:rsidR="00D3247E" w:rsidRPr="00586687" w:rsidRDefault="002239CC" w:rsidP="00143694">
            <w:pPr>
              <w:jc w:val="left"/>
              <w:rPr>
                <w:bCs/>
                <w:szCs w:val="17"/>
              </w:rPr>
            </w:pPr>
            <w:r w:rsidRPr="00586687">
              <w:rPr>
                <w:bCs/>
                <w:szCs w:val="17"/>
              </w:rPr>
              <w:t>Deleted the provision stating that the supervisory authorities may limit regular supervisory reporting, or exempt undertakings from reporting on an item-by-item basis</w:t>
            </w:r>
            <w:r w:rsidR="0032761D" w:rsidRPr="00586687">
              <w:rPr>
                <w:bCs/>
                <w:szCs w:val="17"/>
              </w:rPr>
              <w:t>.</w:t>
            </w:r>
          </w:p>
          <w:p w14:paraId="3D22B1A7" w14:textId="77777777" w:rsidR="005D45DD" w:rsidRPr="00586687" w:rsidRDefault="005D45DD" w:rsidP="00143694">
            <w:pPr>
              <w:jc w:val="left"/>
              <w:rPr>
                <w:bCs/>
                <w:szCs w:val="17"/>
              </w:rPr>
            </w:pPr>
          </w:p>
          <w:p w14:paraId="5BC3B340" w14:textId="2E43F7AE" w:rsidR="005D45DD" w:rsidRPr="00586687" w:rsidRDefault="005D45DD" w:rsidP="00143694">
            <w:pPr>
              <w:jc w:val="left"/>
              <w:rPr>
                <w:bCs/>
                <w:i/>
                <w:iCs/>
                <w:szCs w:val="17"/>
              </w:rPr>
            </w:pPr>
          </w:p>
        </w:tc>
        <w:tc>
          <w:tcPr>
            <w:tcW w:w="1842" w:type="dxa"/>
            <w:shd w:val="clear" w:color="auto" w:fill="auto"/>
            <w:vAlign w:val="center"/>
          </w:tcPr>
          <w:p w14:paraId="7DC08B6B" w14:textId="60D7F779" w:rsidR="00D3247E" w:rsidRPr="00586687" w:rsidRDefault="00A12ECE" w:rsidP="00143694">
            <w:pPr>
              <w:jc w:val="center"/>
              <w:rPr>
                <w:bCs/>
                <w:szCs w:val="17"/>
              </w:rPr>
            </w:pPr>
            <w:r w:rsidRPr="00586687">
              <w:rPr>
                <w:bCs/>
                <w:szCs w:val="17"/>
              </w:rPr>
              <w:t>Chris MacManus</w:t>
            </w:r>
          </w:p>
        </w:tc>
        <w:tc>
          <w:tcPr>
            <w:tcW w:w="2127" w:type="dxa"/>
            <w:shd w:val="clear" w:color="auto" w:fill="auto"/>
            <w:vAlign w:val="center"/>
          </w:tcPr>
          <w:p w14:paraId="5EB17AA9" w14:textId="0C5D9F5F" w:rsidR="00D3247E" w:rsidRPr="00586687" w:rsidRDefault="0032761D" w:rsidP="00143694">
            <w:pPr>
              <w:jc w:val="center"/>
              <w:rPr>
                <w:bCs/>
                <w:szCs w:val="17"/>
              </w:rPr>
            </w:pPr>
            <w:r w:rsidRPr="00586687">
              <w:rPr>
                <w:bCs/>
                <w:szCs w:val="17"/>
              </w:rPr>
              <w:t>Reporting/Proportionality</w:t>
            </w:r>
          </w:p>
        </w:tc>
        <w:tc>
          <w:tcPr>
            <w:tcW w:w="1471" w:type="dxa"/>
            <w:shd w:val="clear" w:color="auto" w:fill="auto"/>
            <w:vAlign w:val="center"/>
          </w:tcPr>
          <w:p w14:paraId="59BB89B9" w14:textId="51ED5255" w:rsidR="00D3247E" w:rsidRPr="00586687" w:rsidRDefault="00B52A78" w:rsidP="00143694">
            <w:pPr>
              <w:jc w:val="center"/>
              <w:rPr>
                <w:bCs/>
                <w:szCs w:val="17"/>
              </w:rPr>
            </w:pPr>
            <w:r w:rsidRPr="00586687">
              <w:rPr>
                <w:b/>
                <w:color w:val="FF0000"/>
                <w:szCs w:val="17"/>
              </w:rPr>
              <w:t>Negative</w:t>
            </w:r>
          </w:p>
        </w:tc>
      </w:tr>
      <w:tr w:rsidR="00EB6406" w:rsidRPr="00586687" w14:paraId="02C64F8D" w14:textId="77777777" w:rsidTr="00A2044B">
        <w:trPr>
          <w:trHeight w:val="494"/>
        </w:trPr>
        <w:tc>
          <w:tcPr>
            <w:tcW w:w="696" w:type="dxa"/>
            <w:shd w:val="clear" w:color="auto" w:fill="auto"/>
            <w:vAlign w:val="center"/>
          </w:tcPr>
          <w:p w14:paraId="333B5CAA" w14:textId="552060BD" w:rsidR="00EB6406" w:rsidRPr="00586687" w:rsidRDefault="00A75F3B" w:rsidP="00143694">
            <w:pPr>
              <w:jc w:val="center"/>
              <w:rPr>
                <w:bCs/>
                <w:szCs w:val="17"/>
              </w:rPr>
            </w:pPr>
            <w:r w:rsidRPr="00586687">
              <w:rPr>
                <w:bCs/>
                <w:szCs w:val="17"/>
              </w:rPr>
              <w:t>422</w:t>
            </w:r>
          </w:p>
        </w:tc>
        <w:tc>
          <w:tcPr>
            <w:tcW w:w="1931" w:type="dxa"/>
            <w:shd w:val="clear" w:color="auto" w:fill="auto"/>
            <w:vAlign w:val="center"/>
          </w:tcPr>
          <w:p w14:paraId="075EA527" w14:textId="64F6C45E" w:rsidR="00EB6406" w:rsidRPr="00586687" w:rsidRDefault="00A75F3B" w:rsidP="00143694">
            <w:pPr>
              <w:jc w:val="center"/>
              <w:rPr>
                <w:bCs/>
                <w:szCs w:val="17"/>
              </w:rPr>
            </w:pPr>
            <w:r w:rsidRPr="00586687">
              <w:rPr>
                <w:bCs/>
                <w:szCs w:val="17"/>
              </w:rPr>
              <w:t>Article 35b – paragraph 2</w:t>
            </w:r>
          </w:p>
        </w:tc>
        <w:tc>
          <w:tcPr>
            <w:tcW w:w="6588" w:type="dxa"/>
            <w:shd w:val="clear" w:color="auto" w:fill="auto"/>
          </w:tcPr>
          <w:p w14:paraId="54F26FE8" w14:textId="3D26E0AF" w:rsidR="00EB6406" w:rsidRPr="00586687" w:rsidRDefault="009B1AC4" w:rsidP="00143694">
            <w:pPr>
              <w:jc w:val="left"/>
              <w:rPr>
                <w:bCs/>
                <w:szCs w:val="17"/>
              </w:rPr>
            </w:pPr>
            <w:r w:rsidRPr="00586687">
              <w:rPr>
                <w:bCs/>
                <w:szCs w:val="17"/>
              </w:rPr>
              <w:t xml:space="preserve">Extended quarterly reporting deadline from </w:t>
            </w:r>
            <w:r w:rsidR="008F637E" w:rsidRPr="00586687">
              <w:rPr>
                <w:bCs/>
                <w:szCs w:val="17"/>
              </w:rPr>
              <w:t xml:space="preserve">5 to 6 </w:t>
            </w:r>
            <w:r w:rsidR="00B31447" w:rsidRPr="00586687">
              <w:rPr>
                <w:bCs/>
                <w:szCs w:val="17"/>
              </w:rPr>
              <w:t>weeks</w:t>
            </w:r>
          </w:p>
        </w:tc>
        <w:tc>
          <w:tcPr>
            <w:tcW w:w="1842" w:type="dxa"/>
            <w:shd w:val="clear" w:color="auto" w:fill="auto"/>
            <w:vAlign w:val="center"/>
          </w:tcPr>
          <w:p w14:paraId="73BBED99" w14:textId="7CDE0BAD" w:rsidR="00EB6406" w:rsidRPr="00586687" w:rsidRDefault="00135D57" w:rsidP="00143694">
            <w:pPr>
              <w:jc w:val="center"/>
              <w:rPr>
                <w:bCs/>
                <w:szCs w:val="17"/>
              </w:rPr>
            </w:pPr>
            <w:r w:rsidRPr="00586687">
              <w:rPr>
                <w:bCs/>
                <w:szCs w:val="17"/>
              </w:rPr>
              <w:t xml:space="preserve">Johan Van </w:t>
            </w:r>
            <w:proofErr w:type="spellStart"/>
            <w:r w:rsidRPr="00586687">
              <w:rPr>
                <w:bCs/>
                <w:szCs w:val="17"/>
              </w:rPr>
              <w:t>Overtveldt</w:t>
            </w:r>
            <w:proofErr w:type="spellEnd"/>
          </w:p>
        </w:tc>
        <w:tc>
          <w:tcPr>
            <w:tcW w:w="2127" w:type="dxa"/>
            <w:shd w:val="clear" w:color="auto" w:fill="auto"/>
            <w:vAlign w:val="center"/>
          </w:tcPr>
          <w:p w14:paraId="0B96EA04" w14:textId="14E9F85E" w:rsidR="00EB6406" w:rsidRPr="00586687" w:rsidRDefault="00C944D2" w:rsidP="00143694">
            <w:pPr>
              <w:jc w:val="center"/>
              <w:rPr>
                <w:bCs/>
                <w:szCs w:val="17"/>
              </w:rPr>
            </w:pPr>
            <w:r w:rsidRPr="00586687">
              <w:rPr>
                <w:bCs/>
                <w:szCs w:val="17"/>
              </w:rPr>
              <w:t>Reporting</w:t>
            </w:r>
          </w:p>
        </w:tc>
        <w:tc>
          <w:tcPr>
            <w:tcW w:w="1471" w:type="dxa"/>
            <w:shd w:val="clear" w:color="auto" w:fill="auto"/>
            <w:vAlign w:val="center"/>
          </w:tcPr>
          <w:p w14:paraId="379C506E" w14:textId="06997649" w:rsidR="00EB6406" w:rsidRPr="00586687" w:rsidRDefault="00C944D2" w:rsidP="00143694">
            <w:pPr>
              <w:jc w:val="center"/>
              <w:rPr>
                <w:bCs/>
                <w:szCs w:val="17"/>
              </w:rPr>
            </w:pPr>
            <w:r w:rsidRPr="00586687">
              <w:rPr>
                <w:bCs/>
                <w:szCs w:val="17"/>
              </w:rPr>
              <w:t>Positive</w:t>
            </w:r>
          </w:p>
        </w:tc>
      </w:tr>
      <w:tr w:rsidR="00EB6406" w:rsidRPr="00586687" w14:paraId="36A83E96" w14:textId="77777777" w:rsidTr="00A2044B">
        <w:trPr>
          <w:trHeight w:val="494"/>
        </w:trPr>
        <w:tc>
          <w:tcPr>
            <w:tcW w:w="696" w:type="dxa"/>
            <w:shd w:val="clear" w:color="auto" w:fill="auto"/>
            <w:vAlign w:val="center"/>
          </w:tcPr>
          <w:p w14:paraId="0CE6818F" w14:textId="2B947980" w:rsidR="00EB6406" w:rsidRPr="00586687" w:rsidRDefault="005B11F8" w:rsidP="00143694">
            <w:pPr>
              <w:jc w:val="center"/>
              <w:rPr>
                <w:bCs/>
                <w:szCs w:val="17"/>
              </w:rPr>
            </w:pPr>
            <w:r w:rsidRPr="00586687">
              <w:rPr>
                <w:bCs/>
                <w:szCs w:val="17"/>
              </w:rPr>
              <w:t>423</w:t>
            </w:r>
          </w:p>
        </w:tc>
        <w:tc>
          <w:tcPr>
            <w:tcW w:w="1931" w:type="dxa"/>
            <w:shd w:val="clear" w:color="auto" w:fill="auto"/>
            <w:vAlign w:val="center"/>
          </w:tcPr>
          <w:p w14:paraId="0204FA4F" w14:textId="60322AF6" w:rsidR="00EB6406" w:rsidRPr="00586687" w:rsidRDefault="0084143E" w:rsidP="00143694">
            <w:pPr>
              <w:jc w:val="center"/>
              <w:rPr>
                <w:bCs/>
                <w:szCs w:val="17"/>
              </w:rPr>
            </w:pPr>
            <w:r w:rsidRPr="00586687">
              <w:rPr>
                <w:bCs/>
                <w:szCs w:val="17"/>
              </w:rPr>
              <w:t>Article 35b – paragraph 4</w:t>
            </w:r>
          </w:p>
        </w:tc>
        <w:tc>
          <w:tcPr>
            <w:tcW w:w="6588" w:type="dxa"/>
            <w:shd w:val="clear" w:color="auto" w:fill="auto"/>
          </w:tcPr>
          <w:p w14:paraId="78EF3930" w14:textId="17867789" w:rsidR="00763E37" w:rsidRPr="00586687" w:rsidRDefault="00670A0D" w:rsidP="00143694">
            <w:pPr>
              <w:jc w:val="left"/>
              <w:rPr>
                <w:bCs/>
                <w:szCs w:val="17"/>
              </w:rPr>
            </w:pPr>
            <w:r w:rsidRPr="00586687">
              <w:rPr>
                <w:bCs/>
                <w:szCs w:val="17"/>
              </w:rPr>
              <w:t xml:space="preserve">Modified the paragraph on </w:t>
            </w:r>
            <w:r w:rsidR="0079660C" w:rsidRPr="00586687">
              <w:rPr>
                <w:bCs/>
                <w:szCs w:val="17"/>
              </w:rPr>
              <w:t xml:space="preserve">extension of deadlines in case of </w:t>
            </w:r>
            <w:r w:rsidR="00A420BA" w:rsidRPr="00586687">
              <w:rPr>
                <w:bCs/>
                <w:szCs w:val="17"/>
              </w:rPr>
              <w:t xml:space="preserve">exceptional events. EIOPA at its own initiative or on request of </w:t>
            </w:r>
            <w:r w:rsidR="00882344" w:rsidRPr="00586687">
              <w:rPr>
                <w:bCs/>
                <w:szCs w:val="17"/>
              </w:rPr>
              <w:t>an NSA can declare</w:t>
            </w:r>
            <w:r w:rsidR="003045A9" w:rsidRPr="00586687">
              <w:rPr>
                <w:bCs/>
                <w:szCs w:val="17"/>
              </w:rPr>
              <w:t xml:space="preserve"> this state.</w:t>
            </w:r>
          </w:p>
          <w:p w14:paraId="5B981210" w14:textId="1CA49412" w:rsidR="00EB6406" w:rsidRPr="00586687" w:rsidRDefault="00763E37" w:rsidP="00143694">
            <w:pPr>
              <w:jc w:val="left"/>
              <w:rPr>
                <w:bCs/>
                <w:szCs w:val="17"/>
              </w:rPr>
            </w:pPr>
            <w:r w:rsidRPr="00586687">
              <w:rPr>
                <w:bCs/>
                <w:szCs w:val="17"/>
              </w:rPr>
              <w:lastRenderedPageBreak/>
              <w:t xml:space="preserve">Added definition </w:t>
            </w:r>
            <w:r w:rsidR="009D0E78" w:rsidRPr="00586687">
              <w:rPr>
                <w:bCs/>
                <w:szCs w:val="17"/>
              </w:rPr>
              <w:t>when an operations-disrupting event is exceptional.</w:t>
            </w:r>
          </w:p>
          <w:p w14:paraId="60363E43" w14:textId="77777777" w:rsidR="00911FED" w:rsidRPr="00586687" w:rsidRDefault="00911FED" w:rsidP="00143694">
            <w:pPr>
              <w:jc w:val="left"/>
              <w:rPr>
                <w:bCs/>
                <w:szCs w:val="17"/>
              </w:rPr>
            </w:pPr>
          </w:p>
          <w:p w14:paraId="14036B61" w14:textId="7DBB807F" w:rsidR="00911FED" w:rsidRPr="00586687" w:rsidRDefault="00911FED" w:rsidP="00143694">
            <w:pPr>
              <w:jc w:val="left"/>
              <w:rPr>
                <w:bCs/>
                <w:szCs w:val="17"/>
              </w:rPr>
            </w:pPr>
            <w:r w:rsidRPr="00586687">
              <w:rPr>
                <w:bCs/>
                <w:szCs w:val="17"/>
              </w:rPr>
              <w:t xml:space="preserve">NSAs can then extend the </w:t>
            </w:r>
            <w:r w:rsidR="00CE73F8" w:rsidRPr="00586687">
              <w:rPr>
                <w:bCs/>
                <w:szCs w:val="17"/>
              </w:rPr>
              <w:t xml:space="preserve">reporting deadlines </w:t>
            </w:r>
            <w:r w:rsidR="00927A34" w:rsidRPr="00586687">
              <w:rPr>
                <w:bCs/>
                <w:szCs w:val="17"/>
              </w:rPr>
              <w:t>by up to 10 weeks</w:t>
            </w:r>
          </w:p>
        </w:tc>
        <w:tc>
          <w:tcPr>
            <w:tcW w:w="1842" w:type="dxa"/>
            <w:shd w:val="clear" w:color="auto" w:fill="auto"/>
            <w:vAlign w:val="center"/>
          </w:tcPr>
          <w:p w14:paraId="623B25C8" w14:textId="0BD3138C" w:rsidR="00EB6406" w:rsidRPr="00586687" w:rsidRDefault="00B6306B" w:rsidP="00143694">
            <w:pPr>
              <w:jc w:val="center"/>
              <w:rPr>
                <w:bCs/>
                <w:szCs w:val="17"/>
              </w:rPr>
            </w:pPr>
            <w:r w:rsidRPr="00586687">
              <w:rPr>
                <w:bCs/>
                <w:szCs w:val="17"/>
              </w:rPr>
              <w:lastRenderedPageBreak/>
              <w:t>Chris MacManus</w:t>
            </w:r>
          </w:p>
        </w:tc>
        <w:tc>
          <w:tcPr>
            <w:tcW w:w="2127" w:type="dxa"/>
            <w:shd w:val="clear" w:color="auto" w:fill="auto"/>
            <w:vAlign w:val="center"/>
          </w:tcPr>
          <w:p w14:paraId="122566C5" w14:textId="00818BF5" w:rsidR="00EB6406" w:rsidRPr="00586687" w:rsidRDefault="003D471F" w:rsidP="00143694">
            <w:pPr>
              <w:jc w:val="center"/>
              <w:rPr>
                <w:bCs/>
                <w:szCs w:val="17"/>
              </w:rPr>
            </w:pPr>
            <w:r w:rsidRPr="00586687">
              <w:rPr>
                <w:bCs/>
                <w:szCs w:val="17"/>
              </w:rPr>
              <w:t>Reporting</w:t>
            </w:r>
            <w:r w:rsidR="000F5B65" w:rsidRPr="00586687">
              <w:rPr>
                <w:bCs/>
                <w:szCs w:val="17"/>
              </w:rPr>
              <w:t xml:space="preserve"> </w:t>
            </w:r>
            <w:r w:rsidR="00BD3A1E" w:rsidRPr="00586687">
              <w:rPr>
                <w:bCs/>
                <w:szCs w:val="17"/>
              </w:rPr>
              <w:t>deadlines</w:t>
            </w:r>
          </w:p>
        </w:tc>
        <w:tc>
          <w:tcPr>
            <w:tcW w:w="1471" w:type="dxa"/>
            <w:shd w:val="clear" w:color="auto" w:fill="auto"/>
            <w:vAlign w:val="center"/>
          </w:tcPr>
          <w:p w14:paraId="3FE45BF3" w14:textId="7B1421F4" w:rsidR="00EB6406" w:rsidRPr="00586687" w:rsidRDefault="00E73F96" w:rsidP="00143694">
            <w:pPr>
              <w:jc w:val="center"/>
              <w:rPr>
                <w:bCs/>
                <w:szCs w:val="17"/>
              </w:rPr>
            </w:pPr>
            <w:r w:rsidRPr="00586687">
              <w:rPr>
                <w:b/>
                <w:color w:val="808080" w:themeColor="background1" w:themeShade="80"/>
                <w:szCs w:val="17"/>
              </w:rPr>
              <w:t>Neutral</w:t>
            </w:r>
          </w:p>
        </w:tc>
      </w:tr>
      <w:tr w:rsidR="00EB6406" w:rsidRPr="00586687" w14:paraId="543F034E" w14:textId="77777777" w:rsidTr="00A2044B">
        <w:trPr>
          <w:trHeight w:val="494"/>
        </w:trPr>
        <w:tc>
          <w:tcPr>
            <w:tcW w:w="696" w:type="dxa"/>
            <w:shd w:val="clear" w:color="auto" w:fill="auto"/>
            <w:vAlign w:val="center"/>
          </w:tcPr>
          <w:p w14:paraId="6F75DB01" w14:textId="1EE1A4E1" w:rsidR="00EB6406" w:rsidRPr="00586687" w:rsidRDefault="006E7170" w:rsidP="00143694">
            <w:pPr>
              <w:jc w:val="center"/>
              <w:rPr>
                <w:bCs/>
                <w:szCs w:val="17"/>
              </w:rPr>
            </w:pPr>
            <w:r w:rsidRPr="00586687">
              <w:rPr>
                <w:bCs/>
                <w:szCs w:val="17"/>
              </w:rPr>
              <w:t>424</w:t>
            </w:r>
          </w:p>
        </w:tc>
        <w:tc>
          <w:tcPr>
            <w:tcW w:w="1931" w:type="dxa"/>
            <w:shd w:val="clear" w:color="auto" w:fill="auto"/>
            <w:vAlign w:val="center"/>
          </w:tcPr>
          <w:p w14:paraId="175F9F64" w14:textId="002EA925" w:rsidR="00EB6406" w:rsidRPr="00586687" w:rsidRDefault="002D034B" w:rsidP="00143694">
            <w:pPr>
              <w:jc w:val="center"/>
              <w:rPr>
                <w:bCs/>
                <w:szCs w:val="17"/>
              </w:rPr>
            </w:pPr>
            <w:r w:rsidRPr="00586687">
              <w:rPr>
                <w:bCs/>
                <w:szCs w:val="17"/>
              </w:rPr>
              <w:t>Article 36 – paragraph 2 – introductory part</w:t>
            </w:r>
          </w:p>
        </w:tc>
        <w:tc>
          <w:tcPr>
            <w:tcW w:w="6588" w:type="dxa"/>
            <w:shd w:val="clear" w:color="auto" w:fill="auto"/>
          </w:tcPr>
          <w:p w14:paraId="4A7273B4" w14:textId="25B316ED" w:rsidR="00EB6406" w:rsidRPr="00586687" w:rsidRDefault="000B7262" w:rsidP="00143694">
            <w:pPr>
              <w:jc w:val="left"/>
              <w:rPr>
                <w:bCs/>
                <w:szCs w:val="17"/>
              </w:rPr>
            </w:pPr>
            <w:r w:rsidRPr="00586687">
              <w:rPr>
                <w:bCs/>
                <w:szCs w:val="17"/>
              </w:rPr>
              <w:t>In article on supervisory review process: a</w:t>
            </w:r>
            <w:r w:rsidR="00B77A7F" w:rsidRPr="00586687">
              <w:rPr>
                <w:bCs/>
                <w:szCs w:val="17"/>
              </w:rPr>
              <w:t xml:space="preserve">dded </w:t>
            </w:r>
            <w:r w:rsidR="004C1874" w:rsidRPr="00586687">
              <w:rPr>
                <w:bCs/>
                <w:szCs w:val="17"/>
              </w:rPr>
              <w:t xml:space="preserve">ensure </w:t>
            </w:r>
            <w:r w:rsidR="00770291" w:rsidRPr="00586687">
              <w:rPr>
                <w:bCs/>
                <w:szCs w:val="17"/>
              </w:rPr>
              <w:t>(on</w:t>
            </w:r>
            <w:r w:rsidR="00B77A7F" w:rsidRPr="00586687">
              <w:rPr>
                <w:bCs/>
                <w:szCs w:val="17"/>
              </w:rPr>
              <w:t xml:space="preserve"> top of</w:t>
            </w:r>
            <w:r w:rsidR="002F583D" w:rsidRPr="00586687">
              <w:rPr>
                <w:bCs/>
                <w:szCs w:val="17"/>
              </w:rPr>
              <w:t xml:space="preserve"> review and evaluate) </w:t>
            </w:r>
            <w:r w:rsidR="004C1874" w:rsidRPr="00586687">
              <w:rPr>
                <w:bCs/>
                <w:szCs w:val="17"/>
              </w:rPr>
              <w:t xml:space="preserve">compliance with the </w:t>
            </w:r>
            <w:r w:rsidR="00770291" w:rsidRPr="00586687">
              <w:rPr>
                <w:bCs/>
                <w:szCs w:val="17"/>
              </w:rPr>
              <w:t>following:</w:t>
            </w:r>
          </w:p>
        </w:tc>
        <w:tc>
          <w:tcPr>
            <w:tcW w:w="1842" w:type="dxa"/>
            <w:shd w:val="clear" w:color="auto" w:fill="auto"/>
            <w:vAlign w:val="center"/>
          </w:tcPr>
          <w:p w14:paraId="23CD98F5" w14:textId="45DCF07B" w:rsidR="00EB6406" w:rsidRPr="00586687" w:rsidRDefault="0082576D" w:rsidP="00143694">
            <w:pPr>
              <w:jc w:val="center"/>
              <w:rPr>
                <w:bCs/>
                <w:szCs w:val="17"/>
              </w:rPr>
            </w:pPr>
            <w:proofErr w:type="spellStart"/>
            <w:r w:rsidRPr="00586687">
              <w:rPr>
                <w:bCs/>
                <w:szCs w:val="17"/>
              </w:rPr>
              <w:t>Stéphanie</w:t>
            </w:r>
            <w:proofErr w:type="spellEnd"/>
            <w:r w:rsidRPr="00586687">
              <w:rPr>
                <w:bCs/>
                <w:szCs w:val="17"/>
              </w:rPr>
              <w:t xml:space="preserve"> Yon-Courtin, Gilles Boyer</w:t>
            </w:r>
          </w:p>
        </w:tc>
        <w:tc>
          <w:tcPr>
            <w:tcW w:w="2127" w:type="dxa"/>
            <w:shd w:val="clear" w:color="auto" w:fill="auto"/>
            <w:vAlign w:val="center"/>
          </w:tcPr>
          <w:p w14:paraId="2171BD4E" w14:textId="71E64A59" w:rsidR="00EB6406" w:rsidRPr="00586687" w:rsidRDefault="00C916B1" w:rsidP="00143694">
            <w:pPr>
              <w:jc w:val="center"/>
              <w:rPr>
                <w:bCs/>
                <w:szCs w:val="17"/>
              </w:rPr>
            </w:pPr>
            <w:proofErr w:type="spellStart"/>
            <w:r>
              <w:rPr>
                <w:bCs/>
                <w:szCs w:val="17"/>
              </w:rPr>
              <w:t>Editoro</w:t>
            </w:r>
            <w:proofErr w:type="spellEnd"/>
          </w:p>
        </w:tc>
        <w:tc>
          <w:tcPr>
            <w:tcW w:w="1471" w:type="dxa"/>
            <w:shd w:val="clear" w:color="auto" w:fill="auto"/>
            <w:vAlign w:val="center"/>
          </w:tcPr>
          <w:p w14:paraId="23782C0F" w14:textId="0E0230F3" w:rsidR="00EB6406" w:rsidRPr="00586687" w:rsidRDefault="00E73F96" w:rsidP="00143694">
            <w:pPr>
              <w:jc w:val="center"/>
              <w:rPr>
                <w:bCs/>
                <w:szCs w:val="17"/>
              </w:rPr>
            </w:pPr>
            <w:r w:rsidRPr="00586687">
              <w:rPr>
                <w:b/>
                <w:color w:val="808080" w:themeColor="background1" w:themeShade="80"/>
                <w:szCs w:val="17"/>
              </w:rPr>
              <w:t>Neutral</w:t>
            </w:r>
          </w:p>
        </w:tc>
      </w:tr>
      <w:tr w:rsidR="00EB6406" w:rsidRPr="00586687" w14:paraId="0FCC0FF1" w14:textId="77777777" w:rsidTr="00A2044B">
        <w:trPr>
          <w:trHeight w:val="494"/>
        </w:trPr>
        <w:tc>
          <w:tcPr>
            <w:tcW w:w="696" w:type="dxa"/>
            <w:shd w:val="clear" w:color="auto" w:fill="auto"/>
            <w:vAlign w:val="center"/>
          </w:tcPr>
          <w:p w14:paraId="106EA899" w14:textId="552D55B9" w:rsidR="00EB6406" w:rsidRPr="00586687" w:rsidRDefault="004535B9" w:rsidP="00143694">
            <w:pPr>
              <w:jc w:val="center"/>
              <w:rPr>
                <w:bCs/>
                <w:szCs w:val="17"/>
              </w:rPr>
            </w:pPr>
            <w:r w:rsidRPr="00586687">
              <w:rPr>
                <w:bCs/>
                <w:szCs w:val="17"/>
              </w:rPr>
              <w:t>425</w:t>
            </w:r>
          </w:p>
        </w:tc>
        <w:tc>
          <w:tcPr>
            <w:tcW w:w="1931" w:type="dxa"/>
            <w:shd w:val="clear" w:color="auto" w:fill="auto"/>
            <w:vAlign w:val="center"/>
          </w:tcPr>
          <w:p w14:paraId="086F42B4" w14:textId="6ABBE6D9" w:rsidR="006D12DC" w:rsidRPr="00586687" w:rsidRDefault="006D12DC" w:rsidP="00143694">
            <w:pPr>
              <w:jc w:val="center"/>
            </w:pPr>
            <w:r w:rsidRPr="00586687">
              <w:rPr>
                <w:rStyle w:val="HideTWBExt"/>
              </w:rPr>
              <w:t>&lt;Article2&gt;</w:t>
            </w:r>
            <w:r w:rsidRPr="00586687">
              <w:t>Article 37 – paragraph 1 – point e</w:t>
            </w:r>
            <w:r w:rsidRPr="00586687">
              <w:rPr>
                <w:rStyle w:val="HideTWBExt"/>
              </w:rPr>
              <w:t>&lt;/Article2&gt;</w:t>
            </w:r>
          </w:p>
          <w:p w14:paraId="0046A038" w14:textId="77777777" w:rsidR="00EB6406" w:rsidRPr="00586687" w:rsidRDefault="00EB6406" w:rsidP="00143694">
            <w:pPr>
              <w:jc w:val="center"/>
              <w:rPr>
                <w:bCs/>
                <w:szCs w:val="17"/>
              </w:rPr>
            </w:pPr>
          </w:p>
        </w:tc>
        <w:tc>
          <w:tcPr>
            <w:tcW w:w="6588" w:type="dxa"/>
            <w:shd w:val="clear" w:color="auto" w:fill="auto"/>
          </w:tcPr>
          <w:p w14:paraId="307D4562" w14:textId="07A23597" w:rsidR="00EB6406" w:rsidRPr="00586687" w:rsidRDefault="00F773E3" w:rsidP="00143694">
            <w:pPr>
              <w:jc w:val="left"/>
              <w:rPr>
                <w:bCs/>
                <w:szCs w:val="17"/>
              </w:rPr>
            </w:pPr>
            <w:r w:rsidRPr="00586687">
              <w:rPr>
                <w:bCs/>
                <w:szCs w:val="17"/>
              </w:rPr>
              <w:t xml:space="preserve">Capital add-ons can be set </w:t>
            </w:r>
            <w:r w:rsidR="003E74D0" w:rsidRPr="00586687">
              <w:rPr>
                <w:bCs/>
                <w:szCs w:val="17"/>
              </w:rPr>
              <w:t xml:space="preserve">also when </w:t>
            </w:r>
            <w:r w:rsidR="00BC363F" w:rsidRPr="00586687">
              <w:rPr>
                <w:bCs/>
                <w:szCs w:val="17"/>
              </w:rPr>
              <w:t xml:space="preserve">MA </w:t>
            </w:r>
            <w:r w:rsidR="009B716E" w:rsidRPr="00586687">
              <w:rPr>
                <w:bCs/>
                <w:szCs w:val="17"/>
              </w:rPr>
              <w:t>or</w:t>
            </w:r>
            <w:r w:rsidR="00BC363F" w:rsidRPr="00586687">
              <w:rPr>
                <w:bCs/>
                <w:szCs w:val="17"/>
              </w:rPr>
              <w:t xml:space="preserve"> VA</w:t>
            </w:r>
            <w:r w:rsidR="009B716E" w:rsidRPr="00586687">
              <w:rPr>
                <w:bCs/>
                <w:szCs w:val="17"/>
              </w:rPr>
              <w:t xml:space="preserve"> are </w:t>
            </w:r>
            <w:r w:rsidR="00770291" w:rsidRPr="00586687">
              <w:rPr>
                <w:bCs/>
                <w:szCs w:val="17"/>
              </w:rPr>
              <w:t>used,</w:t>
            </w:r>
            <w:r w:rsidR="009B716E" w:rsidRPr="00586687">
              <w:rPr>
                <w:bCs/>
                <w:szCs w:val="17"/>
              </w:rPr>
              <w:t xml:space="preserve"> and the NSA </w:t>
            </w:r>
            <w:r w:rsidR="00B54529" w:rsidRPr="00586687">
              <w:rPr>
                <w:bCs/>
                <w:szCs w:val="17"/>
              </w:rPr>
              <w:t xml:space="preserve">concludes that the risk profile </w:t>
            </w:r>
            <w:r w:rsidR="00DD0789" w:rsidRPr="00586687">
              <w:rPr>
                <w:bCs/>
                <w:szCs w:val="17"/>
              </w:rPr>
              <w:t>of the insurer deviates significantly from</w:t>
            </w:r>
            <w:r w:rsidR="00722419" w:rsidRPr="00586687">
              <w:rPr>
                <w:bCs/>
                <w:szCs w:val="17"/>
              </w:rPr>
              <w:t xml:space="preserve"> the assumptions</w:t>
            </w:r>
            <w:r w:rsidR="009D4852" w:rsidRPr="00586687">
              <w:rPr>
                <w:bCs/>
                <w:szCs w:val="17"/>
              </w:rPr>
              <w:t xml:space="preserve"> underlying these adjustments</w:t>
            </w:r>
            <w:r w:rsidR="00722419" w:rsidRPr="00586687">
              <w:rPr>
                <w:bCs/>
                <w:szCs w:val="17"/>
              </w:rPr>
              <w:t xml:space="preserve">. </w:t>
            </w:r>
            <w:r w:rsidR="00BC363F" w:rsidRPr="00586687">
              <w:rPr>
                <w:bCs/>
                <w:szCs w:val="17"/>
              </w:rPr>
              <w:t xml:space="preserve"> </w:t>
            </w:r>
            <w:r w:rsidR="00C9620E" w:rsidRPr="00586687">
              <w:rPr>
                <w:bCs/>
                <w:szCs w:val="17"/>
              </w:rPr>
              <w:t xml:space="preserve">For </w:t>
            </w:r>
            <w:proofErr w:type="spellStart"/>
            <w:r w:rsidR="00E84E72" w:rsidRPr="00586687">
              <w:rPr>
                <w:bCs/>
                <w:szCs w:val="17"/>
              </w:rPr>
              <w:t>transitionals</w:t>
            </w:r>
            <w:proofErr w:type="spellEnd"/>
            <w:r w:rsidR="00E84E72" w:rsidRPr="00586687">
              <w:rPr>
                <w:bCs/>
                <w:szCs w:val="17"/>
              </w:rPr>
              <w:t xml:space="preserve"> this would also imply when </w:t>
            </w:r>
            <w:r w:rsidR="00FC55C9" w:rsidRPr="00586687">
              <w:rPr>
                <w:bCs/>
                <w:szCs w:val="17"/>
              </w:rPr>
              <w:t xml:space="preserve">a realistic </w:t>
            </w:r>
            <w:r w:rsidR="00BC252C" w:rsidRPr="00586687">
              <w:rPr>
                <w:bCs/>
                <w:szCs w:val="17"/>
              </w:rPr>
              <w:t>phasing-in plan or an update thereof lacks.</w:t>
            </w:r>
          </w:p>
        </w:tc>
        <w:tc>
          <w:tcPr>
            <w:tcW w:w="1842" w:type="dxa"/>
            <w:shd w:val="clear" w:color="auto" w:fill="auto"/>
            <w:vAlign w:val="center"/>
          </w:tcPr>
          <w:p w14:paraId="50DB8D8E" w14:textId="34598C1B" w:rsidR="00EB6406" w:rsidRPr="00586687" w:rsidRDefault="006B058B" w:rsidP="00143694">
            <w:pPr>
              <w:jc w:val="center"/>
              <w:rPr>
                <w:bCs/>
                <w:szCs w:val="17"/>
              </w:rPr>
            </w:pPr>
            <w:proofErr w:type="spellStart"/>
            <w:r w:rsidRPr="00586687">
              <w:rPr>
                <w:bCs/>
                <w:szCs w:val="17"/>
              </w:rPr>
              <w:t>Eero</w:t>
            </w:r>
            <w:proofErr w:type="spellEnd"/>
            <w:r w:rsidRPr="00586687">
              <w:rPr>
                <w:bCs/>
                <w:szCs w:val="17"/>
              </w:rPr>
              <w:t xml:space="preserve"> </w:t>
            </w:r>
            <w:proofErr w:type="spellStart"/>
            <w:r w:rsidRPr="00586687">
              <w:rPr>
                <w:bCs/>
                <w:szCs w:val="17"/>
              </w:rPr>
              <w:t>Heinäluoma</w:t>
            </w:r>
            <w:proofErr w:type="spellEnd"/>
            <w:r w:rsidRPr="00586687">
              <w:rPr>
                <w:bCs/>
                <w:szCs w:val="17"/>
              </w:rPr>
              <w:t xml:space="preserve">, Aurore </w:t>
            </w:r>
            <w:proofErr w:type="spellStart"/>
            <w:r w:rsidRPr="00586687">
              <w:rPr>
                <w:bCs/>
                <w:szCs w:val="17"/>
              </w:rPr>
              <w:t>Lalucq</w:t>
            </w:r>
            <w:proofErr w:type="spellEnd"/>
          </w:p>
        </w:tc>
        <w:tc>
          <w:tcPr>
            <w:tcW w:w="2127" w:type="dxa"/>
            <w:shd w:val="clear" w:color="auto" w:fill="auto"/>
            <w:vAlign w:val="center"/>
          </w:tcPr>
          <w:p w14:paraId="11D2575B" w14:textId="3AC53D54" w:rsidR="00EB6406" w:rsidRPr="00586687" w:rsidRDefault="000B723E" w:rsidP="00143694">
            <w:pPr>
              <w:jc w:val="center"/>
              <w:rPr>
                <w:bCs/>
                <w:szCs w:val="17"/>
              </w:rPr>
            </w:pPr>
            <w:r w:rsidRPr="00586687">
              <w:rPr>
                <w:bCs/>
                <w:szCs w:val="17"/>
              </w:rPr>
              <w:t>Capital add-on</w:t>
            </w:r>
          </w:p>
        </w:tc>
        <w:tc>
          <w:tcPr>
            <w:tcW w:w="1471" w:type="dxa"/>
            <w:shd w:val="clear" w:color="auto" w:fill="auto"/>
            <w:vAlign w:val="center"/>
          </w:tcPr>
          <w:p w14:paraId="4D6DFE92" w14:textId="07167955" w:rsidR="00EB6406" w:rsidRPr="00586687" w:rsidRDefault="00E73F96" w:rsidP="00143694">
            <w:pPr>
              <w:jc w:val="center"/>
              <w:rPr>
                <w:bCs/>
                <w:szCs w:val="17"/>
              </w:rPr>
            </w:pPr>
            <w:r w:rsidRPr="00586687">
              <w:rPr>
                <w:b/>
                <w:color w:val="808080" w:themeColor="background1" w:themeShade="80"/>
                <w:szCs w:val="17"/>
              </w:rPr>
              <w:t>Neutral</w:t>
            </w:r>
          </w:p>
        </w:tc>
      </w:tr>
      <w:tr w:rsidR="00EB6406" w:rsidRPr="00586687" w14:paraId="060CC49D" w14:textId="77777777" w:rsidTr="00A2044B">
        <w:trPr>
          <w:trHeight w:val="998"/>
        </w:trPr>
        <w:tc>
          <w:tcPr>
            <w:tcW w:w="696" w:type="dxa"/>
            <w:shd w:val="clear" w:color="auto" w:fill="auto"/>
            <w:vAlign w:val="center"/>
          </w:tcPr>
          <w:p w14:paraId="228C4F6B" w14:textId="177F38ED" w:rsidR="00EB6406" w:rsidRPr="00586687" w:rsidRDefault="00D90EB1" w:rsidP="00143694">
            <w:pPr>
              <w:jc w:val="center"/>
              <w:rPr>
                <w:bCs/>
                <w:szCs w:val="17"/>
              </w:rPr>
            </w:pPr>
            <w:r w:rsidRPr="00586687">
              <w:rPr>
                <w:bCs/>
                <w:szCs w:val="17"/>
              </w:rPr>
              <w:t>426</w:t>
            </w:r>
          </w:p>
        </w:tc>
        <w:tc>
          <w:tcPr>
            <w:tcW w:w="1931" w:type="dxa"/>
            <w:shd w:val="clear" w:color="auto" w:fill="auto"/>
            <w:vAlign w:val="center"/>
          </w:tcPr>
          <w:p w14:paraId="7BCF7E8E" w14:textId="72459C37" w:rsidR="00EB6406" w:rsidRPr="00412D45" w:rsidRDefault="00ED3030" w:rsidP="00143694">
            <w:pPr>
              <w:jc w:val="center"/>
              <w:rPr>
                <w:bCs/>
                <w:szCs w:val="17"/>
                <w:lang w:val="fr-FR"/>
              </w:rPr>
            </w:pPr>
            <w:r w:rsidRPr="00412D45">
              <w:rPr>
                <w:bCs/>
                <w:szCs w:val="17"/>
                <w:lang w:val="fr-FR"/>
              </w:rPr>
              <w:t>Article 37 – paragraph 1 – point e a (new)</w:t>
            </w:r>
          </w:p>
        </w:tc>
        <w:tc>
          <w:tcPr>
            <w:tcW w:w="6588" w:type="dxa"/>
            <w:shd w:val="clear" w:color="auto" w:fill="auto"/>
          </w:tcPr>
          <w:p w14:paraId="3181D29A" w14:textId="77777777" w:rsidR="00B43E0F" w:rsidRPr="00586687" w:rsidRDefault="00402F4B" w:rsidP="00143694">
            <w:pPr>
              <w:jc w:val="left"/>
              <w:rPr>
                <w:bCs/>
                <w:szCs w:val="17"/>
              </w:rPr>
            </w:pPr>
            <w:r w:rsidRPr="00586687">
              <w:rPr>
                <w:bCs/>
                <w:szCs w:val="17"/>
              </w:rPr>
              <w:t xml:space="preserve">Capital add-ons can be set also when </w:t>
            </w:r>
            <w:r w:rsidR="00494829" w:rsidRPr="00586687">
              <w:rPr>
                <w:bCs/>
                <w:szCs w:val="17"/>
              </w:rPr>
              <w:t>insurer</w:t>
            </w:r>
            <w:r w:rsidR="00B43E0F" w:rsidRPr="00586687">
              <w:rPr>
                <w:bCs/>
                <w:szCs w:val="17"/>
              </w:rPr>
              <w:t>:</w:t>
            </w:r>
          </w:p>
          <w:p w14:paraId="521F0363" w14:textId="23BB87D3" w:rsidR="00B43E0F" w:rsidRPr="00586687" w:rsidRDefault="00B43E0F" w:rsidP="00143694">
            <w:pPr>
              <w:jc w:val="left"/>
              <w:rPr>
                <w:bCs/>
                <w:szCs w:val="17"/>
              </w:rPr>
            </w:pPr>
            <w:r w:rsidRPr="00586687">
              <w:rPr>
                <w:bCs/>
                <w:szCs w:val="17"/>
              </w:rPr>
              <w:t>-</w:t>
            </w:r>
            <w:r w:rsidR="00494829" w:rsidRPr="00586687">
              <w:rPr>
                <w:bCs/>
                <w:szCs w:val="17"/>
              </w:rPr>
              <w:t xml:space="preserve"> </w:t>
            </w:r>
            <w:r w:rsidR="00B53AB0" w:rsidRPr="00586687">
              <w:rPr>
                <w:bCs/>
                <w:szCs w:val="17"/>
              </w:rPr>
              <w:t>is exposed to material sus</w:t>
            </w:r>
            <w:r w:rsidR="009A3143" w:rsidRPr="00586687">
              <w:rPr>
                <w:bCs/>
                <w:szCs w:val="17"/>
              </w:rPr>
              <w:t>tainability</w:t>
            </w:r>
            <w:r w:rsidR="00B53AB0" w:rsidRPr="00586687">
              <w:rPr>
                <w:bCs/>
                <w:szCs w:val="17"/>
              </w:rPr>
              <w:t xml:space="preserve"> risks that are not </w:t>
            </w:r>
            <w:r w:rsidR="000574AC" w:rsidRPr="00586687">
              <w:rPr>
                <w:bCs/>
                <w:szCs w:val="17"/>
              </w:rPr>
              <w:t>adequately monitored, managed and mitigated;</w:t>
            </w:r>
          </w:p>
          <w:p w14:paraId="623700C0" w14:textId="51F83E79" w:rsidR="00EB6406" w:rsidRPr="00586687" w:rsidRDefault="00B43E0F" w:rsidP="00143694">
            <w:pPr>
              <w:jc w:val="left"/>
              <w:rPr>
                <w:bCs/>
                <w:szCs w:val="17"/>
              </w:rPr>
            </w:pPr>
            <w:r w:rsidRPr="00586687">
              <w:rPr>
                <w:bCs/>
                <w:szCs w:val="17"/>
              </w:rPr>
              <w:t>- i</w:t>
            </w:r>
            <w:r w:rsidR="000574AC" w:rsidRPr="00586687">
              <w:rPr>
                <w:bCs/>
                <w:szCs w:val="17"/>
              </w:rPr>
              <w:t>s not complying transitional plans referred to in Article 44a.</w:t>
            </w:r>
          </w:p>
        </w:tc>
        <w:tc>
          <w:tcPr>
            <w:tcW w:w="1842" w:type="dxa"/>
            <w:shd w:val="clear" w:color="auto" w:fill="auto"/>
            <w:vAlign w:val="center"/>
          </w:tcPr>
          <w:p w14:paraId="7324A6A1" w14:textId="1F21483E" w:rsidR="00EB6406" w:rsidRPr="00586687" w:rsidRDefault="00D90EB1" w:rsidP="00143694">
            <w:pPr>
              <w:jc w:val="center"/>
              <w:rPr>
                <w:bCs/>
                <w:szCs w:val="17"/>
              </w:rPr>
            </w:pPr>
            <w:proofErr w:type="spellStart"/>
            <w:r w:rsidRPr="00586687">
              <w:rPr>
                <w:bCs/>
                <w:szCs w:val="17"/>
              </w:rPr>
              <w:t>Henrike</w:t>
            </w:r>
            <w:proofErr w:type="spellEnd"/>
            <w:r w:rsidRPr="00586687">
              <w:rPr>
                <w:bCs/>
                <w:szCs w:val="17"/>
              </w:rPr>
              <w:t xml:space="preserve"> Hahn</w:t>
            </w:r>
          </w:p>
        </w:tc>
        <w:tc>
          <w:tcPr>
            <w:tcW w:w="2127" w:type="dxa"/>
            <w:shd w:val="clear" w:color="auto" w:fill="auto"/>
            <w:vAlign w:val="center"/>
          </w:tcPr>
          <w:p w14:paraId="6019695E" w14:textId="4E524C83" w:rsidR="00EB6406" w:rsidRPr="00586687" w:rsidRDefault="000574AC" w:rsidP="00143694">
            <w:pPr>
              <w:jc w:val="center"/>
              <w:rPr>
                <w:bCs/>
                <w:szCs w:val="17"/>
              </w:rPr>
            </w:pPr>
            <w:r w:rsidRPr="00586687">
              <w:rPr>
                <w:bCs/>
                <w:szCs w:val="17"/>
              </w:rPr>
              <w:t>Capital add-on</w:t>
            </w:r>
          </w:p>
        </w:tc>
        <w:tc>
          <w:tcPr>
            <w:tcW w:w="1471" w:type="dxa"/>
            <w:shd w:val="clear" w:color="auto" w:fill="auto"/>
            <w:vAlign w:val="center"/>
          </w:tcPr>
          <w:p w14:paraId="49EC3728" w14:textId="117272F1" w:rsidR="00EB6406" w:rsidRPr="00586687" w:rsidRDefault="00A130C8" w:rsidP="00143694">
            <w:pPr>
              <w:jc w:val="center"/>
              <w:rPr>
                <w:bCs/>
                <w:szCs w:val="17"/>
              </w:rPr>
            </w:pPr>
            <w:r w:rsidRPr="00586687">
              <w:rPr>
                <w:b/>
                <w:color w:val="808080" w:themeColor="background1" w:themeShade="80"/>
                <w:szCs w:val="17"/>
              </w:rPr>
              <w:t>Neutral</w:t>
            </w:r>
          </w:p>
        </w:tc>
      </w:tr>
      <w:tr w:rsidR="00D561CD" w:rsidRPr="00586687" w14:paraId="25DF78C5" w14:textId="77777777" w:rsidTr="00A2044B">
        <w:trPr>
          <w:trHeight w:val="494"/>
        </w:trPr>
        <w:tc>
          <w:tcPr>
            <w:tcW w:w="696" w:type="dxa"/>
            <w:shd w:val="clear" w:color="auto" w:fill="auto"/>
            <w:vAlign w:val="center"/>
          </w:tcPr>
          <w:p w14:paraId="2C051A6C" w14:textId="1540B065" w:rsidR="00D561CD" w:rsidRPr="00586687" w:rsidRDefault="00D561CD" w:rsidP="00143694">
            <w:pPr>
              <w:jc w:val="center"/>
              <w:rPr>
                <w:bCs/>
                <w:szCs w:val="17"/>
              </w:rPr>
            </w:pPr>
            <w:r w:rsidRPr="00586687">
              <w:rPr>
                <w:bCs/>
                <w:szCs w:val="17"/>
              </w:rPr>
              <w:t>427</w:t>
            </w:r>
          </w:p>
        </w:tc>
        <w:tc>
          <w:tcPr>
            <w:tcW w:w="1931" w:type="dxa"/>
            <w:shd w:val="clear" w:color="auto" w:fill="auto"/>
            <w:vAlign w:val="center"/>
          </w:tcPr>
          <w:p w14:paraId="5AD36558" w14:textId="6F074E7E" w:rsidR="00D561CD" w:rsidRPr="00586687" w:rsidRDefault="00D561CD" w:rsidP="00143694">
            <w:pPr>
              <w:jc w:val="center"/>
              <w:rPr>
                <w:bCs/>
                <w:szCs w:val="17"/>
              </w:rPr>
            </w:pPr>
            <w:r w:rsidRPr="00586687">
              <w:rPr>
                <w:bCs/>
                <w:szCs w:val="17"/>
              </w:rPr>
              <w:t>Article 37a (new)</w:t>
            </w:r>
          </w:p>
        </w:tc>
        <w:tc>
          <w:tcPr>
            <w:tcW w:w="6588" w:type="dxa"/>
            <w:shd w:val="clear" w:color="auto" w:fill="auto"/>
          </w:tcPr>
          <w:p w14:paraId="58D95B27" w14:textId="6C56739B" w:rsidR="00D561CD" w:rsidRPr="00586687" w:rsidRDefault="00280BAE" w:rsidP="00143694">
            <w:pPr>
              <w:jc w:val="left"/>
              <w:rPr>
                <w:bCs/>
                <w:szCs w:val="17"/>
              </w:rPr>
            </w:pPr>
            <w:r w:rsidRPr="00586687">
              <w:rPr>
                <w:bCs/>
                <w:szCs w:val="17"/>
              </w:rPr>
              <w:t>Introduces a macroprudential capital add-on</w:t>
            </w:r>
            <w:r w:rsidR="008E55DF" w:rsidRPr="00586687">
              <w:rPr>
                <w:bCs/>
                <w:szCs w:val="17"/>
              </w:rPr>
              <w:t>, imposed by NSAs in agreement with EIOPA</w:t>
            </w:r>
            <w:r w:rsidR="002B1977" w:rsidRPr="00586687">
              <w:rPr>
                <w:bCs/>
                <w:szCs w:val="17"/>
              </w:rPr>
              <w:t xml:space="preserve"> </w:t>
            </w:r>
            <w:r w:rsidR="00566630" w:rsidRPr="00586687">
              <w:rPr>
                <w:bCs/>
                <w:szCs w:val="17"/>
              </w:rPr>
              <w:t xml:space="preserve">when they assess </w:t>
            </w:r>
            <w:r w:rsidR="001E6FDB" w:rsidRPr="00586687">
              <w:rPr>
                <w:bCs/>
                <w:szCs w:val="17"/>
              </w:rPr>
              <w:t>activity/</w:t>
            </w:r>
            <w:proofErr w:type="gramStart"/>
            <w:r w:rsidR="001E6FDB" w:rsidRPr="00586687">
              <w:rPr>
                <w:bCs/>
                <w:szCs w:val="17"/>
              </w:rPr>
              <w:t>behaviour based</w:t>
            </w:r>
            <w:proofErr w:type="gramEnd"/>
            <w:r w:rsidR="001E6FDB" w:rsidRPr="00586687">
              <w:rPr>
                <w:bCs/>
                <w:szCs w:val="17"/>
              </w:rPr>
              <w:t xml:space="preserve"> sources of systemic risk.</w:t>
            </w:r>
          </w:p>
          <w:p w14:paraId="7AE3BF13" w14:textId="14F4462E" w:rsidR="004646E9" w:rsidRPr="00586687" w:rsidRDefault="004646E9" w:rsidP="00143694">
            <w:pPr>
              <w:jc w:val="left"/>
              <w:rPr>
                <w:bCs/>
                <w:szCs w:val="17"/>
              </w:rPr>
            </w:pPr>
            <w:r w:rsidRPr="00586687">
              <w:rPr>
                <w:bCs/>
                <w:szCs w:val="17"/>
              </w:rPr>
              <w:t xml:space="preserve">EC to develop DA to </w:t>
            </w:r>
            <w:r w:rsidR="008D1CF6" w:rsidRPr="00586687">
              <w:rPr>
                <w:bCs/>
                <w:szCs w:val="17"/>
              </w:rPr>
              <w:t>define conditions</w:t>
            </w:r>
          </w:p>
        </w:tc>
        <w:tc>
          <w:tcPr>
            <w:tcW w:w="1842" w:type="dxa"/>
            <w:shd w:val="clear" w:color="auto" w:fill="auto"/>
            <w:vAlign w:val="center"/>
          </w:tcPr>
          <w:p w14:paraId="0E264181" w14:textId="4CC8C455" w:rsidR="00D561CD" w:rsidRPr="00586687" w:rsidRDefault="00D561CD" w:rsidP="00143694">
            <w:pPr>
              <w:jc w:val="center"/>
              <w:rPr>
                <w:bCs/>
                <w:szCs w:val="17"/>
              </w:rPr>
            </w:pPr>
            <w:proofErr w:type="spellStart"/>
            <w:r w:rsidRPr="00586687">
              <w:rPr>
                <w:bCs/>
                <w:szCs w:val="17"/>
              </w:rPr>
              <w:t>Heinäluoma</w:t>
            </w:r>
            <w:proofErr w:type="spellEnd"/>
            <w:r w:rsidRPr="00586687">
              <w:rPr>
                <w:bCs/>
                <w:szCs w:val="17"/>
              </w:rPr>
              <w:t xml:space="preserve">, Tang, Fernández, </w:t>
            </w:r>
            <w:proofErr w:type="spellStart"/>
            <w:r w:rsidRPr="00586687">
              <w:rPr>
                <w:bCs/>
                <w:szCs w:val="17"/>
              </w:rPr>
              <w:t>Lalucq</w:t>
            </w:r>
            <w:proofErr w:type="spellEnd"/>
          </w:p>
        </w:tc>
        <w:tc>
          <w:tcPr>
            <w:tcW w:w="2127" w:type="dxa"/>
            <w:shd w:val="clear" w:color="auto" w:fill="auto"/>
            <w:vAlign w:val="center"/>
          </w:tcPr>
          <w:p w14:paraId="6CABA03E" w14:textId="1C7D766D" w:rsidR="00D561CD" w:rsidRPr="00586687" w:rsidRDefault="00D561CD" w:rsidP="00143694">
            <w:pPr>
              <w:jc w:val="center"/>
              <w:rPr>
                <w:szCs w:val="17"/>
              </w:rPr>
            </w:pPr>
            <w:r w:rsidRPr="00586687">
              <w:rPr>
                <w:szCs w:val="17"/>
              </w:rPr>
              <w:t>Capital add-on</w:t>
            </w:r>
            <w:r w:rsidR="002C1A68" w:rsidRPr="00586687">
              <w:rPr>
                <w:szCs w:val="17"/>
              </w:rPr>
              <w:t>/systemic risk</w:t>
            </w:r>
          </w:p>
        </w:tc>
        <w:tc>
          <w:tcPr>
            <w:tcW w:w="1471" w:type="dxa"/>
            <w:shd w:val="clear" w:color="auto" w:fill="auto"/>
            <w:vAlign w:val="center"/>
          </w:tcPr>
          <w:p w14:paraId="0F2F5513" w14:textId="3648FFB4" w:rsidR="00D561CD" w:rsidRPr="00586687" w:rsidRDefault="00AF2207" w:rsidP="00143694">
            <w:pPr>
              <w:jc w:val="center"/>
              <w:rPr>
                <w:bCs/>
                <w:szCs w:val="17"/>
              </w:rPr>
            </w:pPr>
            <w:r w:rsidRPr="00586687">
              <w:rPr>
                <w:b/>
                <w:color w:val="808080" w:themeColor="background1" w:themeShade="80"/>
                <w:szCs w:val="17"/>
              </w:rPr>
              <w:t>Neutral</w:t>
            </w:r>
          </w:p>
        </w:tc>
      </w:tr>
      <w:tr w:rsidR="00D561CD" w:rsidRPr="00586687" w14:paraId="67A32CC1" w14:textId="77777777" w:rsidTr="00A2044B">
        <w:trPr>
          <w:trHeight w:val="494"/>
        </w:trPr>
        <w:tc>
          <w:tcPr>
            <w:tcW w:w="696" w:type="dxa"/>
            <w:shd w:val="clear" w:color="auto" w:fill="auto"/>
            <w:vAlign w:val="center"/>
          </w:tcPr>
          <w:p w14:paraId="0928E042" w14:textId="4B9DE5DD" w:rsidR="00D561CD" w:rsidRPr="00586687" w:rsidRDefault="00910199" w:rsidP="00143694">
            <w:pPr>
              <w:jc w:val="center"/>
              <w:rPr>
                <w:bCs/>
                <w:szCs w:val="17"/>
              </w:rPr>
            </w:pPr>
            <w:r w:rsidRPr="00586687">
              <w:rPr>
                <w:bCs/>
                <w:szCs w:val="17"/>
              </w:rPr>
              <w:t>428</w:t>
            </w:r>
          </w:p>
        </w:tc>
        <w:tc>
          <w:tcPr>
            <w:tcW w:w="1931" w:type="dxa"/>
            <w:shd w:val="clear" w:color="auto" w:fill="auto"/>
            <w:vAlign w:val="center"/>
          </w:tcPr>
          <w:p w14:paraId="002FEA6B" w14:textId="45B79996" w:rsidR="00D561CD" w:rsidRPr="00586687" w:rsidRDefault="00B100ED" w:rsidP="00143694">
            <w:pPr>
              <w:jc w:val="center"/>
              <w:rPr>
                <w:bCs/>
                <w:szCs w:val="17"/>
              </w:rPr>
            </w:pPr>
            <w:r w:rsidRPr="00586687">
              <w:rPr>
                <w:bCs/>
                <w:szCs w:val="17"/>
              </w:rPr>
              <w:t>Article 40 – paragraphs 1 a (new) and 2 a (new)</w:t>
            </w:r>
          </w:p>
        </w:tc>
        <w:tc>
          <w:tcPr>
            <w:tcW w:w="6588" w:type="dxa"/>
            <w:shd w:val="clear" w:color="auto" w:fill="auto"/>
          </w:tcPr>
          <w:p w14:paraId="75E1709E" w14:textId="03882023" w:rsidR="0015667C" w:rsidRPr="00586687" w:rsidRDefault="00A12F29" w:rsidP="00143694">
            <w:pPr>
              <w:jc w:val="left"/>
              <w:rPr>
                <w:bCs/>
                <w:szCs w:val="17"/>
              </w:rPr>
            </w:pPr>
            <w:r w:rsidRPr="00586687">
              <w:rPr>
                <w:bCs/>
                <w:szCs w:val="17"/>
              </w:rPr>
              <w:t xml:space="preserve">Regarding </w:t>
            </w:r>
            <w:r w:rsidR="00FE092A" w:rsidRPr="00586687">
              <w:rPr>
                <w:bCs/>
                <w:szCs w:val="17"/>
              </w:rPr>
              <w:t xml:space="preserve">AMSB responsibilities, </w:t>
            </w:r>
            <w:r w:rsidR="0053745D" w:rsidRPr="00586687">
              <w:rPr>
                <w:bCs/>
                <w:szCs w:val="17"/>
              </w:rPr>
              <w:t xml:space="preserve">added that AMSB </w:t>
            </w:r>
            <w:r w:rsidR="0098054C" w:rsidRPr="00586687">
              <w:rPr>
                <w:bCs/>
                <w:szCs w:val="17"/>
              </w:rPr>
              <w:t xml:space="preserve">members </w:t>
            </w:r>
            <w:r w:rsidR="00216C78" w:rsidRPr="00586687">
              <w:rPr>
                <w:bCs/>
                <w:szCs w:val="17"/>
              </w:rPr>
              <w:t xml:space="preserve">are at </w:t>
            </w:r>
            <w:r w:rsidR="0098054C" w:rsidRPr="00586687">
              <w:rPr>
                <w:bCs/>
                <w:szCs w:val="17"/>
              </w:rPr>
              <w:t>all times of good repute</w:t>
            </w:r>
            <w:r w:rsidR="00374640" w:rsidRPr="00586687">
              <w:rPr>
                <w:bCs/>
                <w:szCs w:val="17"/>
              </w:rPr>
              <w:t>, with sufficient knowledge/skills and experience</w:t>
            </w:r>
            <w:r w:rsidR="0015667C" w:rsidRPr="00586687">
              <w:rPr>
                <w:bCs/>
                <w:szCs w:val="17"/>
              </w:rPr>
              <w:t xml:space="preserve"> to perform their </w:t>
            </w:r>
            <w:r w:rsidR="00052421" w:rsidRPr="00586687">
              <w:rPr>
                <w:bCs/>
                <w:szCs w:val="17"/>
              </w:rPr>
              <w:t>duty and</w:t>
            </w:r>
            <w:r w:rsidR="0015667C" w:rsidRPr="00586687">
              <w:rPr>
                <w:bCs/>
                <w:szCs w:val="17"/>
              </w:rPr>
              <w:t xml:space="preserve"> they may not have been convicted of offences </w:t>
            </w:r>
            <w:r w:rsidR="003A17D7" w:rsidRPr="00586687">
              <w:rPr>
                <w:bCs/>
                <w:szCs w:val="17"/>
              </w:rPr>
              <w:t>relating to money laundering/terrorist financing.</w:t>
            </w:r>
          </w:p>
          <w:p w14:paraId="4940C551" w14:textId="63611276" w:rsidR="00D561CD" w:rsidRPr="00586687" w:rsidRDefault="00D561CD" w:rsidP="00143694">
            <w:pPr>
              <w:jc w:val="left"/>
              <w:rPr>
                <w:bCs/>
                <w:szCs w:val="17"/>
              </w:rPr>
            </w:pPr>
          </w:p>
        </w:tc>
        <w:tc>
          <w:tcPr>
            <w:tcW w:w="1842" w:type="dxa"/>
            <w:shd w:val="clear" w:color="auto" w:fill="auto"/>
            <w:vAlign w:val="center"/>
          </w:tcPr>
          <w:p w14:paraId="54DE81FA" w14:textId="1CEACA5C" w:rsidR="00D561CD" w:rsidRPr="00586687" w:rsidRDefault="000F5BAF" w:rsidP="00143694">
            <w:pPr>
              <w:jc w:val="center"/>
              <w:rPr>
                <w:bCs/>
                <w:szCs w:val="17"/>
              </w:rPr>
            </w:pPr>
            <w:proofErr w:type="spellStart"/>
            <w:r w:rsidRPr="00586687">
              <w:rPr>
                <w:bCs/>
                <w:szCs w:val="17"/>
              </w:rPr>
              <w:t>Henrike</w:t>
            </w:r>
            <w:proofErr w:type="spellEnd"/>
            <w:r w:rsidRPr="00586687">
              <w:rPr>
                <w:bCs/>
                <w:szCs w:val="17"/>
              </w:rPr>
              <w:t xml:space="preserve"> Hahn</w:t>
            </w:r>
          </w:p>
        </w:tc>
        <w:tc>
          <w:tcPr>
            <w:tcW w:w="2127" w:type="dxa"/>
            <w:shd w:val="clear" w:color="auto" w:fill="auto"/>
            <w:vAlign w:val="center"/>
          </w:tcPr>
          <w:p w14:paraId="772D3BF8" w14:textId="56601C20" w:rsidR="00D561CD" w:rsidRPr="00586687" w:rsidRDefault="003A17D7" w:rsidP="00143694">
            <w:pPr>
              <w:jc w:val="center"/>
              <w:rPr>
                <w:bCs/>
                <w:szCs w:val="17"/>
              </w:rPr>
            </w:pPr>
            <w:r w:rsidRPr="00586687">
              <w:rPr>
                <w:bCs/>
                <w:szCs w:val="17"/>
              </w:rPr>
              <w:t>AMSB</w:t>
            </w:r>
          </w:p>
        </w:tc>
        <w:tc>
          <w:tcPr>
            <w:tcW w:w="1471" w:type="dxa"/>
            <w:shd w:val="clear" w:color="auto" w:fill="auto"/>
            <w:vAlign w:val="center"/>
          </w:tcPr>
          <w:p w14:paraId="1D62855E" w14:textId="2A3B9CD8" w:rsidR="00D561CD" w:rsidRPr="00586687" w:rsidRDefault="00E73F96" w:rsidP="00143694">
            <w:pPr>
              <w:jc w:val="center"/>
              <w:rPr>
                <w:bCs/>
                <w:szCs w:val="17"/>
              </w:rPr>
            </w:pPr>
            <w:r w:rsidRPr="00586687">
              <w:rPr>
                <w:b/>
                <w:color w:val="808080" w:themeColor="background1" w:themeShade="80"/>
                <w:szCs w:val="17"/>
              </w:rPr>
              <w:t>Neutral</w:t>
            </w:r>
          </w:p>
        </w:tc>
      </w:tr>
      <w:tr w:rsidR="00D561CD" w:rsidRPr="00586687" w14:paraId="1AFB0B4B" w14:textId="77777777" w:rsidTr="00A2044B">
        <w:trPr>
          <w:trHeight w:val="494"/>
        </w:trPr>
        <w:tc>
          <w:tcPr>
            <w:tcW w:w="696" w:type="dxa"/>
            <w:shd w:val="clear" w:color="auto" w:fill="auto"/>
            <w:vAlign w:val="center"/>
          </w:tcPr>
          <w:p w14:paraId="79F8DE7F" w14:textId="36022488" w:rsidR="00D561CD" w:rsidRPr="00586687" w:rsidRDefault="007B4311" w:rsidP="00143694">
            <w:pPr>
              <w:jc w:val="center"/>
              <w:rPr>
                <w:bCs/>
                <w:szCs w:val="17"/>
              </w:rPr>
            </w:pPr>
            <w:r w:rsidRPr="00586687">
              <w:rPr>
                <w:bCs/>
                <w:szCs w:val="17"/>
              </w:rPr>
              <w:t>429</w:t>
            </w:r>
          </w:p>
        </w:tc>
        <w:tc>
          <w:tcPr>
            <w:tcW w:w="1931" w:type="dxa"/>
            <w:shd w:val="clear" w:color="auto" w:fill="auto"/>
            <w:vAlign w:val="center"/>
          </w:tcPr>
          <w:p w14:paraId="5B7CAE0A" w14:textId="60547C50" w:rsidR="00D561CD" w:rsidRPr="00586687" w:rsidRDefault="00E8264C" w:rsidP="00143694">
            <w:pPr>
              <w:jc w:val="center"/>
              <w:rPr>
                <w:bCs/>
                <w:szCs w:val="17"/>
              </w:rPr>
            </w:pPr>
            <w:r w:rsidRPr="00586687">
              <w:rPr>
                <w:bCs/>
                <w:szCs w:val="17"/>
              </w:rPr>
              <w:t>Article 41 – paragraph 1 – subparagraph 3</w:t>
            </w:r>
          </w:p>
        </w:tc>
        <w:tc>
          <w:tcPr>
            <w:tcW w:w="6588" w:type="dxa"/>
            <w:shd w:val="clear" w:color="auto" w:fill="auto"/>
          </w:tcPr>
          <w:p w14:paraId="592D91DE" w14:textId="184591D2" w:rsidR="00D561CD" w:rsidRPr="00586687" w:rsidRDefault="000F5094" w:rsidP="00143694">
            <w:pPr>
              <w:jc w:val="left"/>
              <w:rPr>
                <w:bCs/>
                <w:szCs w:val="17"/>
              </w:rPr>
            </w:pPr>
            <w:r w:rsidRPr="00586687">
              <w:rPr>
                <w:bCs/>
                <w:szCs w:val="17"/>
              </w:rPr>
              <w:t xml:space="preserve">Included in system of governance that </w:t>
            </w:r>
            <w:r w:rsidR="00C6515B" w:rsidRPr="00586687">
              <w:rPr>
                <w:bCs/>
                <w:szCs w:val="17"/>
              </w:rPr>
              <w:t>the regular review shall</w:t>
            </w:r>
            <w:r w:rsidR="009B75D6" w:rsidRPr="00586687">
              <w:rPr>
                <w:bCs/>
                <w:szCs w:val="17"/>
              </w:rPr>
              <w:t xml:space="preserve"> include an assessment </w:t>
            </w:r>
            <w:r w:rsidR="00805B69" w:rsidRPr="00586687">
              <w:rPr>
                <w:bCs/>
                <w:szCs w:val="17"/>
              </w:rPr>
              <w:t>of the expertise about sustainability risks.</w:t>
            </w:r>
          </w:p>
        </w:tc>
        <w:tc>
          <w:tcPr>
            <w:tcW w:w="1842" w:type="dxa"/>
            <w:shd w:val="clear" w:color="auto" w:fill="auto"/>
            <w:vAlign w:val="center"/>
          </w:tcPr>
          <w:p w14:paraId="4441E27E" w14:textId="0F7F7947" w:rsidR="00D561CD" w:rsidRPr="00586687" w:rsidRDefault="000351BB" w:rsidP="00143694">
            <w:pPr>
              <w:jc w:val="center"/>
              <w:rPr>
                <w:bCs/>
                <w:szCs w:val="17"/>
              </w:rPr>
            </w:pPr>
            <w:r w:rsidRPr="00586687">
              <w:rPr>
                <w:bCs/>
                <w:szCs w:val="17"/>
              </w:rPr>
              <w:t xml:space="preserve">Yon-Courtin, Boyer, </w:t>
            </w:r>
            <w:proofErr w:type="spellStart"/>
            <w:r w:rsidRPr="00586687">
              <w:rPr>
                <w:bCs/>
                <w:szCs w:val="17"/>
              </w:rPr>
              <w:t>Canfin</w:t>
            </w:r>
            <w:proofErr w:type="spellEnd"/>
          </w:p>
        </w:tc>
        <w:tc>
          <w:tcPr>
            <w:tcW w:w="2127" w:type="dxa"/>
            <w:shd w:val="clear" w:color="auto" w:fill="auto"/>
            <w:vAlign w:val="center"/>
          </w:tcPr>
          <w:p w14:paraId="08175D04" w14:textId="77777777" w:rsidR="00333142" w:rsidRPr="00586687" w:rsidRDefault="00805B69" w:rsidP="00143694">
            <w:pPr>
              <w:jc w:val="center"/>
              <w:rPr>
                <w:bCs/>
                <w:szCs w:val="17"/>
              </w:rPr>
            </w:pPr>
            <w:r w:rsidRPr="00586687">
              <w:rPr>
                <w:bCs/>
                <w:szCs w:val="17"/>
              </w:rPr>
              <w:t>System of governance/</w:t>
            </w:r>
          </w:p>
          <w:p w14:paraId="2E9AC461" w14:textId="4AB475C8" w:rsidR="00D561CD" w:rsidRPr="00586687" w:rsidRDefault="00805B69" w:rsidP="00143694">
            <w:pPr>
              <w:jc w:val="center"/>
              <w:rPr>
                <w:bCs/>
                <w:szCs w:val="17"/>
              </w:rPr>
            </w:pPr>
            <w:r w:rsidRPr="00586687">
              <w:rPr>
                <w:bCs/>
                <w:szCs w:val="17"/>
              </w:rPr>
              <w:t>sustainability</w:t>
            </w:r>
          </w:p>
        </w:tc>
        <w:tc>
          <w:tcPr>
            <w:tcW w:w="1471" w:type="dxa"/>
            <w:shd w:val="clear" w:color="auto" w:fill="auto"/>
            <w:vAlign w:val="center"/>
          </w:tcPr>
          <w:p w14:paraId="026C9775" w14:textId="7D013842" w:rsidR="00D561CD" w:rsidRPr="00586687" w:rsidRDefault="00071B3D" w:rsidP="00143694">
            <w:pPr>
              <w:jc w:val="center"/>
              <w:rPr>
                <w:b/>
                <w:color w:val="808080" w:themeColor="background1" w:themeShade="80"/>
                <w:szCs w:val="17"/>
              </w:rPr>
            </w:pPr>
            <w:r w:rsidRPr="00586687">
              <w:rPr>
                <w:b/>
                <w:color w:val="808080" w:themeColor="background1" w:themeShade="80"/>
                <w:szCs w:val="17"/>
              </w:rPr>
              <w:t>Neutral</w:t>
            </w:r>
          </w:p>
        </w:tc>
      </w:tr>
      <w:tr w:rsidR="00D561CD" w:rsidRPr="00586687" w14:paraId="52356145" w14:textId="77777777" w:rsidTr="00A2044B">
        <w:trPr>
          <w:trHeight w:val="494"/>
        </w:trPr>
        <w:tc>
          <w:tcPr>
            <w:tcW w:w="696" w:type="dxa"/>
            <w:shd w:val="clear" w:color="auto" w:fill="auto"/>
            <w:vAlign w:val="center"/>
          </w:tcPr>
          <w:p w14:paraId="2BED0109" w14:textId="0863418C" w:rsidR="00D561CD" w:rsidRPr="00586687" w:rsidRDefault="00BF2AF4" w:rsidP="00143694">
            <w:pPr>
              <w:jc w:val="center"/>
              <w:rPr>
                <w:bCs/>
                <w:szCs w:val="17"/>
              </w:rPr>
            </w:pPr>
            <w:r w:rsidRPr="00586687">
              <w:rPr>
                <w:bCs/>
                <w:szCs w:val="17"/>
              </w:rPr>
              <w:t>430</w:t>
            </w:r>
          </w:p>
        </w:tc>
        <w:tc>
          <w:tcPr>
            <w:tcW w:w="1931" w:type="dxa"/>
            <w:shd w:val="clear" w:color="auto" w:fill="auto"/>
            <w:vAlign w:val="center"/>
          </w:tcPr>
          <w:p w14:paraId="3E4D7702" w14:textId="350FE30C" w:rsidR="00D561CD" w:rsidRPr="00412D45" w:rsidRDefault="00BF2AF4" w:rsidP="00143694">
            <w:pPr>
              <w:jc w:val="center"/>
              <w:rPr>
                <w:bCs/>
                <w:szCs w:val="17"/>
                <w:lang w:val="fr-FR"/>
              </w:rPr>
            </w:pPr>
            <w:r w:rsidRPr="00412D45">
              <w:rPr>
                <w:bCs/>
                <w:szCs w:val="17"/>
                <w:lang w:val="fr-FR"/>
              </w:rPr>
              <w:t>Article 41 – paragraph 1 – subparagraph 3 a (new)</w:t>
            </w:r>
          </w:p>
        </w:tc>
        <w:tc>
          <w:tcPr>
            <w:tcW w:w="6588" w:type="dxa"/>
            <w:shd w:val="clear" w:color="auto" w:fill="auto"/>
          </w:tcPr>
          <w:p w14:paraId="3CDB5F2B" w14:textId="18307235" w:rsidR="00D561CD" w:rsidRPr="00586687" w:rsidRDefault="00B35566" w:rsidP="00143694">
            <w:pPr>
              <w:jc w:val="left"/>
              <w:rPr>
                <w:bCs/>
                <w:szCs w:val="17"/>
              </w:rPr>
            </w:pPr>
            <w:r w:rsidRPr="00586687">
              <w:rPr>
                <w:bCs/>
                <w:szCs w:val="17"/>
              </w:rPr>
              <w:t>U</w:t>
            </w:r>
            <w:r w:rsidR="00CD3916" w:rsidRPr="00586687">
              <w:rPr>
                <w:bCs/>
                <w:szCs w:val="17"/>
              </w:rPr>
              <w:t xml:space="preserve">ndertakings shall set individual quantitative objectives in view of improving </w:t>
            </w:r>
            <w:r w:rsidR="001A2980" w:rsidRPr="00586687">
              <w:rPr>
                <w:bCs/>
                <w:szCs w:val="17"/>
              </w:rPr>
              <w:t>gender balanced</w:t>
            </w:r>
            <w:r w:rsidR="00CD3916" w:rsidRPr="00586687">
              <w:rPr>
                <w:bCs/>
                <w:szCs w:val="17"/>
              </w:rPr>
              <w:t xml:space="preserve"> representation of both sexes within their governance structures.</w:t>
            </w:r>
          </w:p>
        </w:tc>
        <w:tc>
          <w:tcPr>
            <w:tcW w:w="1842" w:type="dxa"/>
            <w:shd w:val="clear" w:color="auto" w:fill="auto"/>
            <w:vAlign w:val="center"/>
          </w:tcPr>
          <w:p w14:paraId="46DECD7C" w14:textId="566B0334" w:rsidR="00D561CD" w:rsidRPr="00586687" w:rsidRDefault="005714BE" w:rsidP="00143694">
            <w:pPr>
              <w:jc w:val="center"/>
              <w:rPr>
                <w:bCs/>
                <w:szCs w:val="17"/>
              </w:rPr>
            </w:pPr>
            <w:r w:rsidRPr="00586687">
              <w:rPr>
                <w:bCs/>
                <w:szCs w:val="17"/>
              </w:rPr>
              <w:t>MacManus</w:t>
            </w:r>
          </w:p>
        </w:tc>
        <w:tc>
          <w:tcPr>
            <w:tcW w:w="2127" w:type="dxa"/>
            <w:shd w:val="clear" w:color="auto" w:fill="auto"/>
            <w:vAlign w:val="center"/>
          </w:tcPr>
          <w:p w14:paraId="6C7DF838" w14:textId="510A97D7" w:rsidR="00D561CD" w:rsidRPr="00586687" w:rsidRDefault="002C1A68" w:rsidP="00143694">
            <w:pPr>
              <w:jc w:val="center"/>
              <w:rPr>
                <w:szCs w:val="17"/>
              </w:rPr>
            </w:pPr>
            <w:r w:rsidRPr="00586687">
              <w:rPr>
                <w:bCs/>
                <w:szCs w:val="17"/>
              </w:rPr>
              <w:t>System of governance/D&amp;I</w:t>
            </w:r>
          </w:p>
        </w:tc>
        <w:tc>
          <w:tcPr>
            <w:tcW w:w="1471" w:type="dxa"/>
            <w:shd w:val="clear" w:color="auto" w:fill="auto"/>
            <w:vAlign w:val="center"/>
          </w:tcPr>
          <w:p w14:paraId="37A864F2" w14:textId="190F98CC" w:rsidR="00D561CD" w:rsidRPr="00586687" w:rsidRDefault="00071B3D" w:rsidP="00143694">
            <w:pPr>
              <w:jc w:val="center"/>
              <w:rPr>
                <w:b/>
                <w:color w:val="808080" w:themeColor="background1" w:themeShade="80"/>
                <w:szCs w:val="17"/>
              </w:rPr>
            </w:pPr>
            <w:r w:rsidRPr="00586687">
              <w:rPr>
                <w:b/>
                <w:color w:val="808080" w:themeColor="background1" w:themeShade="80"/>
                <w:szCs w:val="17"/>
              </w:rPr>
              <w:t>Neutral</w:t>
            </w:r>
          </w:p>
        </w:tc>
      </w:tr>
      <w:tr w:rsidR="00D561CD" w:rsidRPr="00586687" w14:paraId="5E747627" w14:textId="77777777" w:rsidTr="00A2044B">
        <w:trPr>
          <w:trHeight w:val="494"/>
        </w:trPr>
        <w:tc>
          <w:tcPr>
            <w:tcW w:w="696" w:type="dxa"/>
            <w:shd w:val="clear" w:color="auto" w:fill="auto"/>
            <w:vAlign w:val="center"/>
          </w:tcPr>
          <w:p w14:paraId="64E1673C" w14:textId="68315674" w:rsidR="00D561CD" w:rsidRPr="00586687" w:rsidRDefault="00BF2AF4" w:rsidP="00143694">
            <w:pPr>
              <w:jc w:val="center"/>
              <w:rPr>
                <w:bCs/>
                <w:szCs w:val="17"/>
              </w:rPr>
            </w:pPr>
            <w:r w:rsidRPr="00586687">
              <w:rPr>
                <w:bCs/>
                <w:szCs w:val="17"/>
              </w:rPr>
              <w:t>431</w:t>
            </w:r>
          </w:p>
        </w:tc>
        <w:tc>
          <w:tcPr>
            <w:tcW w:w="1931" w:type="dxa"/>
            <w:shd w:val="clear" w:color="auto" w:fill="auto"/>
            <w:vAlign w:val="center"/>
          </w:tcPr>
          <w:p w14:paraId="36425A77" w14:textId="08E16E56" w:rsidR="00D561CD" w:rsidRPr="00586687" w:rsidRDefault="000244D7" w:rsidP="00143694">
            <w:pPr>
              <w:jc w:val="center"/>
              <w:rPr>
                <w:bCs/>
                <w:szCs w:val="17"/>
              </w:rPr>
            </w:pPr>
            <w:r w:rsidRPr="00586687">
              <w:rPr>
                <w:bCs/>
                <w:szCs w:val="17"/>
              </w:rPr>
              <w:t>Article 41 – paragraph 2a – subparagraph 2</w:t>
            </w:r>
          </w:p>
        </w:tc>
        <w:tc>
          <w:tcPr>
            <w:tcW w:w="6588" w:type="dxa"/>
            <w:shd w:val="clear" w:color="auto" w:fill="auto"/>
          </w:tcPr>
          <w:p w14:paraId="442B8F24" w14:textId="6B76397D" w:rsidR="00D561CD" w:rsidRPr="00586687" w:rsidRDefault="00D85E67" w:rsidP="00143694">
            <w:pPr>
              <w:jc w:val="left"/>
              <w:rPr>
                <w:bCs/>
                <w:szCs w:val="17"/>
              </w:rPr>
            </w:pPr>
            <w:r w:rsidRPr="00586687">
              <w:rPr>
                <w:bCs/>
                <w:szCs w:val="17"/>
              </w:rPr>
              <w:t xml:space="preserve">Deleted </w:t>
            </w:r>
            <w:r w:rsidR="00850B8D" w:rsidRPr="00586687">
              <w:rPr>
                <w:bCs/>
                <w:szCs w:val="17"/>
              </w:rPr>
              <w:t xml:space="preserve">the exemption for </w:t>
            </w:r>
            <w:r w:rsidR="0006409C" w:rsidRPr="00586687">
              <w:rPr>
                <w:bCs/>
                <w:szCs w:val="17"/>
              </w:rPr>
              <w:t>LRPUs that</w:t>
            </w:r>
            <w:r w:rsidR="00850B8D" w:rsidRPr="00586687">
              <w:rPr>
                <w:bCs/>
                <w:szCs w:val="17"/>
              </w:rPr>
              <w:t xml:space="preserve"> </w:t>
            </w:r>
            <w:r w:rsidR="00373B87" w:rsidRPr="00586687">
              <w:rPr>
                <w:bCs/>
                <w:szCs w:val="17"/>
              </w:rPr>
              <w:t xml:space="preserve">key function holders </w:t>
            </w:r>
            <w:r w:rsidR="000E57D2" w:rsidRPr="00586687">
              <w:rPr>
                <w:bCs/>
                <w:szCs w:val="17"/>
              </w:rPr>
              <w:t>may perform another key function</w:t>
            </w:r>
            <w:r w:rsidR="002723A6" w:rsidRPr="00586687">
              <w:rPr>
                <w:bCs/>
                <w:szCs w:val="17"/>
              </w:rPr>
              <w:t>.</w:t>
            </w:r>
          </w:p>
          <w:p w14:paraId="3FF8D695" w14:textId="77777777" w:rsidR="006B4329" w:rsidRPr="00586687" w:rsidRDefault="006B4329" w:rsidP="00143694">
            <w:pPr>
              <w:jc w:val="left"/>
              <w:rPr>
                <w:bCs/>
                <w:szCs w:val="17"/>
              </w:rPr>
            </w:pPr>
          </w:p>
          <w:p w14:paraId="2A954FC3" w14:textId="4FA06064" w:rsidR="006B4329" w:rsidRPr="00140E41" w:rsidRDefault="006B4329" w:rsidP="00143694">
            <w:pPr>
              <w:jc w:val="left"/>
              <w:rPr>
                <w:bCs/>
                <w:szCs w:val="17"/>
              </w:rPr>
            </w:pPr>
            <w:r w:rsidRPr="00140E41">
              <w:rPr>
                <w:bCs/>
                <w:i/>
                <w:iCs/>
                <w:szCs w:val="17"/>
              </w:rPr>
              <w:lastRenderedPageBreak/>
              <w:t>Justification</w:t>
            </w:r>
            <w:r w:rsidR="00140E41" w:rsidRPr="00140E41">
              <w:rPr>
                <w:bCs/>
                <w:i/>
                <w:iCs/>
                <w:szCs w:val="17"/>
              </w:rPr>
              <w:t xml:space="preserve">: </w:t>
            </w:r>
            <w:r w:rsidRPr="00140E41">
              <w:rPr>
                <w:bCs/>
                <w:i/>
                <w:iCs/>
                <w:szCs w:val="17"/>
              </w:rPr>
              <w:t>R</w:t>
            </w:r>
            <w:r w:rsidRPr="00586687">
              <w:rPr>
                <w:bCs/>
                <w:i/>
                <w:iCs/>
                <w:szCs w:val="17"/>
              </w:rPr>
              <w:t>emoving sensible, well established governance procedures is inappropriate.</w:t>
            </w:r>
          </w:p>
        </w:tc>
        <w:tc>
          <w:tcPr>
            <w:tcW w:w="1842" w:type="dxa"/>
            <w:shd w:val="clear" w:color="auto" w:fill="auto"/>
            <w:vAlign w:val="center"/>
          </w:tcPr>
          <w:p w14:paraId="3D21BF16" w14:textId="3BDB07F0" w:rsidR="00D561CD" w:rsidRPr="00586687" w:rsidRDefault="00FF1A59" w:rsidP="00143694">
            <w:pPr>
              <w:jc w:val="center"/>
              <w:rPr>
                <w:bCs/>
                <w:szCs w:val="17"/>
              </w:rPr>
            </w:pPr>
            <w:r w:rsidRPr="00586687">
              <w:rPr>
                <w:bCs/>
                <w:szCs w:val="17"/>
              </w:rPr>
              <w:lastRenderedPageBreak/>
              <w:t>M</w:t>
            </w:r>
            <w:r w:rsidR="000F191F" w:rsidRPr="00586687">
              <w:rPr>
                <w:bCs/>
                <w:szCs w:val="17"/>
              </w:rPr>
              <w:t>acManus</w:t>
            </w:r>
          </w:p>
        </w:tc>
        <w:tc>
          <w:tcPr>
            <w:tcW w:w="2127" w:type="dxa"/>
            <w:shd w:val="clear" w:color="auto" w:fill="auto"/>
            <w:vAlign w:val="center"/>
          </w:tcPr>
          <w:p w14:paraId="52AC8143" w14:textId="02FEC31E" w:rsidR="00D561CD" w:rsidRPr="00586687" w:rsidRDefault="000E57D2" w:rsidP="00143694">
            <w:pPr>
              <w:jc w:val="center"/>
              <w:rPr>
                <w:bCs/>
                <w:szCs w:val="17"/>
              </w:rPr>
            </w:pPr>
            <w:r w:rsidRPr="00586687">
              <w:rPr>
                <w:bCs/>
                <w:szCs w:val="17"/>
              </w:rPr>
              <w:t>System of governance/</w:t>
            </w:r>
            <w:r w:rsidR="005520DA" w:rsidRPr="00586687">
              <w:rPr>
                <w:bCs/>
                <w:szCs w:val="17"/>
              </w:rPr>
              <w:t xml:space="preserve"> </w:t>
            </w:r>
            <w:r w:rsidRPr="00586687">
              <w:rPr>
                <w:bCs/>
                <w:szCs w:val="17"/>
              </w:rPr>
              <w:t>Proportionality</w:t>
            </w:r>
          </w:p>
        </w:tc>
        <w:tc>
          <w:tcPr>
            <w:tcW w:w="1471" w:type="dxa"/>
            <w:shd w:val="clear" w:color="auto" w:fill="auto"/>
            <w:vAlign w:val="center"/>
          </w:tcPr>
          <w:p w14:paraId="3EE7D21D" w14:textId="21A1E3A5" w:rsidR="00D561CD" w:rsidRPr="00586687" w:rsidRDefault="00B52A78" w:rsidP="00143694">
            <w:pPr>
              <w:jc w:val="center"/>
              <w:rPr>
                <w:bCs/>
                <w:szCs w:val="17"/>
              </w:rPr>
            </w:pPr>
            <w:r w:rsidRPr="00586687">
              <w:rPr>
                <w:b/>
                <w:color w:val="FF0000"/>
                <w:szCs w:val="17"/>
              </w:rPr>
              <w:t>Negative</w:t>
            </w:r>
          </w:p>
        </w:tc>
      </w:tr>
      <w:tr w:rsidR="00D561CD" w:rsidRPr="00586687" w14:paraId="45CAF0AA" w14:textId="77777777" w:rsidTr="00A2044B">
        <w:trPr>
          <w:trHeight w:val="494"/>
        </w:trPr>
        <w:tc>
          <w:tcPr>
            <w:tcW w:w="696" w:type="dxa"/>
            <w:shd w:val="clear" w:color="auto" w:fill="auto"/>
            <w:vAlign w:val="center"/>
          </w:tcPr>
          <w:p w14:paraId="34E5AB48" w14:textId="056DB2BD" w:rsidR="00D561CD" w:rsidRPr="00586687" w:rsidRDefault="00BF2AF4" w:rsidP="00143694">
            <w:pPr>
              <w:jc w:val="center"/>
              <w:rPr>
                <w:bCs/>
                <w:szCs w:val="17"/>
              </w:rPr>
            </w:pPr>
            <w:r w:rsidRPr="00586687">
              <w:rPr>
                <w:bCs/>
                <w:szCs w:val="17"/>
              </w:rPr>
              <w:t>432</w:t>
            </w:r>
          </w:p>
        </w:tc>
        <w:tc>
          <w:tcPr>
            <w:tcW w:w="1931" w:type="dxa"/>
            <w:shd w:val="clear" w:color="auto" w:fill="auto"/>
            <w:vAlign w:val="center"/>
          </w:tcPr>
          <w:p w14:paraId="69E8BF52" w14:textId="3C06ACEA" w:rsidR="00D561CD" w:rsidRPr="00586687" w:rsidRDefault="0055267A" w:rsidP="00143694">
            <w:pPr>
              <w:jc w:val="center"/>
              <w:rPr>
                <w:bCs/>
                <w:szCs w:val="17"/>
              </w:rPr>
            </w:pPr>
            <w:r w:rsidRPr="00586687">
              <w:rPr>
                <w:bCs/>
                <w:szCs w:val="17"/>
              </w:rPr>
              <w:t>Article 41 – paragraph 2a – subparagraph 2 – introductory part</w:t>
            </w:r>
          </w:p>
        </w:tc>
        <w:tc>
          <w:tcPr>
            <w:tcW w:w="6588" w:type="dxa"/>
            <w:shd w:val="clear" w:color="auto" w:fill="auto"/>
          </w:tcPr>
          <w:p w14:paraId="2100A8A6" w14:textId="6B249325" w:rsidR="00D561CD" w:rsidRPr="00586687" w:rsidRDefault="009B2575" w:rsidP="00143694">
            <w:pPr>
              <w:jc w:val="left"/>
              <w:rPr>
                <w:bCs/>
                <w:szCs w:val="17"/>
              </w:rPr>
            </w:pPr>
            <w:r w:rsidRPr="00586687">
              <w:rPr>
                <w:bCs/>
                <w:szCs w:val="17"/>
              </w:rPr>
              <w:t>Editorial</w:t>
            </w:r>
            <w:r w:rsidR="007F3B88" w:rsidRPr="00586687">
              <w:rPr>
                <w:bCs/>
                <w:szCs w:val="17"/>
              </w:rPr>
              <w:t>.</w:t>
            </w:r>
          </w:p>
        </w:tc>
        <w:tc>
          <w:tcPr>
            <w:tcW w:w="1842" w:type="dxa"/>
            <w:shd w:val="clear" w:color="auto" w:fill="auto"/>
            <w:vAlign w:val="center"/>
          </w:tcPr>
          <w:p w14:paraId="3152A573" w14:textId="21D911AA" w:rsidR="00D561CD" w:rsidRPr="00586687" w:rsidRDefault="003F3BE3" w:rsidP="00143694">
            <w:pPr>
              <w:jc w:val="center"/>
              <w:rPr>
                <w:bCs/>
                <w:szCs w:val="17"/>
              </w:rPr>
            </w:pPr>
            <w:r w:rsidRPr="00586687">
              <w:rPr>
                <w:bCs/>
                <w:szCs w:val="17"/>
              </w:rPr>
              <w:t>Fitzgerald</w:t>
            </w:r>
          </w:p>
        </w:tc>
        <w:tc>
          <w:tcPr>
            <w:tcW w:w="2127" w:type="dxa"/>
            <w:shd w:val="clear" w:color="auto" w:fill="auto"/>
            <w:vAlign w:val="center"/>
          </w:tcPr>
          <w:p w14:paraId="7F75033F" w14:textId="77777777" w:rsidR="007D2953" w:rsidRPr="00586687" w:rsidRDefault="00D21B5A" w:rsidP="00143694">
            <w:pPr>
              <w:jc w:val="center"/>
              <w:rPr>
                <w:bCs/>
                <w:szCs w:val="17"/>
              </w:rPr>
            </w:pPr>
            <w:proofErr w:type="spellStart"/>
            <w:r w:rsidRPr="00586687">
              <w:rPr>
                <w:bCs/>
                <w:szCs w:val="17"/>
              </w:rPr>
              <w:t>Editioral</w:t>
            </w:r>
            <w:proofErr w:type="spellEnd"/>
            <w:r w:rsidRPr="00586687">
              <w:rPr>
                <w:bCs/>
                <w:szCs w:val="17"/>
              </w:rPr>
              <w:t>/</w:t>
            </w:r>
          </w:p>
          <w:p w14:paraId="4AA1E8A5" w14:textId="1C4E35DC" w:rsidR="00D561CD" w:rsidRPr="00586687" w:rsidRDefault="00D21B5A" w:rsidP="00143694">
            <w:pPr>
              <w:jc w:val="center"/>
              <w:rPr>
                <w:bCs/>
                <w:szCs w:val="17"/>
              </w:rPr>
            </w:pPr>
            <w:r w:rsidRPr="00586687">
              <w:rPr>
                <w:bCs/>
                <w:szCs w:val="17"/>
              </w:rPr>
              <w:t>proportionality</w:t>
            </w:r>
          </w:p>
        </w:tc>
        <w:tc>
          <w:tcPr>
            <w:tcW w:w="1471" w:type="dxa"/>
            <w:shd w:val="clear" w:color="auto" w:fill="auto"/>
            <w:vAlign w:val="center"/>
          </w:tcPr>
          <w:p w14:paraId="4066E0CD" w14:textId="75728E90" w:rsidR="00D561CD" w:rsidRPr="00586687" w:rsidRDefault="00D561CD" w:rsidP="00143694">
            <w:pPr>
              <w:jc w:val="center"/>
              <w:rPr>
                <w:bCs/>
                <w:szCs w:val="17"/>
              </w:rPr>
            </w:pPr>
          </w:p>
        </w:tc>
      </w:tr>
      <w:tr w:rsidR="006C7566" w:rsidRPr="00586687" w14:paraId="51DC14F5" w14:textId="77777777" w:rsidTr="00A2044B">
        <w:trPr>
          <w:trHeight w:val="494"/>
        </w:trPr>
        <w:tc>
          <w:tcPr>
            <w:tcW w:w="696" w:type="dxa"/>
            <w:shd w:val="clear" w:color="auto" w:fill="auto"/>
            <w:vAlign w:val="center"/>
          </w:tcPr>
          <w:p w14:paraId="336036D4" w14:textId="101EB8E2" w:rsidR="006C7566" w:rsidRPr="00586687" w:rsidRDefault="006C7566" w:rsidP="00143694">
            <w:pPr>
              <w:jc w:val="center"/>
              <w:rPr>
                <w:bCs/>
                <w:szCs w:val="17"/>
              </w:rPr>
            </w:pPr>
            <w:r w:rsidRPr="00586687">
              <w:rPr>
                <w:bCs/>
                <w:szCs w:val="17"/>
              </w:rPr>
              <w:t>433-437</w:t>
            </w:r>
          </w:p>
        </w:tc>
        <w:tc>
          <w:tcPr>
            <w:tcW w:w="1931" w:type="dxa"/>
            <w:shd w:val="clear" w:color="auto" w:fill="auto"/>
            <w:vAlign w:val="center"/>
          </w:tcPr>
          <w:p w14:paraId="0D24215C" w14:textId="5741EF5B" w:rsidR="006C7566" w:rsidRPr="00586687" w:rsidRDefault="006C7566" w:rsidP="00143694">
            <w:pPr>
              <w:jc w:val="center"/>
              <w:rPr>
                <w:bCs/>
                <w:szCs w:val="17"/>
              </w:rPr>
            </w:pPr>
            <w:r w:rsidRPr="00586687">
              <w:rPr>
                <w:bCs/>
                <w:szCs w:val="17"/>
              </w:rPr>
              <w:t>Article 41 – paragraph 3 – subparagraph 1</w:t>
            </w:r>
          </w:p>
        </w:tc>
        <w:tc>
          <w:tcPr>
            <w:tcW w:w="6588" w:type="dxa"/>
            <w:shd w:val="clear" w:color="auto" w:fill="auto"/>
          </w:tcPr>
          <w:p w14:paraId="3E207EB2" w14:textId="24A30EB7" w:rsidR="006C7566" w:rsidRPr="00586687" w:rsidRDefault="00FC747E" w:rsidP="00143694">
            <w:pPr>
              <w:jc w:val="left"/>
              <w:rPr>
                <w:bCs/>
                <w:szCs w:val="17"/>
              </w:rPr>
            </w:pPr>
            <w:r w:rsidRPr="00586687">
              <w:rPr>
                <w:bCs/>
                <w:szCs w:val="17"/>
              </w:rPr>
              <w:t xml:space="preserve">Insurers shall have a </w:t>
            </w:r>
            <w:r w:rsidR="00364CD4" w:rsidRPr="00586687">
              <w:rPr>
                <w:bCs/>
                <w:szCs w:val="17"/>
              </w:rPr>
              <w:t>written policy on</w:t>
            </w:r>
            <w:r w:rsidR="006C7566" w:rsidRPr="00586687">
              <w:rPr>
                <w:bCs/>
                <w:szCs w:val="17"/>
              </w:rPr>
              <w:t xml:space="preserve"> stewardship</w:t>
            </w:r>
            <w:r w:rsidR="00F80E8F" w:rsidRPr="00586687">
              <w:rPr>
                <w:bCs/>
                <w:szCs w:val="17"/>
              </w:rPr>
              <w:t xml:space="preserve"> and</w:t>
            </w:r>
            <w:r w:rsidR="006C7566" w:rsidRPr="00586687">
              <w:rPr>
                <w:bCs/>
                <w:szCs w:val="17"/>
              </w:rPr>
              <w:t xml:space="preserve"> a written transition plan. (</w:t>
            </w:r>
            <w:r w:rsidR="000B5967" w:rsidRPr="00586687">
              <w:rPr>
                <w:bCs/>
                <w:szCs w:val="17"/>
              </w:rPr>
              <w:t xml:space="preserve">Tang specifies that </w:t>
            </w:r>
            <w:r w:rsidR="006C7566" w:rsidRPr="00586687">
              <w:rPr>
                <w:bCs/>
                <w:szCs w:val="17"/>
              </w:rPr>
              <w:t>the policies and the plan are revised annually</w:t>
            </w:r>
            <w:r w:rsidR="007E4A93" w:rsidRPr="00586687">
              <w:rPr>
                <w:bCs/>
                <w:szCs w:val="17"/>
              </w:rPr>
              <w:t xml:space="preserve"> </w:t>
            </w:r>
            <w:r w:rsidR="00B8404A" w:rsidRPr="00586687">
              <w:rPr>
                <w:bCs/>
                <w:szCs w:val="17"/>
              </w:rPr>
              <w:t>and shall include a</w:t>
            </w:r>
            <w:r w:rsidR="00680AEC" w:rsidRPr="00586687">
              <w:rPr>
                <w:bCs/>
                <w:szCs w:val="17"/>
              </w:rPr>
              <w:t xml:space="preserve">n impact report </w:t>
            </w:r>
            <w:r w:rsidR="00DD73A5" w:rsidRPr="00586687">
              <w:rPr>
                <w:bCs/>
                <w:szCs w:val="17"/>
              </w:rPr>
              <w:t xml:space="preserve">for the </w:t>
            </w:r>
            <w:r w:rsidR="00A14B20" w:rsidRPr="00586687">
              <w:rPr>
                <w:bCs/>
                <w:szCs w:val="17"/>
              </w:rPr>
              <w:t>stewardship policy</w:t>
            </w:r>
            <w:r w:rsidR="006C7566" w:rsidRPr="00586687">
              <w:rPr>
                <w:bCs/>
                <w:szCs w:val="17"/>
              </w:rPr>
              <w:t>)</w:t>
            </w:r>
          </w:p>
        </w:tc>
        <w:tc>
          <w:tcPr>
            <w:tcW w:w="1842" w:type="dxa"/>
            <w:shd w:val="clear" w:color="auto" w:fill="auto"/>
            <w:vAlign w:val="center"/>
          </w:tcPr>
          <w:p w14:paraId="7FA935F2" w14:textId="514360B1" w:rsidR="006C7566" w:rsidRPr="00586687" w:rsidRDefault="006C7566" w:rsidP="00143694">
            <w:pPr>
              <w:jc w:val="center"/>
              <w:rPr>
                <w:bCs/>
                <w:szCs w:val="17"/>
              </w:rPr>
            </w:pPr>
            <w:r w:rsidRPr="00586687">
              <w:rPr>
                <w:bCs/>
                <w:szCs w:val="17"/>
              </w:rPr>
              <w:t>Paul Tang/</w:t>
            </w:r>
            <w:r w:rsidRPr="00586687">
              <w:t xml:space="preserve"> </w:t>
            </w:r>
            <w:r w:rsidRPr="00586687">
              <w:rPr>
                <w:bCs/>
                <w:szCs w:val="17"/>
              </w:rPr>
              <w:t xml:space="preserve">Yon-Courtin, Boyer, </w:t>
            </w:r>
            <w:proofErr w:type="spellStart"/>
            <w:r w:rsidRPr="00586687">
              <w:rPr>
                <w:bCs/>
                <w:szCs w:val="17"/>
              </w:rPr>
              <w:t>Canfin</w:t>
            </w:r>
            <w:proofErr w:type="spellEnd"/>
            <w:r w:rsidRPr="00586687">
              <w:rPr>
                <w:bCs/>
                <w:szCs w:val="17"/>
              </w:rPr>
              <w:t>, Durand</w:t>
            </w:r>
          </w:p>
        </w:tc>
        <w:tc>
          <w:tcPr>
            <w:tcW w:w="2127" w:type="dxa"/>
            <w:shd w:val="clear" w:color="auto" w:fill="auto"/>
            <w:vAlign w:val="center"/>
          </w:tcPr>
          <w:p w14:paraId="19878977" w14:textId="5B0BA427" w:rsidR="006C7566" w:rsidRPr="00586687" w:rsidRDefault="00F87BED" w:rsidP="00143694">
            <w:pPr>
              <w:jc w:val="center"/>
              <w:rPr>
                <w:bCs/>
                <w:szCs w:val="17"/>
              </w:rPr>
            </w:pPr>
            <w:r w:rsidRPr="00586687">
              <w:rPr>
                <w:bCs/>
                <w:szCs w:val="17"/>
              </w:rPr>
              <w:t>System of governance</w:t>
            </w:r>
            <w:r w:rsidR="00616BE2" w:rsidRPr="00586687">
              <w:rPr>
                <w:bCs/>
                <w:szCs w:val="17"/>
              </w:rPr>
              <w:t>/</w:t>
            </w:r>
            <w:r w:rsidR="005520DA" w:rsidRPr="00586687">
              <w:rPr>
                <w:bCs/>
                <w:szCs w:val="17"/>
              </w:rPr>
              <w:t xml:space="preserve"> </w:t>
            </w:r>
            <w:r w:rsidR="00616BE2" w:rsidRPr="00586687">
              <w:rPr>
                <w:bCs/>
                <w:szCs w:val="17"/>
              </w:rPr>
              <w:t>sustainability</w:t>
            </w:r>
          </w:p>
        </w:tc>
        <w:tc>
          <w:tcPr>
            <w:tcW w:w="1471" w:type="dxa"/>
            <w:shd w:val="clear" w:color="auto" w:fill="auto"/>
            <w:vAlign w:val="center"/>
          </w:tcPr>
          <w:p w14:paraId="7FB15A24" w14:textId="40B329DF" w:rsidR="006C7566" w:rsidRPr="00586687" w:rsidRDefault="006C7566" w:rsidP="00143694">
            <w:pPr>
              <w:jc w:val="center"/>
              <w:rPr>
                <w:b/>
                <w:color w:val="808080" w:themeColor="background1" w:themeShade="80"/>
                <w:szCs w:val="17"/>
              </w:rPr>
            </w:pPr>
            <w:r w:rsidRPr="00586687">
              <w:rPr>
                <w:b/>
                <w:color w:val="808080" w:themeColor="background1" w:themeShade="80"/>
                <w:szCs w:val="17"/>
              </w:rPr>
              <w:t>Neutral</w:t>
            </w:r>
          </w:p>
        </w:tc>
      </w:tr>
      <w:tr w:rsidR="006C7566" w:rsidRPr="00586687" w14:paraId="356218EF" w14:textId="77777777" w:rsidTr="00A2044B">
        <w:trPr>
          <w:trHeight w:val="494"/>
        </w:trPr>
        <w:tc>
          <w:tcPr>
            <w:tcW w:w="696" w:type="dxa"/>
            <w:shd w:val="clear" w:color="auto" w:fill="auto"/>
            <w:vAlign w:val="center"/>
          </w:tcPr>
          <w:p w14:paraId="031CDAD7" w14:textId="0DECB3FF" w:rsidR="006C7566" w:rsidRPr="00586687" w:rsidRDefault="006C7566" w:rsidP="00143694">
            <w:pPr>
              <w:jc w:val="center"/>
              <w:rPr>
                <w:bCs/>
                <w:szCs w:val="17"/>
              </w:rPr>
            </w:pPr>
            <w:r w:rsidRPr="00586687">
              <w:rPr>
                <w:bCs/>
                <w:szCs w:val="17"/>
              </w:rPr>
              <w:t>434</w:t>
            </w:r>
          </w:p>
        </w:tc>
        <w:tc>
          <w:tcPr>
            <w:tcW w:w="1931" w:type="dxa"/>
            <w:shd w:val="clear" w:color="auto" w:fill="auto"/>
            <w:vAlign w:val="center"/>
          </w:tcPr>
          <w:p w14:paraId="050429CC" w14:textId="0D5D8E31" w:rsidR="006C7566" w:rsidRPr="00586687" w:rsidRDefault="006C7566" w:rsidP="00143694">
            <w:pPr>
              <w:jc w:val="center"/>
              <w:rPr>
                <w:bCs/>
                <w:szCs w:val="17"/>
              </w:rPr>
            </w:pPr>
            <w:r w:rsidRPr="00586687">
              <w:rPr>
                <w:bCs/>
                <w:szCs w:val="17"/>
              </w:rPr>
              <w:t>Article 41 – paragraph 3 – subparagraph 1</w:t>
            </w:r>
          </w:p>
        </w:tc>
        <w:tc>
          <w:tcPr>
            <w:tcW w:w="6588" w:type="dxa"/>
            <w:shd w:val="clear" w:color="auto" w:fill="auto"/>
          </w:tcPr>
          <w:p w14:paraId="0BC439BA" w14:textId="219170E5" w:rsidR="006C7566" w:rsidRPr="00586687" w:rsidRDefault="006C7566" w:rsidP="00143694">
            <w:pPr>
              <w:jc w:val="left"/>
              <w:rPr>
                <w:bCs/>
                <w:szCs w:val="17"/>
              </w:rPr>
            </w:pPr>
            <w:r w:rsidRPr="00586687">
              <w:rPr>
                <w:bCs/>
                <w:szCs w:val="17"/>
              </w:rPr>
              <w:t>Included a written transition plan</w:t>
            </w:r>
            <w:r w:rsidR="00DE2CAE" w:rsidRPr="00586687">
              <w:rPr>
                <w:bCs/>
                <w:szCs w:val="17"/>
              </w:rPr>
              <w:t>, and reasonable steps have to be taken</w:t>
            </w:r>
            <w:r w:rsidR="00D10981" w:rsidRPr="00586687">
              <w:rPr>
                <w:bCs/>
                <w:szCs w:val="17"/>
              </w:rPr>
              <w:t xml:space="preserve"> to implement it</w:t>
            </w:r>
            <w:r w:rsidRPr="00586687">
              <w:rPr>
                <w:bCs/>
                <w:szCs w:val="17"/>
              </w:rPr>
              <w:t>.</w:t>
            </w:r>
            <w:r w:rsidR="00CB0AD7" w:rsidRPr="00586687">
              <w:rPr>
                <w:bCs/>
                <w:szCs w:val="17"/>
              </w:rPr>
              <w:t xml:space="preserve"> And policies and plans are to be annually reviewed.</w:t>
            </w:r>
          </w:p>
        </w:tc>
        <w:tc>
          <w:tcPr>
            <w:tcW w:w="1842" w:type="dxa"/>
            <w:shd w:val="clear" w:color="auto" w:fill="auto"/>
            <w:vAlign w:val="center"/>
          </w:tcPr>
          <w:p w14:paraId="01E74B0A" w14:textId="3209D882" w:rsidR="006C7566" w:rsidRPr="00586687" w:rsidRDefault="006C7566" w:rsidP="00143694">
            <w:pPr>
              <w:jc w:val="center"/>
              <w:rPr>
                <w:bCs/>
                <w:szCs w:val="17"/>
              </w:rPr>
            </w:pPr>
            <w:proofErr w:type="spellStart"/>
            <w:r w:rsidRPr="00586687">
              <w:rPr>
                <w:bCs/>
                <w:szCs w:val="17"/>
              </w:rPr>
              <w:t>Heinäluoma</w:t>
            </w:r>
            <w:proofErr w:type="spellEnd"/>
            <w:r w:rsidRPr="00586687">
              <w:rPr>
                <w:bCs/>
                <w:szCs w:val="17"/>
              </w:rPr>
              <w:t xml:space="preserve">, Tang, </w:t>
            </w:r>
            <w:proofErr w:type="spellStart"/>
            <w:r w:rsidRPr="00586687">
              <w:rPr>
                <w:bCs/>
                <w:szCs w:val="17"/>
              </w:rPr>
              <w:t>Lalucq</w:t>
            </w:r>
            <w:proofErr w:type="spellEnd"/>
          </w:p>
        </w:tc>
        <w:tc>
          <w:tcPr>
            <w:tcW w:w="2127" w:type="dxa"/>
            <w:shd w:val="clear" w:color="auto" w:fill="auto"/>
            <w:vAlign w:val="center"/>
          </w:tcPr>
          <w:p w14:paraId="213664E0" w14:textId="33C90EA4" w:rsidR="006C7566" w:rsidRPr="00586687" w:rsidRDefault="00F87BED" w:rsidP="00143694">
            <w:pPr>
              <w:jc w:val="center"/>
              <w:rPr>
                <w:bCs/>
                <w:szCs w:val="17"/>
              </w:rPr>
            </w:pPr>
            <w:r w:rsidRPr="00586687">
              <w:rPr>
                <w:bCs/>
                <w:szCs w:val="17"/>
              </w:rPr>
              <w:t>System of governance</w:t>
            </w:r>
            <w:r w:rsidR="00616BE2" w:rsidRPr="00586687">
              <w:rPr>
                <w:bCs/>
                <w:szCs w:val="17"/>
              </w:rPr>
              <w:t>/</w:t>
            </w:r>
            <w:r w:rsidR="005520DA" w:rsidRPr="00586687">
              <w:rPr>
                <w:bCs/>
                <w:szCs w:val="17"/>
              </w:rPr>
              <w:t xml:space="preserve"> </w:t>
            </w:r>
            <w:r w:rsidR="00616BE2" w:rsidRPr="00586687">
              <w:rPr>
                <w:bCs/>
                <w:szCs w:val="17"/>
              </w:rPr>
              <w:t>sustainability</w:t>
            </w:r>
          </w:p>
        </w:tc>
        <w:tc>
          <w:tcPr>
            <w:tcW w:w="1471" w:type="dxa"/>
            <w:shd w:val="clear" w:color="auto" w:fill="auto"/>
            <w:vAlign w:val="center"/>
          </w:tcPr>
          <w:p w14:paraId="3EC8B8B0" w14:textId="01BC851B" w:rsidR="006C7566" w:rsidRPr="00586687" w:rsidRDefault="006C7566" w:rsidP="00143694">
            <w:pPr>
              <w:jc w:val="center"/>
              <w:rPr>
                <w:b/>
                <w:color w:val="808080" w:themeColor="background1" w:themeShade="80"/>
                <w:szCs w:val="17"/>
              </w:rPr>
            </w:pPr>
            <w:r w:rsidRPr="00586687">
              <w:rPr>
                <w:b/>
                <w:color w:val="808080" w:themeColor="background1" w:themeShade="80"/>
                <w:szCs w:val="17"/>
              </w:rPr>
              <w:t>Neutral</w:t>
            </w:r>
          </w:p>
        </w:tc>
      </w:tr>
      <w:tr w:rsidR="006C7566" w:rsidRPr="00586687" w14:paraId="45740E72" w14:textId="77777777" w:rsidTr="00A2044B">
        <w:trPr>
          <w:trHeight w:val="494"/>
        </w:trPr>
        <w:tc>
          <w:tcPr>
            <w:tcW w:w="696" w:type="dxa"/>
            <w:shd w:val="clear" w:color="auto" w:fill="auto"/>
            <w:vAlign w:val="center"/>
          </w:tcPr>
          <w:p w14:paraId="0F6354A8" w14:textId="34557CD5" w:rsidR="006C7566" w:rsidRPr="00586687" w:rsidRDefault="006C7566" w:rsidP="00143694">
            <w:pPr>
              <w:jc w:val="center"/>
              <w:rPr>
                <w:bCs/>
                <w:szCs w:val="17"/>
              </w:rPr>
            </w:pPr>
            <w:r w:rsidRPr="00586687">
              <w:rPr>
                <w:bCs/>
                <w:szCs w:val="17"/>
              </w:rPr>
              <w:t>435</w:t>
            </w:r>
          </w:p>
        </w:tc>
        <w:tc>
          <w:tcPr>
            <w:tcW w:w="1931" w:type="dxa"/>
            <w:shd w:val="clear" w:color="auto" w:fill="auto"/>
            <w:vAlign w:val="center"/>
          </w:tcPr>
          <w:p w14:paraId="70B35D9C" w14:textId="5753C6B8" w:rsidR="006C7566" w:rsidRPr="00586687" w:rsidRDefault="006C7566" w:rsidP="00143694">
            <w:pPr>
              <w:jc w:val="center"/>
            </w:pPr>
            <w:r w:rsidRPr="00586687">
              <w:rPr>
                <w:rStyle w:val="HideTWBExt"/>
              </w:rPr>
              <w:t>&lt;Article2&gt;</w:t>
            </w:r>
            <w:r w:rsidRPr="00586687">
              <w:t>Article 41 – paragraph 3 – subparagraph 1</w:t>
            </w:r>
            <w:r w:rsidRPr="00586687">
              <w:rPr>
                <w:rStyle w:val="HideTWBExt"/>
              </w:rPr>
              <w:t>&lt;/Article2&gt;</w:t>
            </w:r>
          </w:p>
        </w:tc>
        <w:tc>
          <w:tcPr>
            <w:tcW w:w="6588" w:type="dxa"/>
            <w:shd w:val="clear" w:color="auto" w:fill="auto"/>
          </w:tcPr>
          <w:p w14:paraId="2C1B2CCC" w14:textId="538A775D" w:rsidR="006C7566" w:rsidRPr="00586687" w:rsidRDefault="006C7566" w:rsidP="00143694">
            <w:pPr>
              <w:jc w:val="left"/>
              <w:rPr>
                <w:bCs/>
                <w:szCs w:val="17"/>
              </w:rPr>
            </w:pPr>
            <w:r w:rsidRPr="00586687">
              <w:rPr>
                <w:bCs/>
                <w:szCs w:val="17"/>
              </w:rPr>
              <w:t>Included among written policies pay transparency, stewardship, and a written transition plan. The policies shall integrate sustainability risk.</w:t>
            </w:r>
          </w:p>
        </w:tc>
        <w:tc>
          <w:tcPr>
            <w:tcW w:w="1842" w:type="dxa"/>
            <w:shd w:val="clear" w:color="auto" w:fill="auto"/>
            <w:vAlign w:val="center"/>
          </w:tcPr>
          <w:p w14:paraId="29926328" w14:textId="7F937D34" w:rsidR="006C7566" w:rsidRPr="00586687" w:rsidRDefault="006C7566" w:rsidP="00143694">
            <w:pPr>
              <w:jc w:val="center"/>
              <w:rPr>
                <w:bCs/>
                <w:szCs w:val="17"/>
              </w:rPr>
            </w:pPr>
            <w:r w:rsidRPr="00586687">
              <w:rPr>
                <w:bCs/>
                <w:szCs w:val="17"/>
              </w:rPr>
              <w:t>MacManus</w:t>
            </w:r>
          </w:p>
        </w:tc>
        <w:tc>
          <w:tcPr>
            <w:tcW w:w="2127" w:type="dxa"/>
            <w:shd w:val="clear" w:color="auto" w:fill="auto"/>
            <w:vAlign w:val="center"/>
          </w:tcPr>
          <w:p w14:paraId="6FF2AF39" w14:textId="193551B6" w:rsidR="006C7566" w:rsidRPr="00586687" w:rsidRDefault="00616BE2" w:rsidP="00143694">
            <w:pPr>
              <w:jc w:val="center"/>
              <w:rPr>
                <w:bCs/>
                <w:szCs w:val="17"/>
              </w:rPr>
            </w:pPr>
            <w:r w:rsidRPr="00586687">
              <w:rPr>
                <w:bCs/>
                <w:szCs w:val="17"/>
              </w:rPr>
              <w:t>System of governance/</w:t>
            </w:r>
            <w:r w:rsidR="005520DA" w:rsidRPr="00586687">
              <w:rPr>
                <w:bCs/>
                <w:szCs w:val="17"/>
              </w:rPr>
              <w:t xml:space="preserve"> </w:t>
            </w:r>
            <w:r w:rsidRPr="00586687">
              <w:rPr>
                <w:bCs/>
                <w:szCs w:val="17"/>
              </w:rPr>
              <w:t>sustainability</w:t>
            </w:r>
          </w:p>
        </w:tc>
        <w:tc>
          <w:tcPr>
            <w:tcW w:w="1471" w:type="dxa"/>
            <w:shd w:val="clear" w:color="auto" w:fill="auto"/>
            <w:vAlign w:val="center"/>
          </w:tcPr>
          <w:p w14:paraId="4C3918AA" w14:textId="30DC87CB" w:rsidR="006C7566" w:rsidRPr="00586687" w:rsidRDefault="006C7566" w:rsidP="00143694">
            <w:pPr>
              <w:jc w:val="center"/>
              <w:rPr>
                <w:b/>
                <w:color w:val="808080" w:themeColor="background1" w:themeShade="80"/>
                <w:szCs w:val="17"/>
              </w:rPr>
            </w:pPr>
            <w:r w:rsidRPr="00586687">
              <w:rPr>
                <w:b/>
                <w:color w:val="808080" w:themeColor="background1" w:themeShade="80"/>
                <w:szCs w:val="17"/>
              </w:rPr>
              <w:t>Neutral</w:t>
            </w:r>
          </w:p>
        </w:tc>
      </w:tr>
      <w:tr w:rsidR="006C7566" w:rsidRPr="00586687" w14:paraId="4DDD0309" w14:textId="77777777" w:rsidTr="00A2044B">
        <w:trPr>
          <w:trHeight w:val="494"/>
        </w:trPr>
        <w:tc>
          <w:tcPr>
            <w:tcW w:w="696" w:type="dxa"/>
            <w:shd w:val="clear" w:color="auto" w:fill="auto"/>
            <w:vAlign w:val="center"/>
          </w:tcPr>
          <w:p w14:paraId="105AF958" w14:textId="57E2D156" w:rsidR="006C7566" w:rsidRPr="00586687" w:rsidRDefault="006C7566" w:rsidP="00143694">
            <w:pPr>
              <w:jc w:val="center"/>
              <w:rPr>
                <w:bCs/>
                <w:szCs w:val="17"/>
              </w:rPr>
            </w:pPr>
            <w:r w:rsidRPr="00586687">
              <w:rPr>
                <w:bCs/>
                <w:szCs w:val="17"/>
              </w:rPr>
              <w:t>436-439</w:t>
            </w:r>
          </w:p>
        </w:tc>
        <w:tc>
          <w:tcPr>
            <w:tcW w:w="1931" w:type="dxa"/>
            <w:shd w:val="clear" w:color="auto" w:fill="auto"/>
            <w:vAlign w:val="center"/>
          </w:tcPr>
          <w:p w14:paraId="0D1C54DA" w14:textId="07146205" w:rsidR="006C7566" w:rsidRPr="00586687" w:rsidRDefault="006C7566" w:rsidP="00143694">
            <w:pPr>
              <w:jc w:val="center"/>
              <w:rPr>
                <w:bCs/>
                <w:szCs w:val="17"/>
              </w:rPr>
            </w:pPr>
            <w:r w:rsidRPr="00586687">
              <w:rPr>
                <w:bCs/>
                <w:szCs w:val="17"/>
              </w:rPr>
              <w:t>Article 41 – paragraph 3 – subparagraph 1/ subparagraph 2</w:t>
            </w:r>
          </w:p>
        </w:tc>
        <w:tc>
          <w:tcPr>
            <w:tcW w:w="6588" w:type="dxa"/>
            <w:shd w:val="clear" w:color="auto" w:fill="auto"/>
          </w:tcPr>
          <w:p w14:paraId="7D8F20E2" w14:textId="77777777" w:rsidR="00AF5287" w:rsidRPr="00586687" w:rsidRDefault="006C7566" w:rsidP="00143694">
            <w:pPr>
              <w:jc w:val="left"/>
              <w:rPr>
                <w:bCs/>
                <w:szCs w:val="17"/>
              </w:rPr>
            </w:pPr>
            <w:r w:rsidRPr="00586687">
              <w:rPr>
                <w:bCs/>
                <w:szCs w:val="17"/>
              </w:rPr>
              <w:t xml:space="preserve">Included among written policies stewardship, and the </w:t>
            </w:r>
            <w:r w:rsidR="00503E25" w:rsidRPr="00586687">
              <w:rPr>
                <w:bCs/>
                <w:szCs w:val="17"/>
              </w:rPr>
              <w:t>requirement for the remuneration policy</w:t>
            </w:r>
            <w:r w:rsidRPr="00586687">
              <w:rPr>
                <w:bCs/>
                <w:szCs w:val="17"/>
              </w:rPr>
              <w:t xml:space="preserve"> to address gender inequality</w:t>
            </w:r>
            <w:r w:rsidR="00AF5287" w:rsidRPr="00586687">
              <w:rPr>
                <w:bCs/>
                <w:szCs w:val="17"/>
              </w:rPr>
              <w:t>.</w:t>
            </w:r>
          </w:p>
          <w:p w14:paraId="12EFE54C" w14:textId="2EB8939E" w:rsidR="006C7566" w:rsidRPr="00586687" w:rsidRDefault="004E02CC" w:rsidP="00143694">
            <w:pPr>
              <w:jc w:val="left"/>
              <w:rPr>
                <w:bCs/>
                <w:szCs w:val="17"/>
              </w:rPr>
            </w:pPr>
            <w:r w:rsidRPr="00586687">
              <w:rPr>
                <w:bCs/>
                <w:szCs w:val="17"/>
              </w:rPr>
              <w:t>Requirement for a report of the impact of the stewardship policy of the previous year</w:t>
            </w:r>
          </w:p>
        </w:tc>
        <w:tc>
          <w:tcPr>
            <w:tcW w:w="1842" w:type="dxa"/>
            <w:shd w:val="clear" w:color="auto" w:fill="auto"/>
            <w:vAlign w:val="center"/>
          </w:tcPr>
          <w:p w14:paraId="183C4DA2" w14:textId="7D2AFFDA" w:rsidR="006C7566" w:rsidRPr="00586687" w:rsidRDefault="006C7566" w:rsidP="00143694">
            <w:pPr>
              <w:jc w:val="center"/>
              <w:rPr>
                <w:bCs/>
                <w:szCs w:val="17"/>
              </w:rPr>
            </w:pPr>
            <w:r w:rsidRPr="00586687">
              <w:rPr>
                <w:bCs/>
                <w:szCs w:val="17"/>
              </w:rPr>
              <w:t>Hahn</w:t>
            </w:r>
          </w:p>
        </w:tc>
        <w:tc>
          <w:tcPr>
            <w:tcW w:w="2127" w:type="dxa"/>
            <w:shd w:val="clear" w:color="auto" w:fill="auto"/>
            <w:vAlign w:val="center"/>
          </w:tcPr>
          <w:p w14:paraId="5C7AFC18" w14:textId="327DA525" w:rsidR="006C7566" w:rsidRPr="00586687" w:rsidRDefault="0006409C" w:rsidP="00143694">
            <w:pPr>
              <w:jc w:val="center"/>
              <w:rPr>
                <w:bCs/>
                <w:szCs w:val="17"/>
              </w:rPr>
            </w:pPr>
            <w:r w:rsidRPr="00586687">
              <w:rPr>
                <w:bCs/>
                <w:szCs w:val="17"/>
              </w:rPr>
              <w:t>System of governance/</w:t>
            </w:r>
            <w:r w:rsidR="005520DA" w:rsidRPr="00586687">
              <w:rPr>
                <w:bCs/>
                <w:szCs w:val="17"/>
              </w:rPr>
              <w:t xml:space="preserve"> </w:t>
            </w:r>
            <w:r w:rsidRPr="00586687">
              <w:rPr>
                <w:bCs/>
                <w:szCs w:val="17"/>
              </w:rPr>
              <w:t>sustainability</w:t>
            </w:r>
            <w:r w:rsidR="005520DA" w:rsidRPr="00586687">
              <w:rPr>
                <w:bCs/>
                <w:szCs w:val="17"/>
              </w:rPr>
              <w:t xml:space="preserve">/ </w:t>
            </w:r>
            <w:r w:rsidR="00012EEA" w:rsidRPr="00586687">
              <w:rPr>
                <w:bCs/>
                <w:szCs w:val="17"/>
              </w:rPr>
              <w:t>D&amp;I</w:t>
            </w:r>
          </w:p>
        </w:tc>
        <w:tc>
          <w:tcPr>
            <w:tcW w:w="1471" w:type="dxa"/>
            <w:shd w:val="clear" w:color="auto" w:fill="auto"/>
            <w:vAlign w:val="center"/>
          </w:tcPr>
          <w:p w14:paraId="7526000E" w14:textId="23A15E64" w:rsidR="006C7566" w:rsidRPr="00586687" w:rsidRDefault="006C7566" w:rsidP="00143694">
            <w:pPr>
              <w:jc w:val="center"/>
              <w:rPr>
                <w:b/>
                <w:color w:val="808080" w:themeColor="background1" w:themeShade="80"/>
                <w:szCs w:val="17"/>
              </w:rPr>
            </w:pPr>
            <w:r w:rsidRPr="00586687">
              <w:rPr>
                <w:b/>
                <w:color w:val="808080" w:themeColor="background1" w:themeShade="80"/>
                <w:szCs w:val="17"/>
              </w:rPr>
              <w:t>Neutral</w:t>
            </w:r>
          </w:p>
        </w:tc>
      </w:tr>
      <w:tr w:rsidR="006C7566" w:rsidRPr="00586687" w14:paraId="1B086229" w14:textId="77777777" w:rsidTr="00A2044B">
        <w:trPr>
          <w:trHeight w:val="494"/>
        </w:trPr>
        <w:tc>
          <w:tcPr>
            <w:tcW w:w="696" w:type="dxa"/>
            <w:shd w:val="clear" w:color="auto" w:fill="auto"/>
            <w:vAlign w:val="center"/>
          </w:tcPr>
          <w:p w14:paraId="0680DBDC" w14:textId="6599948C" w:rsidR="006C7566" w:rsidRPr="00586687" w:rsidRDefault="006C7566" w:rsidP="00143694">
            <w:pPr>
              <w:jc w:val="center"/>
              <w:rPr>
                <w:bCs/>
                <w:szCs w:val="17"/>
              </w:rPr>
            </w:pPr>
            <w:r w:rsidRPr="00586687">
              <w:rPr>
                <w:bCs/>
                <w:szCs w:val="17"/>
              </w:rPr>
              <w:t>438</w:t>
            </w:r>
          </w:p>
        </w:tc>
        <w:tc>
          <w:tcPr>
            <w:tcW w:w="1931" w:type="dxa"/>
            <w:shd w:val="clear" w:color="auto" w:fill="auto"/>
            <w:vAlign w:val="center"/>
          </w:tcPr>
          <w:p w14:paraId="187F3036" w14:textId="2E47E0BD" w:rsidR="006C7566" w:rsidRPr="00586687" w:rsidRDefault="006C7566" w:rsidP="00143694">
            <w:pPr>
              <w:jc w:val="center"/>
              <w:rPr>
                <w:bCs/>
                <w:szCs w:val="17"/>
              </w:rPr>
            </w:pPr>
            <w:r w:rsidRPr="00586687">
              <w:rPr>
                <w:bCs/>
                <w:szCs w:val="17"/>
              </w:rPr>
              <w:t>Article 41 – point 3 – subparagraph 1</w:t>
            </w:r>
          </w:p>
        </w:tc>
        <w:tc>
          <w:tcPr>
            <w:tcW w:w="6588" w:type="dxa"/>
            <w:shd w:val="clear" w:color="auto" w:fill="auto"/>
          </w:tcPr>
          <w:p w14:paraId="62693E50" w14:textId="2011AEF9" w:rsidR="006C7566" w:rsidRPr="00586687" w:rsidRDefault="006C7566" w:rsidP="00143694">
            <w:pPr>
              <w:jc w:val="left"/>
              <w:rPr>
                <w:bCs/>
                <w:szCs w:val="17"/>
              </w:rPr>
            </w:pPr>
            <w:r w:rsidRPr="00586687">
              <w:rPr>
                <w:bCs/>
                <w:szCs w:val="17"/>
              </w:rPr>
              <w:t>Included among written policies stewardship and the provision to integrate sustainability risk.</w:t>
            </w:r>
          </w:p>
        </w:tc>
        <w:tc>
          <w:tcPr>
            <w:tcW w:w="1842" w:type="dxa"/>
            <w:shd w:val="clear" w:color="auto" w:fill="auto"/>
            <w:vAlign w:val="center"/>
          </w:tcPr>
          <w:p w14:paraId="7A8873D4" w14:textId="7F89FBB7" w:rsidR="006C7566" w:rsidRPr="00586687" w:rsidRDefault="006C7566" w:rsidP="00143694">
            <w:pPr>
              <w:jc w:val="center"/>
              <w:rPr>
                <w:bCs/>
                <w:szCs w:val="17"/>
              </w:rPr>
            </w:pPr>
            <w:proofErr w:type="spellStart"/>
            <w:r w:rsidRPr="00586687">
              <w:rPr>
                <w:bCs/>
                <w:szCs w:val="17"/>
              </w:rPr>
              <w:t>Lalucq</w:t>
            </w:r>
            <w:proofErr w:type="spellEnd"/>
          </w:p>
        </w:tc>
        <w:tc>
          <w:tcPr>
            <w:tcW w:w="2127" w:type="dxa"/>
            <w:shd w:val="clear" w:color="auto" w:fill="auto"/>
            <w:vAlign w:val="center"/>
          </w:tcPr>
          <w:p w14:paraId="5FD07404" w14:textId="5E4BBF3B" w:rsidR="006C7566" w:rsidRPr="00586687" w:rsidRDefault="005520DA" w:rsidP="00143694">
            <w:pPr>
              <w:jc w:val="center"/>
              <w:rPr>
                <w:bCs/>
                <w:szCs w:val="17"/>
              </w:rPr>
            </w:pPr>
            <w:r w:rsidRPr="00586687">
              <w:rPr>
                <w:bCs/>
                <w:szCs w:val="17"/>
              </w:rPr>
              <w:t>System of governance/</w:t>
            </w:r>
            <w:r w:rsidR="00E93EFE" w:rsidRPr="00586687">
              <w:rPr>
                <w:bCs/>
                <w:szCs w:val="17"/>
              </w:rPr>
              <w:t xml:space="preserve"> </w:t>
            </w:r>
            <w:r w:rsidRPr="00586687">
              <w:rPr>
                <w:bCs/>
                <w:szCs w:val="17"/>
              </w:rPr>
              <w:t>sustainability</w:t>
            </w:r>
          </w:p>
        </w:tc>
        <w:tc>
          <w:tcPr>
            <w:tcW w:w="1471" w:type="dxa"/>
            <w:shd w:val="clear" w:color="auto" w:fill="auto"/>
            <w:vAlign w:val="center"/>
          </w:tcPr>
          <w:p w14:paraId="5AFF9BC9" w14:textId="4F2787AE" w:rsidR="006C7566" w:rsidRPr="00586687" w:rsidRDefault="006C7566" w:rsidP="00143694">
            <w:pPr>
              <w:jc w:val="center"/>
              <w:rPr>
                <w:b/>
                <w:color w:val="808080" w:themeColor="background1" w:themeShade="80"/>
                <w:szCs w:val="17"/>
              </w:rPr>
            </w:pPr>
            <w:r w:rsidRPr="00586687">
              <w:rPr>
                <w:b/>
                <w:color w:val="808080" w:themeColor="background1" w:themeShade="80"/>
                <w:szCs w:val="17"/>
              </w:rPr>
              <w:t>Neutral</w:t>
            </w:r>
          </w:p>
        </w:tc>
      </w:tr>
      <w:tr w:rsidR="006C7566" w:rsidRPr="00586687" w14:paraId="1A17F5A2" w14:textId="77777777" w:rsidTr="00A2044B">
        <w:trPr>
          <w:trHeight w:val="494"/>
        </w:trPr>
        <w:tc>
          <w:tcPr>
            <w:tcW w:w="696" w:type="dxa"/>
            <w:shd w:val="clear" w:color="auto" w:fill="auto"/>
            <w:vAlign w:val="center"/>
          </w:tcPr>
          <w:p w14:paraId="71BCA8E5" w14:textId="6CB014AC" w:rsidR="006C7566" w:rsidRPr="00586687" w:rsidRDefault="006C7566" w:rsidP="00143694">
            <w:pPr>
              <w:jc w:val="center"/>
              <w:rPr>
                <w:bCs/>
                <w:szCs w:val="17"/>
              </w:rPr>
            </w:pPr>
            <w:r w:rsidRPr="00586687">
              <w:rPr>
                <w:bCs/>
                <w:szCs w:val="17"/>
              </w:rPr>
              <w:t>440-441-442</w:t>
            </w:r>
          </w:p>
        </w:tc>
        <w:tc>
          <w:tcPr>
            <w:tcW w:w="1931" w:type="dxa"/>
            <w:shd w:val="clear" w:color="auto" w:fill="auto"/>
            <w:vAlign w:val="center"/>
          </w:tcPr>
          <w:p w14:paraId="6DA845D6" w14:textId="424E3C46" w:rsidR="006C7566" w:rsidRPr="00586687" w:rsidRDefault="006C7566" w:rsidP="00143694">
            <w:pPr>
              <w:jc w:val="center"/>
              <w:rPr>
                <w:bCs/>
                <w:szCs w:val="17"/>
              </w:rPr>
            </w:pPr>
            <w:r w:rsidRPr="00586687">
              <w:rPr>
                <w:bCs/>
                <w:szCs w:val="17"/>
              </w:rPr>
              <w:t>Article 41 – paragraph 3 a (new)</w:t>
            </w:r>
          </w:p>
        </w:tc>
        <w:tc>
          <w:tcPr>
            <w:tcW w:w="6588" w:type="dxa"/>
            <w:shd w:val="clear" w:color="auto" w:fill="auto"/>
          </w:tcPr>
          <w:p w14:paraId="6B8C0B44" w14:textId="63A4CD8B" w:rsidR="006C7566" w:rsidRPr="00586687" w:rsidRDefault="001151C7" w:rsidP="00143694">
            <w:pPr>
              <w:jc w:val="left"/>
              <w:rPr>
                <w:bCs/>
                <w:szCs w:val="17"/>
              </w:rPr>
            </w:pPr>
            <w:r w:rsidRPr="00586687">
              <w:rPr>
                <w:bCs/>
                <w:szCs w:val="17"/>
              </w:rPr>
              <w:t>System of governance s</w:t>
            </w:r>
            <w:r w:rsidR="00DE2E15" w:rsidRPr="00586687">
              <w:rPr>
                <w:bCs/>
                <w:szCs w:val="17"/>
              </w:rPr>
              <w:t xml:space="preserve">hall ensure that </w:t>
            </w:r>
            <w:r w:rsidR="00E93EFE" w:rsidRPr="00586687">
              <w:rPr>
                <w:bCs/>
                <w:szCs w:val="17"/>
              </w:rPr>
              <w:t>AMSB</w:t>
            </w:r>
            <w:r w:rsidR="006C7566" w:rsidRPr="00586687">
              <w:rPr>
                <w:bCs/>
                <w:szCs w:val="17"/>
              </w:rPr>
              <w:t xml:space="preserve"> is directly responsible for the sustainability risk management system described</w:t>
            </w:r>
            <w:r w:rsidR="00DE2E15" w:rsidRPr="00586687">
              <w:rPr>
                <w:bCs/>
                <w:szCs w:val="17"/>
              </w:rPr>
              <w:t xml:space="preserve"> (including transition plan)</w:t>
            </w:r>
          </w:p>
        </w:tc>
        <w:tc>
          <w:tcPr>
            <w:tcW w:w="1842" w:type="dxa"/>
            <w:shd w:val="clear" w:color="auto" w:fill="auto"/>
            <w:vAlign w:val="center"/>
          </w:tcPr>
          <w:p w14:paraId="76991886" w14:textId="3B19ED64" w:rsidR="006C7566" w:rsidRPr="00586687" w:rsidRDefault="006C7566" w:rsidP="00143694">
            <w:pPr>
              <w:jc w:val="center"/>
              <w:rPr>
                <w:bCs/>
                <w:szCs w:val="17"/>
              </w:rPr>
            </w:pPr>
            <w:proofErr w:type="spellStart"/>
            <w:r w:rsidRPr="00586687">
              <w:rPr>
                <w:bCs/>
                <w:szCs w:val="17"/>
              </w:rPr>
              <w:t>Heinäluoma</w:t>
            </w:r>
            <w:proofErr w:type="spellEnd"/>
            <w:r w:rsidRPr="00586687">
              <w:rPr>
                <w:bCs/>
                <w:szCs w:val="17"/>
              </w:rPr>
              <w:t xml:space="preserve">, Tang </w:t>
            </w:r>
            <w:proofErr w:type="spellStart"/>
            <w:r w:rsidRPr="00586687">
              <w:rPr>
                <w:bCs/>
                <w:szCs w:val="17"/>
              </w:rPr>
              <w:t>Lalucq</w:t>
            </w:r>
            <w:proofErr w:type="spellEnd"/>
            <w:r w:rsidRPr="00586687">
              <w:rPr>
                <w:bCs/>
                <w:szCs w:val="17"/>
              </w:rPr>
              <w:t>/ Tang/</w:t>
            </w:r>
            <w:r w:rsidRPr="00586687">
              <w:t xml:space="preserve"> </w:t>
            </w:r>
            <w:r w:rsidRPr="00586687">
              <w:rPr>
                <w:bCs/>
                <w:szCs w:val="17"/>
              </w:rPr>
              <w:t>Hahn</w:t>
            </w:r>
          </w:p>
        </w:tc>
        <w:tc>
          <w:tcPr>
            <w:tcW w:w="2127" w:type="dxa"/>
            <w:shd w:val="clear" w:color="auto" w:fill="auto"/>
            <w:vAlign w:val="center"/>
          </w:tcPr>
          <w:p w14:paraId="6A4ED160" w14:textId="4C2B8A71" w:rsidR="006C7566" w:rsidRPr="00586687" w:rsidRDefault="00E93EFE" w:rsidP="00143694">
            <w:pPr>
              <w:jc w:val="center"/>
              <w:rPr>
                <w:bCs/>
                <w:szCs w:val="17"/>
              </w:rPr>
            </w:pPr>
            <w:r w:rsidRPr="00586687">
              <w:rPr>
                <w:bCs/>
                <w:szCs w:val="17"/>
              </w:rPr>
              <w:t>System of governance/ sustainability</w:t>
            </w:r>
          </w:p>
        </w:tc>
        <w:tc>
          <w:tcPr>
            <w:tcW w:w="1471" w:type="dxa"/>
            <w:shd w:val="clear" w:color="auto" w:fill="auto"/>
            <w:vAlign w:val="center"/>
          </w:tcPr>
          <w:p w14:paraId="6CC34416" w14:textId="4C12337F" w:rsidR="006C7566" w:rsidRPr="00586687" w:rsidRDefault="006C7566" w:rsidP="00143694">
            <w:pPr>
              <w:jc w:val="center"/>
              <w:rPr>
                <w:b/>
                <w:color w:val="808080" w:themeColor="background1" w:themeShade="80"/>
                <w:szCs w:val="17"/>
              </w:rPr>
            </w:pPr>
            <w:r w:rsidRPr="00586687">
              <w:rPr>
                <w:b/>
                <w:color w:val="808080" w:themeColor="background1" w:themeShade="80"/>
                <w:szCs w:val="17"/>
              </w:rPr>
              <w:t>Neutral</w:t>
            </w:r>
          </w:p>
        </w:tc>
      </w:tr>
      <w:tr w:rsidR="006C7566" w:rsidRPr="00586687" w14:paraId="235CA43B" w14:textId="77777777" w:rsidTr="00A2044B">
        <w:trPr>
          <w:trHeight w:val="494"/>
        </w:trPr>
        <w:tc>
          <w:tcPr>
            <w:tcW w:w="696" w:type="dxa"/>
            <w:shd w:val="clear" w:color="auto" w:fill="auto"/>
            <w:vAlign w:val="center"/>
          </w:tcPr>
          <w:p w14:paraId="6844B397" w14:textId="25A5B211" w:rsidR="006C7566" w:rsidRPr="00586687" w:rsidRDefault="006C7566" w:rsidP="00143694">
            <w:pPr>
              <w:jc w:val="center"/>
              <w:rPr>
                <w:bCs/>
                <w:szCs w:val="17"/>
              </w:rPr>
            </w:pPr>
            <w:r w:rsidRPr="00586687">
              <w:rPr>
                <w:bCs/>
                <w:szCs w:val="17"/>
              </w:rPr>
              <w:t>443-444</w:t>
            </w:r>
          </w:p>
        </w:tc>
        <w:tc>
          <w:tcPr>
            <w:tcW w:w="1931" w:type="dxa"/>
            <w:shd w:val="clear" w:color="auto" w:fill="auto"/>
            <w:vAlign w:val="center"/>
          </w:tcPr>
          <w:p w14:paraId="2EAA8C8F" w14:textId="0D302057" w:rsidR="006C7566" w:rsidRPr="00586687" w:rsidRDefault="006C7566" w:rsidP="00143694">
            <w:pPr>
              <w:jc w:val="center"/>
              <w:rPr>
                <w:bCs/>
                <w:szCs w:val="17"/>
              </w:rPr>
            </w:pPr>
            <w:r w:rsidRPr="00586687">
              <w:rPr>
                <w:bCs/>
                <w:szCs w:val="17"/>
              </w:rPr>
              <w:t>Article 41 – paragraph 5 a (new)/ 5 a (new), 5 b (new), 5 c (new), 5 d (new)</w:t>
            </w:r>
          </w:p>
        </w:tc>
        <w:tc>
          <w:tcPr>
            <w:tcW w:w="6588" w:type="dxa"/>
            <w:shd w:val="clear" w:color="auto" w:fill="auto"/>
          </w:tcPr>
          <w:p w14:paraId="6B95E48B" w14:textId="77777777" w:rsidR="005C558A" w:rsidRPr="00586687" w:rsidRDefault="00423D7A" w:rsidP="00143694">
            <w:pPr>
              <w:jc w:val="left"/>
              <w:rPr>
                <w:bCs/>
                <w:szCs w:val="17"/>
              </w:rPr>
            </w:pPr>
            <w:r w:rsidRPr="00586687">
              <w:rPr>
                <w:bCs/>
                <w:szCs w:val="17"/>
              </w:rPr>
              <w:t>NSAs s</w:t>
            </w:r>
            <w:r w:rsidR="006C7566" w:rsidRPr="00586687">
              <w:rPr>
                <w:bCs/>
                <w:szCs w:val="17"/>
              </w:rPr>
              <w:t xml:space="preserve">hall require undertakings to ensure that a sufficiently broad set of qualities, competences, experiences and backgrounds are present in the </w:t>
            </w:r>
            <w:r w:rsidR="000916E7" w:rsidRPr="00586687">
              <w:rPr>
                <w:bCs/>
                <w:szCs w:val="17"/>
              </w:rPr>
              <w:t>AMSB</w:t>
            </w:r>
            <w:r w:rsidR="006C7566" w:rsidRPr="00586687">
              <w:rPr>
                <w:bCs/>
                <w:szCs w:val="17"/>
              </w:rPr>
              <w:t xml:space="preserve">. To that purpose, </w:t>
            </w:r>
            <w:r w:rsidR="000916E7" w:rsidRPr="00586687">
              <w:rPr>
                <w:bCs/>
                <w:szCs w:val="17"/>
              </w:rPr>
              <w:t xml:space="preserve">insurers </w:t>
            </w:r>
            <w:r w:rsidR="006C7566" w:rsidRPr="00586687">
              <w:rPr>
                <w:bCs/>
                <w:szCs w:val="17"/>
              </w:rPr>
              <w:t xml:space="preserve">shall put in place a policy promoting diversity in the </w:t>
            </w:r>
            <w:r w:rsidR="00E2430C" w:rsidRPr="00586687">
              <w:rPr>
                <w:bCs/>
                <w:szCs w:val="17"/>
              </w:rPr>
              <w:t>AMSB</w:t>
            </w:r>
            <w:r w:rsidR="002344E6" w:rsidRPr="00586687">
              <w:rPr>
                <w:bCs/>
                <w:szCs w:val="17"/>
              </w:rPr>
              <w:t>, includi</w:t>
            </w:r>
            <w:r w:rsidR="00AC6018" w:rsidRPr="00586687">
              <w:rPr>
                <w:bCs/>
                <w:szCs w:val="17"/>
              </w:rPr>
              <w:t>ng a</w:t>
            </w:r>
            <w:r w:rsidR="004C3D7A" w:rsidRPr="00586687">
              <w:rPr>
                <w:bCs/>
                <w:szCs w:val="17"/>
              </w:rPr>
              <w:t xml:space="preserve"> minimum representation target for the underrepresented gen</w:t>
            </w:r>
            <w:r w:rsidR="009E2543" w:rsidRPr="00586687">
              <w:rPr>
                <w:bCs/>
                <w:szCs w:val="17"/>
              </w:rPr>
              <w:t>d</w:t>
            </w:r>
            <w:r w:rsidR="004C3D7A" w:rsidRPr="00586687">
              <w:rPr>
                <w:bCs/>
                <w:szCs w:val="17"/>
              </w:rPr>
              <w:t>er.</w:t>
            </w:r>
            <w:r w:rsidR="009E2543" w:rsidRPr="00586687">
              <w:rPr>
                <w:bCs/>
                <w:szCs w:val="17"/>
              </w:rPr>
              <w:t xml:space="preserve"> The target/policy and implementation shall be made public </w:t>
            </w:r>
            <w:r w:rsidR="00F90483" w:rsidRPr="00586687">
              <w:rPr>
                <w:bCs/>
                <w:szCs w:val="17"/>
              </w:rPr>
              <w:t>(including in the SFCR)</w:t>
            </w:r>
            <w:r w:rsidR="005C558A" w:rsidRPr="00586687">
              <w:rPr>
                <w:bCs/>
                <w:szCs w:val="17"/>
              </w:rPr>
              <w:t>.</w:t>
            </w:r>
          </w:p>
          <w:p w14:paraId="365B95E7" w14:textId="77777777" w:rsidR="005C558A" w:rsidRPr="00586687" w:rsidRDefault="005C558A" w:rsidP="00143694">
            <w:pPr>
              <w:jc w:val="left"/>
              <w:rPr>
                <w:bCs/>
                <w:szCs w:val="17"/>
              </w:rPr>
            </w:pPr>
          </w:p>
          <w:p w14:paraId="72927F21" w14:textId="77777777" w:rsidR="005C558A" w:rsidRPr="00586687" w:rsidRDefault="005C558A" w:rsidP="00143694">
            <w:pPr>
              <w:jc w:val="left"/>
              <w:rPr>
                <w:bCs/>
                <w:szCs w:val="17"/>
              </w:rPr>
            </w:pPr>
            <w:r w:rsidRPr="00586687">
              <w:rPr>
                <w:bCs/>
                <w:szCs w:val="17"/>
              </w:rPr>
              <w:t>EIOPA shall issue guidelines on the notion of diversity to be taken into account for the selection AMSB on gender neutral remuneration policies.</w:t>
            </w:r>
          </w:p>
          <w:p w14:paraId="79240860" w14:textId="77777777" w:rsidR="005C558A" w:rsidRPr="00586687" w:rsidRDefault="005C558A" w:rsidP="00143694">
            <w:pPr>
              <w:jc w:val="left"/>
              <w:rPr>
                <w:bCs/>
                <w:szCs w:val="17"/>
              </w:rPr>
            </w:pPr>
          </w:p>
          <w:p w14:paraId="76624096" w14:textId="77777777" w:rsidR="005C558A" w:rsidRPr="00586687" w:rsidRDefault="005C558A" w:rsidP="00143694">
            <w:pPr>
              <w:jc w:val="left"/>
              <w:rPr>
                <w:bCs/>
                <w:szCs w:val="17"/>
              </w:rPr>
            </w:pPr>
            <w:r w:rsidRPr="00586687">
              <w:rPr>
                <w:bCs/>
                <w:szCs w:val="17"/>
              </w:rPr>
              <w:t>The written policy on remuneration, including incentives schemes, shall promote sound and effective risk management, including the integration of sustainability risks in the risk management system</w:t>
            </w:r>
          </w:p>
          <w:p w14:paraId="3254A21F" w14:textId="77777777" w:rsidR="005C558A" w:rsidRPr="00586687" w:rsidRDefault="005C558A" w:rsidP="00143694">
            <w:pPr>
              <w:jc w:val="left"/>
              <w:rPr>
                <w:bCs/>
                <w:szCs w:val="17"/>
              </w:rPr>
            </w:pPr>
          </w:p>
          <w:p w14:paraId="5FDF2895" w14:textId="446E2ADB" w:rsidR="006C7566" w:rsidRPr="00586687" w:rsidRDefault="005C558A" w:rsidP="00143694">
            <w:pPr>
              <w:jc w:val="left"/>
              <w:rPr>
                <w:bCs/>
                <w:szCs w:val="17"/>
              </w:rPr>
            </w:pPr>
            <w:r w:rsidRPr="00586687">
              <w:rPr>
                <w:bCs/>
                <w:szCs w:val="17"/>
              </w:rPr>
              <w:t>MS shall require that remuneration policies and practices are gender neutral.</w:t>
            </w:r>
          </w:p>
        </w:tc>
        <w:tc>
          <w:tcPr>
            <w:tcW w:w="1842" w:type="dxa"/>
            <w:shd w:val="clear" w:color="auto" w:fill="auto"/>
            <w:vAlign w:val="center"/>
          </w:tcPr>
          <w:p w14:paraId="2D5DDB84" w14:textId="77777777" w:rsidR="006C7566" w:rsidRPr="00586687" w:rsidRDefault="00E81715" w:rsidP="00143694">
            <w:pPr>
              <w:jc w:val="center"/>
              <w:rPr>
                <w:bCs/>
                <w:szCs w:val="17"/>
              </w:rPr>
            </w:pPr>
            <w:r w:rsidRPr="00586687">
              <w:rPr>
                <w:bCs/>
                <w:szCs w:val="17"/>
              </w:rPr>
              <w:lastRenderedPageBreak/>
              <w:t>Hahn</w:t>
            </w:r>
          </w:p>
          <w:p w14:paraId="660457BF" w14:textId="77777777" w:rsidR="005C558A" w:rsidRPr="00586687" w:rsidRDefault="005C558A" w:rsidP="00143694">
            <w:pPr>
              <w:jc w:val="center"/>
              <w:rPr>
                <w:bCs/>
                <w:szCs w:val="17"/>
              </w:rPr>
            </w:pPr>
          </w:p>
          <w:p w14:paraId="0F24C5C8" w14:textId="4FA732A5" w:rsidR="005C558A" w:rsidRPr="00586687" w:rsidRDefault="005C558A" w:rsidP="00143694">
            <w:pPr>
              <w:jc w:val="center"/>
              <w:rPr>
                <w:bCs/>
                <w:szCs w:val="17"/>
              </w:rPr>
            </w:pPr>
            <w:proofErr w:type="spellStart"/>
            <w:r w:rsidRPr="00586687">
              <w:rPr>
                <w:bCs/>
                <w:szCs w:val="17"/>
              </w:rPr>
              <w:t>Heinäluoma</w:t>
            </w:r>
            <w:proofErr w:type="spellEnd"/>
            <w:r w:rsidRPr="00586687">
              <w:rPr>
                <w:bCs/>
                <w:szCs w:val="17"/>
              </w:rPr>
              <w:t xml:space="preserve">, Tang, </w:t>
            </w:r>
            <w:proofErr w:type="spellStart"/>
            <w:r w:rsidRPr="00586687">
              <w:rPr>
                <w:bCs/>
                <w:szCs w:val="17"/>
              </w:rPr>
              <w:t>Lalucq</w:t>
            </w:r>
            <w:proofErr w:type="spellEnd"/>
          </w:p>
        </w:tc>
        <w:tc>
          <w:tcPr>
            <w:tcW w:w="2127" w:type="dxa"/>
            <w:shd w:val="clear" w:color="auto" w:fill="auto"/>
            <w:vAlign w:val="center"/>
          </w:tcPr>
          <w:p w14:paraId="10C4417B" w14:textId="1BE569BC" w:rsidR="006C7566" w:rsidRPr="00586687" w:rsidRDefault="00423D7A" w:rsidP="00143694">
            <w:pPr>
              <w:jc w:val="center"/>
              <w:rPr>
                <w:bCs/>
                <w:szCs w:val="17"/>
              </w:rPr>
            </w:pPr>
            <w:r w:rsidRPr="00586687">
              <w:rPr>
                <w:bCs/>
                <w:szCs w:val="17"/>
              </w:rPr>
              <w:t>System of governance/ D&amp;I</w:t>
            </w:r>
          </w:p>
        </w:tc>
        <w:tc>
          <w:tcPr>
            <w:tcW w:w="1471" w:type="dxa"/>
            <w:shd w:val="clear" w:color="auto" w:fill="auto"/>
            <w:vAlign w:val="center"/>
          </w:tcPr>
          <w:p w14:paraId="5410CB86" w14:textId="6AB052E0" w:rsidR="006C7566" w:rsidRPr="00586687" w:rsidRDefault="006C7566" w:rsidP="00143694">
            <w:pPr>
              <w:jc w:val="center"/>
              <w:rPr>
                <w:b/>
                <w:color w:val="808080" w:themeColor="background1" w:themeShade="80"/>
                <w:szCs w:val="17"/>
              </w:rPr>
            </w:pPr>
            <w:r w:rsidRPr="00586687">
              <w:rPr>
                <w:b/>
                <w:color w:val="808080" w:themeColor="background1" w:themeShade="80"/>
                <w:szCs w:val="17"/>
              </w:rPr>
              <w:t>Neutral</w:t>
            </w:r>
          </w:p>
        </w:tc>
      </w:tr>
      <w:tr w:rsidR="00417481" w:rsidRPr="00586687" w14:paraId="0CD46683" w14:textId="77777777" w:rsidTr="00A2044B">
        <w:trPr>
          <w:trHeight w:val="494"/>
        </w:trPr>
        <w:tc>
          <w:tcPr>
            <w:tcW w:w="696" w:type="dxa"/>
            <w:shd w:val="clear" w:color="auto" w:fill="auto"/>
            <w:vAlign w:val="center"/>
          </w:tcPr>
          <w:p w14:paraId="6F814C50" w14:textId="0BFB5A64" w:rsidR="00417481" w:rsidRPr="00586687" w:rsidRDefault="00417481" w:rsidP="00143694">
            <w:pPr>
              <w:jc w:val="center"/>
              <w:rPr>
                <w:bCs/>
                <w:szCs w:val="17"/>
              </w:rPr>
            </w:pPr>
          </w:p>
        </w:tc>
        <w:tc>
          <w:tcPr>
            <w:tcW w:w="1931" w:type="dxa"/>
            <w:shd w:val="clear" w:color="auto" w:fill="auto"/>
            <w:vAlign w:val="center"/>
          </w:tcPr>
          <w:p w14:paraId="4E598E1A" w14:textId="77777777" w:rsidR="00417481" w:rsidRPr="00586687" w:rsidRDefault="00417481" w:rsidP="00143694">
            <w:pPr>
              <w:jc w:val="center"/>
              <w:rPr>
                <w:bCs/>
                <w:szCs w:val="17"/>
              </w:rPr>
            </w:pPr>
          </w:p>
        </w:tc>
        <w:tc>
          <w:tcPr>
            <w:tcW w:w="6588" w:type="dxa"/>
            <w:shd w:val="clear" w:color="auto" w:fill="auto"/>
          </w:tcPr>
          <w:p w14:paraId="5CAD4ACB" w14:textId="4FEFFDEE" w:rsidR="00417481" w:rsidRPr="00586687" w:rsidRDefault="00417481" w:rsidP="00143694">
            <w:pPr>
              <w:jc w:val="left"/>
              <w:rPr>
                <w:bCs/>
                <w:szCs w:val="17"/>
              </w:rPr>
            </w:pPr>
          </w:p>
        </w:tc>
        <w:tc>
          <w:tcPr>
            <w:tcW w:w="1842" w:type="dxa"/>
            <w:shd w:val="clear" w:color="auto" w:fill="auto"/>
            <w:vAlign w:val="center"/>
          </w:tcPr>
          <w:p w14:paraId="7F1B354B" w14:textId="44ED65F5" w:rsidR="00417481" w:rsidRPr="00586687" w:rsidRDefault="00417481" w:rsidP="00143694">
            <w:pPr>
              <w:jc w:val="center"/>
              <w:rPr>
                <w:bCs/>
                <w:szCs w:val="17"/>
              </w:rPr>
            </w:pPr>
          </w:p>
        </w:tc>
        <w:tc>
          <w:tcPr>
            <w:tcW w:w="2127" w:type="dxa"/>
            <w:shd w:val="clear" w:color="auto" w:fill="auto"/>
            <w:vAlign w:val="center"/>
          </w:tcPr>
          <w:p w14:paraId="51D87F7F" w14:textId="1B74D23C" w:rsidR="00417481" w:rsidRPr="00586687" w:rsidRDefault="00417481" w:rsidP="00143694">
            <w:pPr>
              <w:jc w:val="center"/>
              <w:rPr>
                <w:bCs/>
                <w:szCs w:val="17"/>
              </w:rPr>
            </w:pPr>
          </w:p>
        </w:tc>
        <w:tc>
          <w:tcPr>
            <w:tcW w:w="1471" w:type="dxa"/>
            <w:shd w:val="clear" w:color="auto" w:fill="auto"/>
            <w:vAlign w:val="center"/>
          </w:tcPr>
          <w:p w14:paraId="79A011B6" w14:textId="6BB21366" w:rsidR="00417481" w:rsidRPr="00586687" w:rsidRDefault="00417481" w:rsidP="00143694">
            <w:pPr>
              <w:jc w:val="center"/>
              <w:rPr>
                <w:bCs/>
                <w:szCs w:val="17"/>
              </w:rPr>
            </w:pPr>
          </w:p>
        </w:tc>
      </w:tr>
      <w:tr w:rsidR="00417481" w:rsidRPr="00586687" w14:paraId="7E3BFEDD" w14:textId="77777777" w:rsidTr="00A2044B">
        <w:trPr>
          <w:trHeight w:val="494"/>
        </w:trPr>
        <w:tc>
          <w:tcPr>
            <w:tcW w:w="696" w:type="dxa"/>
            <w:shd w:val="clear" w:color="auto" w:fill="auto"/>
            <w:vAlign w:val="center"/>
          </w:tcPr>
          <w:p w14:paraId="5B86A211" w14:textId="6B0A4E30" w:rsidR="00417481" w:rsidRPr="00586687" w:rsidRDefault="00417481" w:rsidP="00143694">
            <w:pPr>
              <w:jc w:val="center"/>
              <w:rPr>
                <w:bCs/>
                <w:szCs w:val="17"/>
              </w:rPr>
            </w:pPr>
            <w:r w:rsidRPr="00586687">
              <w:rPr>
                <w:bCs/>
                <w:szCs w:val="17"/>
              </w:rPr>
              <w:t>445-446-447-448</w:t>
            </w:r>
          </w:p>
        </w:tc>
        <w:tc>
          <w:tcPr>
            <w:tcW w:w="1931" w:type="dxa"/>
            <w:shd w:val="clear" w:color="auto" w:fill="auto"/>
            <w:vAlign w:val="center"/>
          </w:tcPr>
          <w:p w14:paraId="57045BD0" w14:textId="16EDA340" w:rsidR="00417481" w:rsidRPr="00586687" w:rsidRDefault="00417481" w:rsidP="00143694">
            <w:pPr>
              <w:jc w:val="center"/>
              <w:rPr>
                <w:bCs/>
                <w:szCs w:val="17"/>
              </w:rPr>
            </w:pPr>
            <w:r w:rsidRPr="00586687">
              <w:rPr>
                <w:bCs/>
                <w:szCs w:val="17"/>
              </w:rPr>
              <w:t>Article 42 – paragraph 1 – point a</w:t>
            </w:r>
          </w:p>
        </w:tc>
        <w:tc>
          <w:tcPr>
            <w:tcW w:w="6588" w:type="dxa"/>
            <w:shd w:val="clear" w:color="auto" w:fill="auto"/>
          </w:tcPr>
          <w:p w14:paraId="5D431B25" w14:textId="039957C1" w:rsidR="00417481" w:rsidRPr="00586687" w:rsidRDefault="00417481" w:rsidP="00143694">
            <w:pPr>
              <w:jc w:val="left"/>
              <w:rPr>
                <w:bCs/>
                <w:szCs w:val="17"/>
              </w:rPr>
            </w:pPr>
            <w:r w:rsidRPr="00586687">
              <w:rPr>
                <w:bCs/>
                <w:szCs w:val="17"/>
              </w:rPr>
              <w:t xml:space="preserve">Included </w:t>
            </w:r>
            <w:r w:rsidR="009A6419" w:rsidRPr="00586687">
              <w:rPr>
                <w:bCs/>
                <w:szCs w:val="17"/>
              </w:rPr>
              <w:t xml:space="preserve">‘the field of sustainability risks’ </w:t>
            </w:r>
            <w:r w:rsidR="00FA6144" w:rsidRPr="00586687">
              <w:rPr>
                <w:bCs/>
                <w:szCs w:val="17"/>
              </w:rPr>
              <w:t>to the fit and proper requirements</w:t>
            </w:r>
          </w:p>
        </w:tc>
        <w:tc>
          <w:tcPr>
            <w:tcW w:w="1842" w:type="dxa"/>
            <w:shd w:val="clear" w:color="auto" w:fill="auto"/>
            <w:vAlign w:val="center"/>
          </w:tcPr>
          <w:p w14:paraId="72753973" w14:textId="0F0E98B8" w:rsidR="00417481" w:rsidRPr="00586687" w:rsidRDefault="00417481" w:rsidP="00143694">
            <w:pPr>
              <w:jc w:val="center"/>
              <w:rPr>
                <w:bCs/>
                <w:szCs w:val="17"/>
              </w:rPr>
            </w:pPr>
            <w:r w:rsidRPr="00586687">
              <w:rPr>
                <w:bCs/>
                <w:szCs w:val="17"/>
              </w:rPr>
              <w:t>Hahn/ Tang/</w:t>
            </w:r>
            <w:r w:rsidRPr="00586687">
              <w:t xml:space="preserve"> </w:t>
            </w:r>
            <w:r w:rsidRPr="00586687">
              <w:rPr>
                <w:bCs/>
                <w:szCs w:val="17"/>
              </w:rPr>
              <w:t xml:space="preserve">Yon-Courtin, Boyer, </w:t>
            </w:r>
            <w:proofErr w:type="spellStart"/>
            <w:r w:rsidRPr="00586687">
              <w:rPr>
                <w:bCs/>
                <w:szCs w:val="17"/>
              </w:rPr>
              <w:t>Canfin</w:t>
            </w:r>
            <w:proofErr w:type="spellEnd"/>
            <w:r w:rsidRPr="00586687">
              <w:rPr>
                <w:bCs/>
                <w:szCs w:val="17"/>
              </w:rPr>
              <w:t>/ MacManus</w:t>
            </w:r>
          </w:p>
        </w:tc>
        <w:tc>
          <w:tcPr>
            <w:tcW w:w="2127" w:type="dxa"/>
            <w:shd w:val="clear" w:color="auto" w:fill="auto"/>
            <w:vAlign w:val="center"/>
          </w:tcPr>
          <w:p w14:paraId="1629D6E8" w14:textId="1CA1A004" w:rsidR="00417481" w:rsidRPr="00586687" w:rsidRDefault="00FA6144" w:rsidP="00143694">
            <w:pPr>
              <w:jc w:val="center"/>
              <w:rPr>
                <w:bCs/>
                <w:szCs w:val="17"/>
              </w:rPr>
            </w:pPr>
            <w:r w:rsidRPr="00586687">
              <w:rPr>
                <w:bCs/>
                <w:szCs w:val="17"/>
              </w:rPr>
              <w:t>Fit and proper requirements</w:t>
            </w:r>
            <w:r w:rsidR="00BF0D86" w:rsidRPr="00586687">
              <w:rPr>
                <w:bCs/>
                <w:szCs w:val="17"/>
              </w:rPr>
              <w:t>/ sustainability</w:t>
            </w:r>
          </w:p>
        </w:tc>
        <w:tc>
          <w:tcPr>
            <w:tcW w:w="1471" w:type="dxa"/>
            <w:shd w:val="clear" w:color="auto" w:fill="auto"/>
            <w:vAlign w:val="center"/>
          </w:tcPr>
          <w:p w14:paraId="5E264BEF" w14:textId="0B9B910E" w:rsidR="00417481" w:rsidRPr="00586687" w:rsidRDefault="00417481" w:rsidP="00143694">
            <w:pPr>
              <w:jc w:val="center"/>
              <w:rPr>
                <w:b/>
                <w:color w:val="808080" w:themeColor="background1" w:themeShade="80"/>
                <w:szCs w:val="17"/>
              </w:rPr>
            </w:pPr>
            <w:r w:rsidRPr="00586687">
              <w:rPr>
                <w:b/>
                <w:color w:val="808080" w:themeColor="background1" w:themeShade="80"/>
                <w:szCs w:val="17"/>
              </w:rPr>
              <w:t>Neutral</w:t>
            </w:r>
          </w:p>
        </w:tc>
      </w:tr>
      <w:tr w:rsidR="00417481" w:rsidRPr="00586687" w14:paraId="03B03A80" w14:textId="77777777" w:rsidTr="00A2044B">
        <w:trPr>
          <w:trHeight w:val="494"/>
        </w:trPr>
        <w:tc>
          <w:tcPr>
            <w:tcW w:w="696" w:type="dxa"/>
            <w:shd w:val="clear" w:color="auto" w:fill="auto"/>
            <w:vAlign w:val="center"/>
          </w:tcPr>
          <w:p w14:paraId="5EAD6BD4" w14:textId="031476B9" w:rsidR="00417481" w:rsidRPr="00586687" w:rsidRDefault="00417481" w:rsidP="00143694">
            <w:pPr>
              <w:jc w:val="center"/>
              <w:rPr>
                <w:bCs/>
                <w:szCs w:val="17"/>
              </w:rPr>
            </w:pPr>
            <w:r w:rsidRPr="00586687">
              <w:rPr>
                <w:bCs/>
                <w:szCs w:val="17"/>
              </w:rPr>
              <w:t>449</w:t>
            </w:r>
          </w:p>
        </w:tc>
        <w:tc>
          <w:tcPr>
            <w:tcW w:w="1931" w:type="dxa"/>
            <w:shd w:val="clear" w:color="auto" w:fill="auto"/>
            <w:vAlign w:val="center"/>
          </w:tcPr>
          <w:p w14:paraId="3E0E947C" w14:textId="1C46DB2D" w:rsidR="00417481" w:rsidRPr="00586687" w:rsidRDefault="00417481" w:rsidP="00143694">
            <w:pPr>
              <w:jc w:val="center"/>
              <w:rPr>
                <w:bCs/>
                <w:szCs w:val="17"/>
              </w:rPr>
            </w:pPr>
            <w:r w:rsidRPr="00586687">
              <w:rPr>
                <w:bCs/>
                <w:szCs w:val="17"/>
              </w:rPr>
              <w:t>Article 42 – paragraph 2</w:t>
            </w:r>
          </w:p>
        </w:tc>
        <w:tc>
          <w:tcPr>
            <w:tcW w:w="6588" w:type="dxa"/>
            <w:shd w:val="clear" w:color="auto" w:fill="auto"/>
          </w:tcPr>
          <w:p w14:paraId="5063252C" w14:textId="299F1476" w:rsidR="00417481" w:rsidRPr="00586687" w:rsidRDefault="002B242C" w:rsidP="00143694">
            <w:pPr>
              <w:jc w:val="left"/>
              <w:rPr>
                <w:bCs/>
                <w:szCs w:val="17"/>
              </w:rPr>
            </w:pPr>
            <w:r w:rsidRPr="00586687">
              <w:rPr>
                <w:bCs/>
                <w:szCs w:val="17"/>
              </w:rPr>
              <w:t xml:space="preserve">The reasons for changes need to be explained in the context of the fit and proper </w:t>
            </w:r>
            <w:proofErr w:type="spellStart"/>
            <w:r w:rsidRPr="00586687">
              <w:rPr>
                <w:bCs/>
                <w:szCs w:val="17"/>
              </w:rPr>
              <w:t>requiremen</w:t>
            </w:r>
            <w:proofErr w:type="spellEnd"/>
          </w:p>
        </w:tc>
        <w:tc>
          <w:tcPr>
            <w:tcW w:w="1842" w:type="dxa"/>
            <w:shd w:val="clear" w:color="auto" w:fill="auto"/>
            <w:vAlign w:val="center"/>
          </w:tcPr>
          <w:p w14:paraId="0695F7CF" w14:textId="59E5B177" w:rsidR="00417481" w:rsidRPr="00586687" w:rsidRDefault="00417481" w:rsidP="00143694">
            <w:pPr>
              <w:jc w:val="center"/>
              <w:rPr>
                <w:bCs/>
                <w:szCs w:val="17"/>
              </w:rPr>
            </w:pPr>
            <w:r w:rsidRPr="00586687">
              <w:rPr>
                <w:bCs/>
                <w:szCs w:val="17"/>
              </w:rPr>
              <w:t>Chris MacManus</w:t>
            </w:r>
          </w:p>
        </w:tc>
        <w:tc>
          <w:tcPr>
            <w:tcW w:w="2127" w:type="dxa"/>
            <w:shd w:val="clear" w:color="auto" w:fill="auto"/>
            <w:vAlign w:val="center"/>
          </w:tcPr>
          <w:p w14:paraId="4250661D" w14:textId="1E81860E" w:rsidR="00417481" w:rsidRPr="00586687" w:rsidRDefault="002B242C" w:rsidP="00143694">
            <w:pPr>
              <w:jc w:val="center"/>
              <w:rPr>
                <w:bCs/>
                <w:szCs w:val="17"/>
              </w:rPr>
            </w:pPr>
            <w:r w:rsidRPr="00586687">
              <w:rPr>
                <w:bCs/>
                <w:szCs w:val="17"/>
              </w:rPr>
              <w:t>Fit and proper requirements</w:t>
            </w:r>
          </w:p>
        </w:tc>
        <w:tc>
          <w:tcPr>
            <w:tcW w:w="1471" w:type="dxa"/>
            <w:shd w:val="clear" w:color="auto" w:fill="auto"/>
            <w:vAlign w:val="center"/>
          </w:tcPr>
          <w:p w14:paraId="216A3CEE" w14:textId="01822DC2" w:rsidR="00417481" w:rsidRPr="00586687" w:rsidRDefault="000762FF"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3C29464D" w14:textId="77777777" w:rsidTr="00A2044B">
        <w:trPr>
          <w:trHeight w:val="494"/>
        </w:trPr>
        <w:tc>
          <w:tcPr>
            <w:tcW w:w="696" w:type="dxa"/>
            <w:shd w:val="clear" w:color="auto" w:fill="auto"/>
            <w:vAlign w:val="center"/>
          </w:tcPr>
          <w:p w14:paraId="1AC0F148" w14:textId="00B7D48F" w:rsidR="008E3302" w:rsidRPr="00586687" w:rsidRDefault="008E3302" w:rsidP="00143694">
            <w:pPr>
              <w:jc w:val="center"/>
              <w:rPr>
                <w:bCs/>
                <w:szCs w:val="17"/>
              </w:rPr>
            </w:pPr>
            <w:r w:rsidRPr="00586687">
              <w:rPr>
                <w:bCs/>
                <w:szCs w:val="17"/>
              </w:rPr>
              <w:t>450</w:t>
            </w:r>
          </w:p>
        </w:tc>
        <w:tc>
          <w:tcPr>
            <w:tcW w:w="1931" w:type="dxa"/>
            <w:shd w:val="clear" w:color="auto" w:fill="auto"/>
            <w:vAlign w:val="center"/>
          </w:tcPr>
          <w:p w14:paraId="76F51425" w14:textId="48318D45" w:rsidR="008E3302" w:rsidRPr="00412D45" w:rsidRDefault="008E3302" w:rsidP="00143694">
            <w:pPr>
              <w:jc w:val="center"/>
              <w:rPr>
                <w:bCs/>
                <w:szCs w:val="17"/>
                <w:lang w:val="fr-FR"/>
              </w:rPr>
            </w:pPr>
            <w:r w:rsidRPr="00412D45">
              <w:rPr>
                <w:bCs/>
                <w:szCs w:val="17"/>
                <w:lang w:val="fr-FR"/>
              </w:rPr>
              <w:t>Article 42 – paragraph 1 – subparagraph 1 a (new)</w:t>
            </w:r>
          </w:p>
        </w:tc>
        <w:tc>
          <w:tcPr>
            <w:tcW w:w="6588" w:type="dxa"/>
            <w:shd w:val="clear" w:color="auto" w:fill="auto"/>
          </w:tcPr>
          <w:p w14:paraId="3312CA1A" w14:textId="30BE5842" w:rsidR="008E3302" w:rsidRPr="00586687" w:rsidRDefault="008E3302" w:rsidP="00143694">
            <w:pPr>
              <w:jc w:val="left"/>
              <w:rPr>
                <w:bCs/>
                <w:szCs w:val="17"/>
              </w:rPr>
            </w:pPr>
            <w:r w:rsidRPr="00586687">
              <w:rPr>
                <w:bCs/>
                <w:szCs w:val="17"/>
              </w:rPr>
              <w:t>The fit and proper requirements included the provision that the persons shall not have been convicted of offences relating to money laundering/terrorist financing or other offences that would affect their good repute.</w:t>
            </w:r>
          </w:p>
        </w:tc>
        <w:tc>
          <w:tcPr>
            <w:tcW w:w="1842" w:type="dxa"/>
            <w:shd w:val="clear" w:color="auto" w:fill="auto"/>
            <w:vAlign w:val="center"/>
          </w:tcPr>
          <w:p w14:paraId="72E00841" w14:textId="6D11D9FC" w:rsidR="008E3302" w:rsidRPr="00586687" w:rsidRDefault="008E3302" w:rsidP="00143694">
            <w:pPr>
              <w:jc w:val="center"/>
              <w:rPr>
                <w:bCs/>
                <w:szCs w:val="17"/>
              </w:rPr>
            </w:pPr>
            <w:proofErr w:type="spellStart"/>
            <w:r w:rsidRPr="00586687">
              <w:rPr>
                <w:bCs/>
                <w:szCs w:val="17"/>
              </w:rPr>
              <w:t>Henrike</w:t>
            </w:r>
            <w:proofErr w:type="spellEnd"/>
            <w:r w:rsidRPr="00586687">
              <w:rPr>
                <w:bCs/>
                <w:szCs w:val="17"/>
              </w:rPr>
              <w:t xml:space="preserve"> Hahn</w:t>
            </w:r>
          </w:p>
        </w:tc>
        <w:tc>
          <w:tcPr>
            <w:tcW w:w="2127" w:type="dxa"/>
            <w:shd w:val="clear" w:color="auto" w:fill="auto"/>
            <w:vAlign w:val="center"/>
          </w:tcPr>
          <w:p w14:paraId="17A9AA64" w14:textId="731F5342" w:rsidR="008E3302" w:rsidRPr="00586687" w:rsidRDefault="008E3302" w:rsidP="00143694">
            <w:pPr>
              <w:jc w:val="center"/>
              <w:rPr>
                <w:b/>
                <w:szCs w:val="17"/>
              </w:rPr>
            </w:pPr>
            <w:r w:rsidRPr="00586687">
              <w:rPr>
                <w:bCs/>
                <w:szCs w:val="17"/>
              </w:rPr>
              <w:t>Fit and proper requirements</w:t>
            </w:r>
          </w:p>
        </w:tc>
        <w:tc>
          <w:tcPr>
            <w:tcW w:w="1471" w:type="dxa"/>
            <w:shd w:val="clear" w:color="auto" w:fill="auto"/>
            <w:vAlign w:val="center"/>
          </w:tcPr>
          <w:p w14:paraId="62FA6CB5" w14:textId="45F3E70F" w:rsidR="008E3302" w:rsidRPr="00586687" w:rsidRDefault="008E3302" w:rsidP="00143694">
            <w:pPr>
              <w:jc w:val="center"/>
              <w:rPr>
                <w:b/>
                <w:color w:val="808080" w:themeColor="background1" w:themeShade="80"/>
                <w:szCs w:val="17"/>
              </w:rPr>
            </w:pPr>
            <w:r w:rsidRPr="00586687">
              <w:rPr>
                <w:b/>
                <w:color w:val="808080" w:themeColor="background1" w:themeShade="80"/>
                <w:szCs w:val="17"/>
              </w:rPr>
              <w:t>Neutral</w:t>
            </w:r>
          </w:p>
        </w:tc>
      </w:tr>
      <w:tr w:rsidR="00B44C99" w:rsidRPr="00586687" w14:paraId="45F41929" w14:textId="77777777" w:rsidTr="00A2044B">
        <w:trPr>
          <w:trHeight w:val="494"/>
        </w:trPr>
        <w:tc>
          <w:tcPr>
            <w:tcW w:w="696" w:type="dxa"/>
            <w:shd w:val="clear" w:color="auto" w:fill="auto"/>
            <w:vAlign w:val="center"/>
          </w:tcPr>
          <w:p w14:paraId="167ADD0E" w14:textId="0B907736" w:rsidR="00B44C99" w:rsidRPr="00586687" w:rsidRDefault="00B44C99" w:rsidP="00143694">
            <w:pPr>
              <w:jc w:val="center"/>
              <w:rPr>
                <w:bCs/>
                <w:szCs w:val="17"/>
              </w:rPr>
            </w:pPr>
            <w:r w:rsidRPr="00586687">
              <w:rPr>
                <w:bCs/>
                <w:szCs w:val="17"/>
              </w:rPr>
              <w:t>451</w:t>
            </w:r>
          </w:p>
        </w:tc>
        <w:tc>
          <w:tcPr>
            <w:tcW w:w="1931" w:type="dxa"/>
            <w:shd w:val="clear" w:color="auto" w:fill="auto"/>
            <w:vAlign w:val="center"/>
          </w:tcPr>
          <w:p w14:paraId="027F16D7" w14:textId="0C13E170" w:rsidR="00B44C99" w:rsidRPr="00586687" w:rsidRDefault="00B44C99" w:rsidP="00143694">
            <w:pPr>
              <w:jc w:val="center"/>
              <w:rPr>
                <w:bCs/>
                <w:szCs w:val="17"/>
              </w:rPr>
            </w:pPr>
            <w:r w:rsidRPr="00586687">
              <w:rPr>
                <w:bCs/>
                <w:szCs w:val="17"/>
              </w:rPr>
              <w:t>Article 42 – paragraph 4</w:t>
            </w:r>
          </w:p>
        </w:tc>
        <w:tc>
          <w:tcPr>
            <w:tcW w:w="6588" w:type="dxa"/>
            <w:shd w:val="clear" w:color="auto" w:fill="auto"/>
          </w:tcPr>
          <w:p w14:paraId="609BE4C9" w14:textId="50125752" w:rsidR="00B44C99" w:rsidRPr="00586687" w:rsidRDefault="00B44C99" w:rsidP="00143694">
            <w:pPr>
              <w:jc w:val="left"/>
              <w:rPr>
                <w:bCs/>
                <w:szCs w:val="17"/>
              </w:rPr>
            </w:pPr>
            <w:r w:rsidRPr="00586687">
              <w:rPr>
                <w:bCs/>
                <w:szCs w:val="17"/>
              </w:rPr>
              <w:t>Strengthened wording by removing ‘shall have the power’ when NSAs remove the person from the position if it does not fulfil the requirements set out in paragraph 1</w:t>
            </w:r>
          </w:p>
        </w:tc>
        <w:tc>
          <w:tcPr>
            <w:tcW w:w="1842" w:type="dxa"/>
            <w:shd w:val="clear" w:color="auto" w:fill="auto"/>
            <w:vAlign w:val="center"/>
          </w:tcPr>
          <w:p w14:paraId="57A4D314" w14:textId="21DF26F2" w:rsidR="00B44C99" w:rsidRPr="00412D45" w:rsidRDefault="00B44C99" w:rsidP="00143694">
            <w:pPr>
              <w:jc w:val="center"/>
              <w:rPr>
                <w:szCs w:val="17"/>
                <w:lang w:val="es-ES"/>
              </w:rPr>
            </w:pPr>
            <w:r w:rsidRPr="00412D45">
              <w:rPr>
                <w:szCs w:val="17"/>
                <w:lang w:val="es-ES"/>
              </w:rPr>
              <w:t>Eero Heinäluoma, Paul Tang, Aurore Lalucq</w:t>
            </w:r>
          </w:p>
        </w:tc>
        <w:tc>
          <w:tcPr>
            <w:tcW w:w="2127" w:type="dxa"/>
            <w:shd w:val="clear" w:color="auto" w:fill="auto"/>
            <w:vAlign w:val="center"/>
          </w:tcPr>
          <w:p w14:paraId="694291DC" w14:textId="7F0782AC" w:rsidR="00B44C99" w:rsidRPr="00586687" w:rsidRDefault="00B44C99" w:rsidP="00143694">
            <w:pPr>
              <w:jc w:val="center"/>
              <w:rPr>
                <w:bCs/>
                <w:szCs w:val="17"/>
              </w:rPr>
            </w:pPr>
            <w:r w:rsidRPr="00586687">
              <w:rPr>
                <w:bCs/>
                <w:szCs w:val="17"/>
              </w:rPr>
              <w:t>Fit and proper requirements</w:t>
            </w:r>
          </w:p>
        </w:tc>
        <w:tc>
          <w:tcPr>
            <w:tcW w:w="1471" w:type="dxa"/>
            <w:shd w:val="clear" w:color="auto" w:fill="auto"/>
            <w:vAlign w:val="center"/>
          </w:tcPr>
          <w:p w14:paraId="39E29ED5" w14:textId="01579C7B" w:rsidR="00B44C99" w:rsidRPr="00586687" w:rsidRDefault="00B44C99"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5A8F1667" w14:textId="77777777" w:rsidTr="00A2044B">
        <w:trPr>
          <w:trHeight w:val="494"/>
        </w:trPr>
        <w:tc>
          <w:tcPr>
            <w:tcW w:w="696" w:type="dxa"/>
            <w:shd w:val="clear" w:color="auto" w:fill="auto"/>
            <w:vAlign w:val="center"/>
          </w:tcPr>
          <w:p w14:paraId="4076142F" w14:textId="495CB9BE" w:rsidR="008E3302" w:rsidRPr="00586687" w:rsidRDefault="008E3302" w:rsidP="00143694">
            <w:pPr>
              <w:jc w:val="center"/>
              <w:rPr>
                <w:bCs/>
                <w:szCs w:val="17"/>
              </w:rPr>
            </w:pPr>
            <w:r w:rsidRPr="00586687">
              <w:rPr>
                <w:bCs/>
                <w:szCs w:val="17"/>
              </w:rPr>
              <w:t>452</w:t>
            </w:r>
          </w:p>
        </w:tc>
        <w:tc>
          <w:tcPr>
            <w:tcW w:w="1931" w:type="dxa"/>
            <w:shd w:val="clear" w:color="auto" w:fill="auto"/>
            <w:vAlign w:val="center"/>
          </w:tcPr>
          <w:p w14:paraId="0CF12432" w14:textId="25F83DDD" w:rsidR="008E3302" w:rsidRPr="00412D45" w:rsidRDefault="008E3302" w:rsidP="00143694">
            <w:pPr>
              <w:jc w:val="center"/>
              <w:rPr>
                <w:bCs/>
                <w:szCs w:val="17"/>
                <w:lang w:val="fr-FR"/>
              </w:rPr>
            </w:pPr>
            <w:r w:rsidRPr="00412D45">
              <w:rPr>
                <w:bCs/>
                <w:szCs w:val="17"/>
                <w:lang w:val="fr-FR"/>
              </w:rPr>
              <w:t>Article 44 – paragraph 2a – subparagraph 1 – point b – point iii</w:t>
            </w:r>
          </w:p>
        </w:tc>
        <w:tc>
          <w:tcPr>
            <w:tcW w:w="6588" w:type="dxa"/>
            <w:shd w:val="clear" w:color="auto" w:fill="auto"/>
          </w:tcPr>
          <w:p w14:paraId="28F9AFA6" w14:textId="017C7CE7" w:rsidR="008E3302" w:rsidRPr="00586687" w:rsidRDefault="009F55F4" w:rsidP="00143694">
            <w:pPr>
              <w:jc w:val="left"/>
              <w:rPr>
                <w:bCs/>
                <w:szCs w:val="17"/>
              </w:rPr>
            </w:pPr>
            <w:r w:rsidRPr="00586687">
              <w:rPr>
                <w:bCs/>
                <w:szCs w:val="17"/>
              </w:rPr>
              <w:t xml:space="preserve">Cancelled the deletion of: </w:t>
            </w:r>
            <w:r w:rsidR="005548C5" w:rsidRPr="00586687">
              <w:rPr>
                <w:bCs/>
                <w:szCs w:val="17"/>
              </w:rPr>
              <w:t>‘the</w:t>
            </w:r>
            <w:r w:rsidR="008E3302" w:rsidRPr="00586687">
              <w:rPr>
                <w:bCs/>
                <w:szCs w:val="17"/>
              </w:rPr>
              <w:t xml:space="preserve"> impact of a reduction of the matching adjustment to zero</w:t>
            </w:r>
            <w:r w:rsidRPr="00586687">
              <w:rPr>
                <w:bCs/>
                <w:szCs w:val="17"/>
              </w:rPr>
              <w:t>’</w:t>
            </w:r>
          </w:p>
          <w:p w14:paraId="3B05D7F4" w14:textId="77777777" w:rsidR="008E3302" w:rsidRPr="00586687" w:rsidRDefault="008E3302" w:rsidP="00143694">
            <w:pPr>
              <w:jc w:val="left"/>
              <w:rPr>
                <w:bCs/>
                <w:szCs w:val="17"/>
              </w:rPr>
            </w:pPr>
          </w:p>
          <w:p w14:paraId="1A0652D4" w14:textId="6610A775" w:rsidR="008E3302" w:rsidRPr="00586687" w:rsidRDefault="008E3302" w:rsidP="00143694">
            <w:pPr>
              <w:jc w:val="left"/>
              <w:rPr>
                <w:bCs/>
                <w:szCs w:val="17"/>
              </w:rPr>
            </w:pPr>
          </w:p>
        </w:tc>
        <w:tc>
          <w:tcPr>
            <w:tcW w:w="1842" w:type="dxa"/>
            <w:shd w:val="clear" w:color="auto" w:fill="auto"/>
            <w:vAlign w:val="center"/>
          </w:tcPr>
          <w:p w14:paraId="7FA45F7C" w14:textId="22C3373D" w:rsidR="008E3302" w:rsidRPr="00586687" w:rsidRDefault="008E3302" w:rsidP="00143694">
            <w:pPr>
              <w:jc w:val="center"/>
              <w:rPr>
                <w:bCs/>
                <w:szCs w:val="17"/>
              </w:rPr>
            </w:pPr>
            <w:proofErr w:type="spellStart"/>
            <w:r w:rsidRPr="00586687">
              <w:rPr>
                <w:bCs/>
                <w:szCs w:val="17"/>
              </w:rPr>
              <w:t>Henrike</w:t>
            </w:r>
            <w:proofErr w:type="spellEnd"/>
            <w:r w:rsidRPr="00586687">
              <w:rPr>
                <w:bCs/>
                <w:szCs w:val="17"/>
              </w:rPr>
              <w:t xml:space="preserve"> Hahn</w:t>
            </w:r>
          </w:p>
        </w:tc>
        <w:tc>
          <w:tcPr>
            <w:tcW w:w="2127" w:type="dxa"/>
            <w:shd w:val="clear" w:color="auto" w:fill="auto"/>
            <w:vAlign w:val="center"/>
          </w:tcPr>
          <w:p w14:paraId="5FF01B65" w14:textId="194ED48B" w:rsidR="008E3302" w:rsidRPr="00586687" w:rsidRDefault="00B649DE" w:rsidP="00143694">
            <w:pPr>
              <w:jc w:val="center"/>
              <w:rPr>
                <w:bCs/>
                <w:szCs w:val="17"/>
              </w:rPr>
            </w:pPr>
            <w:r w:rsidRPr="00586687">
              <w:rPr>
                <w:bCs/>
                <w:szCs w:val="17"/>
              </w:rPr>
              <w:t>Risk Management</w:t>
            </w:r>
          </w:p>
        </w:tc>
        <w:tc>
          <w:tcPr>
            <w:tcW w:w="1471" w:type="dxa"/>
            <w:shd w:val="clear" w:color="auto" w:fill="auto"/>
            <w:vAlign w:val="center"/>
          </w:tcPr>
          <w:p w14:paraId="1957DB91" w14:textId="60277088" w:rsidR="008E3302" w:rsidRPr="00586687" w:rsidRDefault="00B52A78" w:rsidP="00143694">
            <w:pPr>
              <w:jc w:val="center"/>
              <w:rPr>
                <w:bCs/>
                <w:szCs w:val="17"/>
              </w:rPr>
            </w:pPr>
            <w:r w:rsidRPr="00586687">
              <w:rPr>
                <w:b/>
                <w:color w:val="FF0000"/>
                <w:szCs w:val="17"/>
              </w:rPr>
              <w:t>Negative</w:t>
            </w:r>
          </w:p>
        </w:tc>
      </w:tr>
      <w:tr w:rsidR="008E3302" w:rsidRPr="00586687" w14:paraId="4106B834" w14:textId="77777777" w:rsidTr="00A2044B">
        <w:trPr>
          <w:trHeight w:val="494"/>
        </w:trPr>
        <w:tc>
          <w:tcPr>
            <w:tcW w:w="696" w:type="dxa"/>
            <w:shd w:val="clear" w:color="auto" w:fill="auto"/>
            <w:vAlign w:val="center"/>
          </w:tcPr>
          <w:p w14:paraId="3D74514C" w14:textId="489BF07B" w:rsidR="008E3302" w:rsidRPr="00586687" w:rsidRDefault="008E3302" w:rsidP="00143694">
            <w:pPr>
              <w:jc w:val="center"/>
              <w:rPr>
                <w:bCs/>
                <w:szCs w:val="17"/>
              </w:rPr>
            </w:pPr>
            <w:r w:rsidRPr="00586687">
              <w:rPr>
                <w:bCs/>
                <w:szCs w:val="17"/>
              </w:rPr>
              <w:t>453</w:t>
            </w:r>
          </w:p>
        </w:tc>
        <w:tc>
          <w:tcPr>
            <w:tcW w:w="1931" w:type="dxa"/>
            <w:shd w:val="clear" w:color="auto" w:fill="auto"/>
            <w:vAlign w:val="center"/>
          </w:tcPr>
          <w:p w14:paraId="325FAF78" w14:textId="673786E7" w:rsidR="008E3302" w:rsidRPr="00412D45" w:rsidRDefault="008E3302" w:rsidP="00143694">
            <w:pPr>
              <w:jc w:val="center"/>
              <w:rPr>
                <w:bCs/>
                <w:szCs w:val="17"/>
                <w:lang w:val="fr-FR"/>
              </w:rPr>
            </w:pPr>
            <w:r w:rsidRPr="00412D45">
              <w:rPr>
                <w:bCs/>
                <w:szCs w:val="17"/>
                <w:lang w:val="fr-FR"/>
              </w:rPr>
              <w:t>Article 44 – paragraph 2a – subparagraph 1 – point c</w:t>
            </w:r>
          </w:p>
        </w:tc>
        <w:tc>
          <w:tcPr>
            <w:tcW w:w="6588" w:type="dxa"/>
            <w:shd w:val="clear" w:color="auto" w:fill="auto"/>
          </w:tcPr>
          <w:p w14:paraId="1BDB66C9" w14:textId="128B1BBD" w:rsidR="008E3302" w:rsidRPr="00586687" w:rsidRDefault="008E3302" w:rsidP="00143694">
            <w:pPr>
              <w:jc w:val="left"/>
              <w:rPr>
                <w:bCs/>
                <w:szCs w:val="17"/>
              </w:rPr>
            </w:pPr>
            <w:r w:rsidRPr="00586687">
              <w:rPr>
                <w:bCs/>
                <w:szCs w:val="17"/>
              </w:rPr>
              <w:t>Added that undertakings shall also regularly assess: the impact of a reduction of the volatility adjustment to zero.</w:t>
            </w:r>
          </w:p>
        </w:tc>
        <w:tc>
          <w:tcPr>
            <w:tcW w:w="1842" w:type="dxa"/>
            <w:shd w:val="clear" w:color="auto" w:fill="auto"/>
            <w:vAlign w:val="center"/>
          </w:tcPr>
          <w:p w14:paraId="4B02FED7" w14:textId="0744BD03" w:rsidR="008E3302" w:rsidRPr="00586687" w:rsidRDefault="008E3302" w:rsidP="00143694">
            <w:pPr>
              <w:jc w:val="center"/>
              <w:rPr>
                <w:bCs/>
                <w:szCs w:val="17"/>
              </w:rPr>
            </w:pPr>
            <w:proofErr w:type="spellStart"/>
            <w:r w:rsidRPr="00586687">
              <w:rPr>
                <w:bCs/>
                <w:szCs w:val="17"/>
              </w:rPr>
              <w:t>Henrike</w:t>
            </w:r>
            <w:proofErr w:type="spellEnd"/>
            <w:r w:rsidRPr="00586687">
              <w:rPr>
                <w:bCs/>
                <w:szCs w:val="17"/>
              </w:rPr>
              <w:t xml:space="preserve"> Hahn</w:t>
            </w:r>
          </w:p>
        </w:tc>
        <w:tc>
          <w:tcPr>
            <w:tcW w:w="2127" w:type="dxa"/>
            <w:shd w:val="clear" w:color="auto" w:fill="auto"/>
            <w:vAlign w:val="center"/>
          </w:tcPr>
          <w:p w14:paraId="4CF7656E" w14:textId="2BCC8345" w:rsidR="008E3302" w:rsidRPr="00586687" w:rsidRDefault="00534820" w:rsidP="00143694">
            <w:pPr>
              <w:jc w:val="center"/>
              <w:rPr>
                <w:bCs/>
                <w:szCs w:val="17"/>
                <w:highlight w:val="yellow"/>
              </w:rPr>
            </w:pPr>
            <w:r w:rsidRPr="00586687">
              <w:rPr>
                <w:bCs/>
                <w:szCs w:val="17"/>
              </w:rPr>
              <w:t>Risk Management</w:t>
            </w:r>
          </w:p>
        </w:tc>
        <w:tc>
          <w:tcPr>
            <w:tcW w:w="1471" w:type="dxa"/>
            <w:shd w:val="clear" w:color="auto" w:fill="auto"/>
            <w:vAlign w:val="center"/>
          </w:tcPr>
          <w:p w14:paraId="49FB194F" w14:textId="7291AADD" w:rsidR="008E3302" w:rsidRPr="00586687" w:rsidRDefault="00B52A78" w:rsidP="00143694">
            <w:pPr>
              <w:jc w:val="center"/>
              <w:rPr>
                <w:bCs/>
                <w:szCs w:val="17"/>
                <w:highlight w:val="yellow"/>
              </w:rPr>
            </w:pPr>
            <w:r w:rsidRPr="00586687">
              <w:rPr>
                <w:b/>
                <w:color w:val="FF0000"/>
                <w:szCs w:val="17"/>
              </w:rPr>
              <w:t>Negative</w:t>
            </w:r>
          </w:p>
        </w:tc>
      </w:tr>
      <w:tr w:rsidR="008E3302" w:rsidRPr="00586687" w14:paraId="748DBB6A" w14:textId="77777777" w:rsidTr="00A2044B">
        <w:trPr>
          <w:trHeight w:val="494"/>
        </w:trPr>
        <w:tc>
          <w:tcPr>
            <w:tcW w:w="696" w:type="dxa"/>
            <w:shd w:val="clear" w:color="auto" w:fill="auto"/>
            <w:vAlign w:val="center"/>
          </w:tcPr>
          <w:p w14:paraId="39D567D3" w14:textId="7979DD8A" w:rsidR="008E3302" w:rsidRPr="00586687" w:rsidRDefault="008E3302" w:rsidP="00143694">
            <w:pPr>
              <w:jc w:val="center"/>
              <w:rPr>
                <w:bCs/>
                <w:szCs w:val="17"/>
              </w:rPr>
            </w:pPr>
            <w:r w:rsidRPr="00586687">
              <w:rPr>
                <w:bCs/>
                <w:szCs w:val="17"/>
              </w:rPr>
              <w:t>454</w:t>
            </w:r>
          </w:p>
        </w:tc>
        <w:tc>
          <w:tcPr>
            <w:tcW w:w="1931" w:type="dxa"/>
            <w:shd w:val="clear" w:color="auto" w:fill="auto"/>
            <w:vAlign w:val="center"/>
          </w:tcPr>
          <w:p w14:paraId="4AFCE7B0" w14:textId="5656E35B" w:rsidR="008E3302" w:rsidRPr="00586687" w:rsidRDefault="008E3302" w:rsidP="00143694">
            <w:pPr>
              <w:jc w:val="center"/>
              <w:rPr>
                <w:bCs/>
                <w:szCs w:val="17"/>
              </w:rPr>
            </w:pPr>
            <w:r w:rsidRPr="00586687">
              <w:rPr>
                <w:bCs/>
                <w:szCs w:val="17"/>
              </w:rPr>
              <w:t>Article 44 – paragraph 2a – subparagraph 2</w:t>
            </w:r>
          </w:p>
        </w:tc>
        <w:tc>
          <w:tcPr>
            <w:tcW w:w="6588" w:type="dxa"/>
            <w:shd w:val="clear" w:color="auto" w:fill="auto"/>
          </w:tcPr>
          <w:p w14:paraId="63512334" w14:textId="2A8004A5" w:rsidR="008E3302" w:rsidRPr="00586687" w:rsidRDefault="008E3302" w:rsidP="00143694">
            <w:pPr>
              <w:jc w:val="left"/>
              <w:rPr>
                <w:bCs/>
                <w:szCs w:val="17"/>
              </w:rPr>
            </w:pPr>
            <w:r w:rsidRPr="00586687">
              <w:rPr>
                <w:bCs/>
                <w:szCs w:val="17"/>
              </w:rPr>
              <w:t xml:space="preserve">Added that when the </w:t>
            </w:r>
            <w:r w:rsidR="004455A5" w:rsidRPr="00586687">
              <w:rPr>
                <w:bCs/>
                <w:szCs w:val="17"/>
              </w:rPr>
              <w:t>VA</w:t>
            </w:r>
            <w:r w:rsidRPr="00586687">
              <w:rPr>
                <w:bCs/>
                <w:szCs w:val="17"/>
              </w:rPr>
              <w:t xml:space="preserve"> </w:t>
            </w:r>
            <w:r w:rsidR="004455A5" w:rsidRPr="00586687">
              <w:rPr>
                <w:bCs/>
                <w:szCs w:val="17"/>
              </w:rPr>
              <w:t>is</w:t>
            </w:r>
            <w:r w:rsidRPr="00586687">
              <w:rPr>
                <w:bCs/>
                <w:szCs w:val="17"/>
              </w:rPr>
              <w:t xml:space="preserve"> applied, the written policy on risk management shall comprise a policy on the criteria for the application of the </w:t>
            </w:r>
            <w:r w:rsidR="004455A5" w:rsidRPr="00586687">
              <w:rPr>
                <w:bCs/>
                <w:szCs w:val="17"/>
              </w:rPr>
              <w:t>VA</w:t>
            </w:r>
            <w:r w:rsidRPr="00586687">
              <w:rPr>
                <w:bCs/>
                <w:szCs w:val="17"/>
              </w:rPr>
              <w:t>.</w:t>
            </w:r>
          </w:p>
        </w:tc>
        <w:tc>
          <w:tcPr>
            <w:tcW w:w="1842" w:type="dxa"/>
            <w:shd w:val="clear" w:color="auto" w:fill="auto"/>
            <w:vAlign w:val="center"/>
          </w:tcPr>
          <w:p w14:paraId="3AC05AAE" w14:textId="287F378F" w:rsidR="008E3302" w:rsidRPr="00586687" w:rsidRDefault="008E3302" w:rsidP="00143694">
            <w:pPr>
              <w:jc w:val="center"/>
              <w:rPr>
                <w:bCs/>
                <w:szCs w:val="17"/>
              </w:rPr>
            </w:pPr>
            <w:r w:rsidRPr="00586687">
              <w:rPr>
                <w:bCs/>
                <w:szCs w:val="17"/>
              </w:rPr>
              <w:t xml:space="preserve">Aurore </w:t>
            </w:r>
            <w:proofErr w:type="spellStart"/>
            <w:r w:rsidRPr="00586687">
              <w:rPr>
                <w:bCs/>
                <w:szCs w:val="17"/>
              </w:rPr>
              <w:t>Lalucq</w:t>
            </w:r>
            <w:proofErr w:type="spellEnd"/>
          </w:p>
        </w:tc>
        <w:tc>
          <w:tcPr>
            <w:tcW w:w="2127" w:type="dxa"/>
            <w:shd w:val="clear" w:color="auto" w:fill="auto"/>
            <w:vAlign w:val="center"/>
          </w:tcPr>
          <w:p w14:paraId="0063A86C" w14:textId="48E0CD70" w:rsidR="008E3302" w:rsidRPr="00586687" w:rsidRDefault="004455A5" w:rsidP="00143694">
            <w:pPr>
              <w:jc w:val="center"/>
              <w:rPr>
                <w:bCs/>
                <w:szCs w:val="17"/>
                <w:highlight w:val="yellow"/>
              </w:rPr>
            </w:pPr>
            <w:r w:rsidRPr="00586687">
              <w:rPr>
                <w:bCs/>
                <w:szCs w:val="17"/>
              </w:rPr>
              <w:t>Risk Management</w:t>
            </w:r>
          </w:p>
        </w:tc>
        <w:tc>
          <w:tcPr>
            <w:tcW w:w="1471" w:type="dxa"/>
            <w:shd w:val="clear" w:color="auto" w:fill="auto"/>
            <w:vAlign w:val="center"/>
          </w:tcPr>
          <w:p w14:paraId="0A40D73B" w14:textId="48657558" w:rsidR="008E3302" w:rsidRPr="00586687" w:rsidRDefault="00B52A78" w:rsidP="00143694">
            <w:pPr>
              <w:jc w:val="center"/>
              <w:rPr>
                <w:bCs/>
                <w:szCs w:val="17"/>
                <w:highlight w:val="yellow"/>
              </w:rPr>
            </w:pPr>
            <w:r w:rsidRPr="00586687">
              <w:rPr>
                <w:b/>
                <w:color w:val="FF0000"/>
                <w:szCs w:val="17"/>
              </w:rPr>
              <w:t>Negative</w:t>
            </w:r>
          </w:p>
        </w:tc>
      </w:tr>
      <w:tr w:rsidR="008E3302" w:rsidRPr="00586687" w14:paraId="5FE2D46C" w14:textId="77777777" w:rsidTr="00A2044B">
        <w:trPr>
          <w:trHeight w:val="494"/>
        </w:trPr>
        <w:tc>
          <w:tcPr>
            <w:tcW w:w="696" w:type="dxa"/>
            <w:shd w:val="clear" w:color="auto" w:fill="auto"/>
            <w:vAlign w:val="center"/>
          </w:tcPr>
          <w:p w14:paraId="7C5BB693" w14:textId="4907AA08" w:rsidR="008E3302" w:rsidRPr="00586687" w:rsidRDefault="008E3302" w:rsidP="00143694">
            <w:pPr>
              <w:jc w:val="center"/>
              <w:rPr>
                <w:bCs/>
                <w:szCs w:val="17"/>
              </w:rPr>
            </w:pPr>
            <w:r w:rsidRPr="00586687">
              <w:rPr>
                <w:bCs/>
                <w:szCs w:val="17"/>
              </w:rPr>
              <w:lastRenderedPageBreak/>
              <w:t>455-456-457-458-459-461-462</w:t>
            </w:r>
          </w:p>
        </w:tc>
        <w:tc>
          <w:tcPr>
            <w:tcW w:w="1931" w:type="dxa"/>
            <w:shd w:val="clear" w:color="auto" w:fill="auto"/>
            <w:vAlign w:val="center"/>
          </w:tcPr>
          <w:p w14:paraId="501069D1" w14:textId="516EF9D6" w:rsidR="008E3302" w:rsidRPr="00412D45" w:rsidRDefault="008E3302" w:rsidP="00143694">
            <w:pPr>
              <w:jc w:val="center"/>
              <w:rPr>
                <w:szCs w:val="17"/>
                <w:lang w:val="fr-FR"/>
              </w:rPr>
            </w:pPr>
            <w:r w:rsidRPr="00412D45">
              <w:rPr>
                <w:bCs/>
                <w:szCs w:val="17"/>
                <w:lang w:val="fr-FR"/>
              </w:rPr>
              <w:t>Article 44 – paragraph 2a – subparagraph 1 a (new)/</w:t>
            </w:r>
          </w:p>
          <w:p w14:paraId="657817AB" w14:textId="2FDAE85D" w:rsidR="008E3302" w:rsidRPr="00586687" w:rsidRDefault="008E3302" w:rsidP="00143694">
            <w:pPr>
              <w:jc w:val="center"/>
              <w:rPr>
                <w:bCs/>
                <w:szCs w:val="17"/>
              </w:rPr>
            </w:pPr>
            <w:r w:rsidRPr="00586687">
              <w:rPr>
                <w:bCs/>
                <w:szCs w:val="17"/>
              </w:rPr>
              <w:t>paragraph 2 b (new)/ paragraph 2 c (new)</w:t>
            </w:r>
          </w:p>
        </w:tc>
        <w:tc>
          <w:tcPr>
            <w:tcW w:w="6588" w:type="dxa"/>
            <w:shd w:val="clear" w:color="auto" w:fill="auto"/>
          </w:tcPr>
          <w:p w14:paraId="0ED62BD1" w14:textId="580243E1" w:rsidR="008E3302" w:rsidRPr="00586687" w:rsidRDefault="005961B9" w:rsidP="00143694">
            <w:pPr>
              <w:jc w:val="left"/>
              <w:rPr>
                <w:bCs/>
                <w:szCs w:val="17"/>
              </w:rPr>
            </w:pPr>
            <w:r w:rsidRPr="00586687">
              <w:rPr>
                <w:bCs/>
                <w:szCs w:val="17"/>
              </w:rPr>
              <w:t>A</w:t>
            </w:r>
            <w:r w:rsidR="008E3302" w:rsidRPr="00586687">
              <w:rPr>
                <w:bCs/>
                <w:szCs w:val="17"/>
              </w:rPr>
              <w:t>s regards underwriting, reserving and investment undertakings shall perform a regular assessment and ensure that their business strategy and activities and their whole portfolio of assets are aligned with achieving climate neutrality in the EU by 2050 at the latest.</w:t>
            </w:r>
          </w:p>
          <w:p w14:paraId="2942D1A1" w14:textId="77777777" w:rsidR="008E3302" w:rsidRPr="00586687" w:rsidRDefault="008E3302" w:rsidP="00143694">
            <w:pPr>
              <w:jc w:val="left"/>
              <w:rPr>
                <w:bCs/>
                <w:szCs w:val="17"/>
              </w:rPr>
            </w:pPr>
          </w:p>
          <w:p w14:paraId="2158B1B3" w14:textId="53F230B9" w:rsidR="005E3D1D" w:rsidRPr="00586687" w:rsidRDefault="005E3D1D" w:rsidP="00143694">
            <w:pPr>
              <w:jc w:val="left"/>
              <w:rPr>
                <w:bCs/>
                <w:szCs w:val="17"/>
              </w:rPr>
            </w:pPr>
            <w:r w:rsidRPr="00586687">
              <w:rPr>
                <w:bCs/>
                <w:szCs w:val="17"/>
              </w:rPr>
              <w:t>(</w:t>
            </w:r>
            <w:r w:rsidR="004412EA" w:rsidRPr="00586687">
              <w:rPr>
                <w:bCs/>
                <w:szCs w:val="17"/>
              </w:rPr>
              <w:t xml:space="preserve">Tang: </w:t>
            </w:r>
            <w:r w:rsidR="001B448E" w:rsidRPr="00586687">
              <w:rPr>
                <w:bCs/>
                <w:szCs w:val="17"/>
              </w:rPr>
              <w:t>will reduce significantly by 2030 and completely eliminate by 2050 the supporting of economic activities that significantly harm environmental objectives)</w:t>
            </w:r>
          </w:p>
          <w:p w14:paraId="0FFEF34C" w14:textId="1CD4C6D3" w:rsidR="0076788D" w:rsidRDefault="0076788D" w:rsidP="00143694">
            <w:pPr>
              <w:jc w:val="left"/>
              <w:rPr>
                <w:bCs/>
                <w:i/>
              </w:rPr>
            </w:pPr>
            <w:r w:rsidRPr="00586687">
              <w:rPr>
                <w:bCs/>
                <w:szCs w:val="17"/>
              </w:rPr>
              <w:t>(</w:t>
            </w:r>
            <w:proofErr w:type="spellStart"/>
            <w:r w:rsidR="009F6728" w:rsidRPr="00586687">
              <w:rPr>
                <w:bCs/>
                <w:i/>
              </w:rPr>
              <w:t>Heinäluoma</w:t>
            </w:r>
            <w:proofErr w:type="spellEnd"/>
            <w:r w:rsidR="009F6728" w:rsidRPr="00586687">
              <w:rPr>
                <w:bCs/>
                <w:i/>
              </w:rPr>
              <w:t>/</w:t>
            </w:r>
            <w:r w:rsidRPr="00586687">
              <w:rPr>
                <w:bCs/>
                <w:i/>
              </w:rPr>
              <w:t>Tang/</w:t>
            </w:r>
            <w:proofErr w:type="spellStart"/>
            <w:r w:rsidRPr="00586687">
              <w:rPr>
                <w:bCs/>
                <w:i/>
              </w:rPr>
              <w:t>Lalucq</w:t>
            </w:r>
            <w:proofErr w:type="spellEnd"/>
            <w:r w:rsidR="009F6728" w:rsidRPr="00586687">
              <w:rPr>
                <w:bCs/>
                <w:i/>
              </w:rPr>
              <w:t xml:space="preserve">: </w:t>
            </w:r>
            <w:r w:rsidR="009F6728" w:rsidRPr="00586687">
              <w:rPr>
                <w:bCs/>
                <w:iCs/>
              </w:rPr>
              <w:t>regarding</w:t>
            </w:r>
            <w:r w:rsidRPr="00586687">
              <w:rPr>
                <w:bCs/>
                <w:iCs/>
              </w:rPr>
              <w:t xml:space="preserve"> the undertaking’s operations and compatible with the transition to a sustainable economy and with the limiting of global warming to 1,5 °C in line with the Paris Agreement with no or limited overshoot and pursuant to the latest recommendations of the IPCC and the European Scientific Advisory Board on Climate Change."</w:t>
            </w:r>
            <w:r w:rsidRPr="00586687">
              <w:rPr>
                <w:bCs/>
                <w:i/>
              </w:rPr>
              <w:t>)</w:t>
            </w:r>
          </w:p>
          <w:p w14:paraId="216EE4EB" w14:textId="77777777" w:rsidR="00140E41" w:rsidRPr="00586687" w:rsidRDefault="00140E41" w:rsidP="00143694">
            <w:pPr>
              <w:jc w:val="left"/>
              <w:rPr>
                <w:bCs/>
                <w:szCs w:val="17"/>
              </w:rPr>
            </w:pPr>
          </w:p>
          <w:p w14:paraId="4B30D51C" w14:textId="32C11DBC" w:rsidR="008E3302" w:rsidRPr="00140E41" w:rsidRDefault="008E3302" w:rsidP="00143694">
            <w:pPr>
              <w:jc w:val="left"/>
              <w:rPr>
                <w:bCs/>
                <w:szCs w:val="17"/>
              </w:rPr>
            </w:pPr>
            <w:r w:rsidRPr="00140E41">
              <w:rPr>
                <w:bCs/>
                <w:i/>
                <w:iCs/>
                <w:szCs w:val="17"/>
              </w:rPr>
              <w:t>Justification</w:t>
            </w:r>
            <w:r w:rsidR="00140E41" w:rsidRPr="00140E41">
              <w:rPr>
                <w:bCs/>
                <w:i/>
                <w:iCs/>
                <w:szCs w:val="17"/>
              </w:rPr>
              <w:t xml:space="preserve">: </w:t>
            </w:r>
            <w:r w:rsidRPr="00140E41">
              <w:rPr>
                <w:bCs/>
                <w:i/>
                <w:iCs/>
                <w:szCs w:val="17"/>
              </w:rPr>
              <w:t>T</w:t>
            </w:r>
            <w:r w:rsidRPr="00586687">
              <w:rPr>
                <w:bCs/>
                <w:i/>
                <w:iCs/>
                <w:szCs w:val="17"/>
              </w:rPr>
              <w:t>his reflects the requirements to plan for aligning operations with climate neutrality as laid out in the Corporate Sustainability Reporting Directive.</w:t>
            </w:r>
          </w:p>
        </w:tc>
        <w:tc>
          <w:tcPr>
            <w:tcW w:w="1842" w:type="dxa"/>
            <w:shd w:val="clear" w:color="auto" w:fill="auto"/>
            <w:vAlign w:val="center"/>
          </w:tcPr>
          <w:p w14:paraId="1DC3A66E" w14:textId="43584017" w:rsidR="008E3302" w:rsidRPr="00586687" w:rsidRDefault="008E3302" w:rsidP="00143694">
            <w:pPr>
              <w:jc w:val="center"/>
              <w:rPr>
                <w:bCs/>
                <w:szCs w:val="17"/>
              </w:rPr>
            </w:pPr>
            <w:r w:rsidRPr="00586687">
              <w:rPr>
                <w:bCs/>
                <w:szCs w:val="17"/>
              </w:rPr>
              <w:t>MacManus/</w:t>
            </w:r>
          </w:p>
          <w:p w14:paraId="2B6C72C8" w14:textId="1ACA81AA" w:rsidR="008E3302" w:rsidRPr="00586687" w:rsidRDefault="008E3302" w:rsidP="00143694">
            <w:pPr>
              <w:jc w:val="center"/>
              <w:rPr>
                <w:bCs/>
                <w:szCs w:val="17"/>
              </w:rPr>
            </w:pPr>
            <w:proofErr w:type="spellStart"/>
            <w:r w:rsidRPr="00586687">
              <w:rPr>
                <w:bCs/>
                <w:szCs w:val="17"/>
              </w:rPr>
              <w:t>Lalucq</w:t>
            </w:r>
            <w:proofErr w:type="spellEnd"/>
            <w:r w:rsidRPr="00586687">
              <w:rPr>
                <w:bCs/>
                <w:szCs w:val="17"/>
              </w:rPr>
              <w:t xml:space="preserve">/ </w:t>
            </w:r>
            <w:proofErr w:type="spellStart"/>
            <w:r w:rsidRPr="00586687">
              <w:rPr>
                <w:bCs/>
                <w:szCs w:val="17"/>
              </w:rPr>
              <w:t>Heinäluoma</w:t>
            </w:r>
            <w:proofErr w:type="spellEnd"/>
            <w:r w:rsidRPr="00586687">
              <w:rPr>
                <w:bCs/>
                <w:szCs w:val="17"/>
              </w:rPr>
              <w:t xml:space="preserve">, Tang, Yon-Courtin, Boyer, </w:t>
            </w:r>
            <w:proofErr w:type="spellStart"/>
            <w:r w:rsidRPr="00586687">
              <w:rPr>
                <w:bCs/>
                <w:szCs w:val="17"/>
              </w:rPr>
              <w:t>Canfin</w:t>
            </w:r>
            <w:proofErr w:type="spellEnd"/>
          </w:p>
        </w:tc>
        <w:tc>
          <w:tcPr>
            <w:tcW w:w="2127" w:type="dxa"/>
            <w:shd w:val="clear" w:color="auto" w:fill="auto"/>
            <w:vAlign w:val="center"/>
          </w:tcPr>
          <w:p w14:paraId="7A7C33CD" w14:textId="3E57E7A2" w:rsidR="008E3302" w:rsidRPr="00586687" w:rsidRDefault="00694B30" w:rsidP="00143694">
            <w:pPr>
              <w:jc w:val="center"/>
              <w:rPr>
                <w:bCs/>
                <w:szCs w:val="17"/>
                <w:highlight w:val="yellow"/>
              </w:rPr>
            </w:pPr>
            <w:r w:rsidRPr="00586687">
              <w:rPr>
                <w:bCs/>
                <w:szCs w:val="17"/>
              </w:rPr>
              <w:t>Risk Management</w:t>
            </w:r>
            <w:r w:rsidR="008E3302" w:rsidRPr="00586687">
              <w:rPr>
                <w:bCs/>
                <w:szCs w:val="17"/>
              </w:rPr>
              <w:t>/</w:t>
            </w:r>
            <w:r w:rsidRPr="00586687">
              <w:rPr>
                <w:bCs/>
                <w:szCs w:val="17"/>
              </w:rPr>
              <w:t xml:space="preserve"> </w:t>
            </w:r>
            <w:r w:rsidR="008E3302" w:rsidRPr="00586687">
              <w:rPr>
                <w:bCs/>
                <w:szCs w:val="17"/>
              </w:rPr>
              <w:t>Sustainability</w:t>
            </w:r>
          </w:p>
        </w:tc>
        <w:tc>
          <w:tcPr>
            <w:tcW w:w="1471" w:type="dxa"/>
            <w:shd w:val="clear" w:color="auto" w:fill="auto"/>
            <w:vAlign w:val="center"/>
          </w:tcPr>
          <w:p w14:paraId="09DC34D0" w14:textId="7FB0C1B3" w:rsidR="008E3302" w:rsidRPr="00586687" w:rsidRDefault="008E3302"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45A09362" w14:textId="77777777" w:rsidTr="00A2044B">
        <w:trPr>
          <w:trHeight w:val="494"/>
        </w:trPr>
        <w:tc>
          <w:tcPr>
            <w:tcW w:w="696" w:type="dxa"/>
            <w:shd w:val="clear" w:color="auto" w:fill="auto"/>
            <w:vAlign w:val="center"/>
          </w:tcPr>
          <w:p w14:paraId="056EF298" w14:textId="55B75A43" w:rsidR="008E3302" w:rsidRPr="00586687" w:rsidRDefault="008E3302" w:rsidP="00143694">
            <w:pPr>
              <w:jc w:val="center"/>
              <w:rPr>
                <w:bCs/>
                <w:szCs w:val="17"/>
              </w:rPr>
            </w:pPr>
            <w:r w:rsidRPr="00586687">
              <w:rPr>
                <w:bCs/>
                <w:szCs w:val="17"/>
              </w:rPr>
              <w:t>460-471-472-473-474-476</w:t>
            </w:r>
          </w:p>
        </w:tc>
        <w:tc>
          <w:tcPr>
            <w:tcW w:w="1931" w:type="dxa"/>
            <w:shd w:val="clear" w:color="auto" w:fill="auto"/>
            <w:vAlign w:val="center"/>
          </w:tcPr>
          <w:p w14:paraId="0C5D6F43" w14:textId="3EAEFAC8" w:rsidR="008E3302" w:rsidRPr="00586687" w:rsidRDefault="008E3302" w:rsidP="00143694">
            <w:pPr>
              <w:jc w:val="center"/>
              <w:rPr>
                <w:bCs/>
                <w:szCs w:val="17"/>
              </w:rPr>
            </w:pPr>
            <w:r w:rsidRPr="00586687">
              <w:rPr>
                <w:bCs/>
                <w:szCs w:val="17"/>
              </w:rPr>
              <w:t>Article 44 – paragraph 2 c (new)/</w:t>
            </w:r>
            <w:r w:rsidRPr="00586687">
              <w:t xml:space="preserve"> </w:t>
            </w:r>
            <w:r w:rsidRPr="00586687">
              <w:rPr>
                <w:bCs/>
                <w:szCs w:val="17"/>
              </w:rPr>
              <w:t>Article 44 a (new)</w:t>
            </w:r>
          </w:p>
        </w:tc>
        <w:tc>
          <w:tcPr>
            <w:tcW w:w="6588" w:type="dxa"/>
            <w:shd w:val="clear" w:color="auto" w:fill="auto"/>
          </w:tcPr>
          <w:p w14:paraId="74E33534" w14:textId="05C34270" w:rsidR="008E3302" w:rsidRPr="00586687" w:rsidRDefault="007132F9" w:rsidP="00143694">
            <w:pPr>
              <w:jc w:val="left"/>
              <w:rPr>
                <w:bCs/>
                <w:szCs w:val="17"/>
              </w:rPr>
            </w:pPr>
            <w:r w:rsidRPr="00586687">
              <w:rPr>
                <w:bCs/>
                <w:szCs w:val="17"/>
              </w:rPr>
              <w:t>U</w:t>
            </w:r>
            <w:r w:rsidR="008E3302" w:rsidRPr="00586687">
              <w:rPr>
                <w:bCs/>
                <w:szCs w:val="17"/>
              </w:rPr>
              <w:t xml:space="preserve">ndertakings </w:t>
            </w:r>
            <w:r w:rsidR="003A56C5" w:rsidRPr="00586687">
              <w:rPr>
                <w:bCs/>
                <w:szCs w:val="17"/>
              </w:rPr>
              <w:t xml:space="preserve">Shall Develop </w:t>
            </w:r>
            <w:r w:rsidR="00AE3D54" w:rsidRPr="00586687">
              <w:rPr>
                <w:bCs/>
                <w:szCs w:val="17"/>
              </w:rPr>
              <w:t>a</w:t>
            </w:r>
            <w:r w:rsidR="003A56C5" w:rsidRPr="00586687">
              <w:rPr>
                <w:bCs/>
                <w:szCs w:val="17"/>
              </w:rPr>
              <w:t xml:space="preserve">nd </w:t>
            </w:r>
            <w:r w:rsidR="00AE3D54" w:rsidRPr="00586687">
              <w:rPr>
                <w:bCs/>
                <w:szCs w:val="17"/>
              </w:rPr>
              <w:t>a</w:t>
            </w:r>
            <w:r w:rsidR="003A56C5" w:rsidRPr="00586687">
              <w:rPr>
                <w:bCs/>
                <w:szCs w:val="17"/>
              </w:rPr>
              <w:t xml:space="preserve">dopt </w:t>
            </w:r>
            <w:r w:rsidR="00AE3D54" w:rsidRPr="00586687">
              <w:rPr>
                <w:bCs/>
                <w:szCs w:val="17"/>
              </w:rPr>
              <w:t>a</w:t>
            </w:r>
            <w:r w:rsidR="003A56C5" w:rsidRPr="00586687">
              <w:rPr>
                <w:bCs/>
                <w:szCs w:val="17"/>
              </w:rPr>
              <w:t xml:space="preserve"> Transition Plan [1 Year After </w:t>
            </w:r>
            <w:proofErr w:type="gramStart"/>
            <w:r w:rsidR="003A56C5" w:rsidRPr="00586687">
              <w:rPr>
                <w:bCs/>
                <w:szCs w:val="17"/>
              </w:rPr>
              <w:t>The</w:t>
            </w:r>
            <w:proofErr w:type="gramEnd"/>
            <w:r w:rsidR="003A56C5" w:rsidRPr="00586687">
              <w:rPr>
                <w:bCs/>
                <w:szCs w:val="17"/>
              </w:rPr>
              <w:t xml:space="preserve"> Date Of The Application Of The </w:t>
            </w:r>
            <w:r w:rsidR="005548C5" w:rsidRPr="00586687">
              <w:rPr>
                <w:bCs/>
                <w:szCs w:val="17"/>
              </w:rPr>
              <w:t>Directive And</w:t>
            </w:r>
            <w:r w:rsidR="003A56C5" w:rsidRPr="00586687">
              <w:rPr>
                <w:bCs/>
                <w:szCs w:val="17"/>
              </w:rPr>
              <w:t xml:space="preserve"> Reviewed].</w:t>
            </w:r>
          </w:p>
          <w:p w14:paraId="182C0E8B" w14:textId="77777777" w:rsidR="00921073" w:rsidRPr="00586687" w:rsidRDefault="00921073" w:rsidP="00143694">
            <w:pPr>
              <w:jc w:val="left"/>
              <w:rPr>
                <w:bCs/>
                <w:szCs w:val="17"/>
              </w:rPr>
            </w:pPr>
          </w:p>
          <w:p w14:paraId="77822019" w14:textId="29735E43" w:rsidR="008E3383" w:rsidRPr="00586687" w:rsidRDefault="008E3383" w:rsidP="00143694">
            <w:pPr>
              <w:jc w:val="left"/>
              <w:rPr>
                <w:bCs/>
                <w:szCs w:val="17"/>
              </w:rPr>
            </w:pPr>
            <w:r w:rsidRPr="00586687">
              <w:rPr>
                <w:bCs/>
                <w:szCs w:val="17"/>
              </w:rPr>
              <w:t xml:space="preserve">Different MEPs propose different </w:t>
            </w:r>
            <w:r w:rsidR="000958A5" w:rsidRPr="00586687">
              <w:rPr>
                <w:bCs/>
                <w:szCs w:val="17"/>
              </w:rPr>
              <w:t>variations</w:t>
            </w:r>
            <w:r w:rsidR="00BC4DEE" w:rsidRPr="00586687">
              <w:rPr>
                <w:bCs/>
                <w:szCs w:val="17"/>
              </w:rPr>
              <w:t>, with very far</w:t>
            </w:r>
            <w:r w:rsidR="00433D21" w:rsidRPr="00586687">
              <w:rPr>
                <w:bCs/>
                <w:szCs w:val="17"/>
              </w:rPr>
              <w:t xml:space="preserve"> going and detailed requirements</w:t>
            </w:r>
            <w:r w:rsidR="000958A5" w:rsidRPr="00586687">
              <w:rPr>
                <w:bCs/>
                <w:szCs w:val="17"/>
              </w:rPr>
              <w:t xml:space="preserve"> on this transition plan.</w:t>
            </w:r>
          </w:p>
        </w:tc>
        <w:tc>
          <w:tcPr>
            <w:tcW w:w="1842" w:type="dxa"/>
            <w:shd w:val="clear" w:color="auto" w:fill="auto"/>
            <w:vAlign w:val="center"/>
          </w:tcPr>
          <w:p w14:paraId="56165937" w14:textId="7C37CFD9" w:rsidR="008E3302" w:rsidRPr="00586687" w:rsidRDefault="008E3302" w:rsidP="00143694">
            <w:pPr>
              <w:jc w:val="center"/>
              <w:rPr>
                <w:bCs/>
                <w:szCs w:val="17"/>
              </w:rPr>
            </w:pPr>
            <w:proofErr w:type="spellStart"/>
            <w:r w:rsidRPr="00586687">
              <w:rPr>
                <w:bCs/>
                <w:szCs w:val="17"/>
              </w:rPr>
              <w:t>Lalucq</w:t>
            </w:r>
            <w:proofErr w:type="spellEnd"/>
            <w:r w:rsidRPr="00586687">
              <w:rPr>
                <w:bCs/>
                <w:szCs w:val="17"/>
              </w:rPr>
              <w:t>/</w:t>
            </w:r>
            <w:r w:rsidRPr="00586687">
              <w:t xml:space="preserve"> </w:t>
            </w:r>
            <w:r w:rsidRPr="00586687">
              <w:rPr>
                <w:bCs/>
                <w:szCs w:val="17"/>
              </w:rPr>
              <w:t>MacManus/ Hahn/ Tang/</w:t>
            </w:r>
            <w:r w:rsidRPr="00586687">
              <w:t xml:space="preserve"> </w:t>
            </w:r>
            <w:proofErr w:type="spellStart"/>
            <w:r w:rsidRPr="00586687">
              <w:rPr>
                <w:bCs/>
                <w:szCs w:val="17"/>
              </w:rPr>
              <w:t>Heinäluoma</w:t>
            </w:r>
            <w:proofErr w:type="spellEnd"/>
            <w:r w:rsidRPr="00586687">
              <w:rPr>
                <w:bCs/>
                <w:szCs w:val="17"/>
              </w:rPr>
              <w:t xml:space="preserve">, Tang, </w:t>
            </w:r>
            <w:proofErr w:type="spellStart"/>
            <w:r w:rsidRPr="00586687">
              <w:rPr>
                <w:bCs/>
                <w:szCs w:val="17"/>
              </w:rPr>
              <w:t>Lalucq</w:t>
            </w:r>
            <w:proofErr w:type="spellEnd"/>
          </w:p>
        </w:tc>
        <w:tc>
          <w:tcPr>
            <w:tcW w:w="2127" w:type="dxa"/>
            <w:shd w:val="clear" w:color="auto" w:fill="auto"/>
            <w:vAlign w:val="center"/>
          </w:tcPr>
          <w:p w14:paraId="32696FD1" w14:textId="04D8F01D" w:rsidR="008E3302" w:rsidRPr="00586687" w:rsidRDefault="00444D2A" w:rsidP="00143694">
            <w:pPr>
              <w:jc w:val="center"/>
              <w:rPr>
                <w:bCs/>
                <w:szCs w:val="17"/>
                <w:highlight w:val="yellow"/>
              </w:rPr>
            </w:pPr>
            <w:r w:rsidRPr="00586687">
              <w:rPr>
                <w:bCs/>
                <w:szCs w:val="17"/>
              </w:rPr>
              <w:t>Risk Management/ Sustainability</w:t>
            </w:r>
          </w:p>
        </w:tc>
        <w:tc>
          <w:tcPr>
            <w:tcW w:w="1471" w:type="dxa"/>
            <w:shd w:val="clear" w:color="auto" w:fill="auto"/>
            <w:vAlign w:val="center"/>
          </w:tcPr>
          <w:p w14:paraId="11F380CA" w14:textId="2A4A53A9" w:rsidR="008E3302" w:rsidRPr="00586687" w:rsidRDefault="008E3302"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5680568F" w14:textId="77777777" w:rsidTr="00A2044B">
        <w:trPr>
          <w:trHeight w:val="494"/>
        </w:trPr>
        <w:tc>
          <w:tcPr>
            <w:tcW w:w="696" w:type="dxa"/>
            <w:shd w:val="clear" w:color="auto" w:fill="auto"/>
            <w:vAlign w:val="center"/>
          </w:tcPr>
          <w:p w14:paraId="0423D9F5" w14:textId="61F35338" w:rsidR="008E3302" w:rsidRPr="00586687" w:rsidRDefault="008E3302" w:rsidP="00143694">
            <w:pPr>
              <w:jc w:val="center"/>
              <w:rPr>
                <w:bCs/>
                <w:szCs w:val="17"/>
              </w:rPr>
            </w:pPr>
            <w:r w:rsidRPr="00586687">
              <w:rPr>
                <w:bCs/>
                <w:szCs w:val="17"/>
              </w:rPr>
              <w:t>463-464-466</w:t>
            </w:r>
          </w:p>
        </w:tc>
        <w:tc>
          <w:tcPr>
            <w:tcW w:w="1931" w:type="dxa"/>
            <w:shd w:val="clear" w:color="auto" w:fill="auto"/>
            <w:vAlign w:val="center"/>
          </w:tcPr>
          <w:p w14:paraId="6E6D3E34" w14:textId="703C686D" w:rsidR="008E3302" w:rsidRPr="00586687" w:rsidRDefault="008E3302" w:rsidP="00143694">
            <w:pPr>
              <w:jc w:val="center"/>
              <w:rPr>
                <w:bCs/>
                <w:szCs w:val="17"/>
              </w:rPr>
            </w:pPr>
            <w:r w:rsidRPr="00586687">
              <w:rPr>
                <w:bCs/>
                <w:szCs w:val="17"/>
              </w:rPr>
              <w:t>Article 44 – paragraph 3 a (new)</w:t>
            </w:r>
          </w:p>
        </w:tc>
        <w:tc>
          <w:tcPr>
            <w:tcW w:w="6588" w:type="dxa"/>
            <w:shd w:val="clear" w:color="auto" w:fill="auto"/>
          </w:tcPr>
          <w:p w14:paraId="6FF8458D" w14:textId="49F3E9CF" w:rsidR="008E3302" w:rsidRPr="00586687" w:rsidRDefault="00552D04" w:rsidP="00143694">
            <w:pPr>
              <w:jc w:val="left"/>
              <w:rPr>
                <w:bCs/>
                <w:szCs w:val="17"/>
              </w:rPr>
            </w:pPr>
            <w:r w:rsidRPr="00586687">
              <w:rPr>
                <w:bCs/>
                <w:szCs w:val="17"/>
              </w:rPr>
              <w:t>R</w:t>
            </w:r>
            <w:r w:rsidR="008E3302" w:rsidRPr="00586687">
              <w:rPr>
                <w:bCs/>
                <w:szCs w:val="17"/>
              </w:rPr>
              <w:t>isk management system shall cover the sustainability risks to which the undertaking is exposed.</w:t>
            </w:r>
            <w:r w:rsidR="00483FCD" w:rsidRPr="00586687">
              <w:rPr>
                <w:bCs/>
                <w:szCs w:val="17"/>
              </w:rPr>
              <w:t xml:space="preserve"> And shall consider the principal adverse impacts</w:t>
            </w:r>
            <w:r w:rsidR="009A7B67" w:rsidRPr="00586687">
              <w:rPr>
                <w:bCs/>
                <w:szCs w:val="17"/>
              </w:rPr>
              <w:t>, incl</w:t>
            </w:r>
            <w:r w:rsidR="00B519D3" w:rsidRPr="00586687">
              <w:rPr>
                <w:bCs/>
                <w:szCs w:val="17"/>
              </w:rPr>
              <w:t>.</w:t>
            </w:r>
            <w:r w:rsidR="009A7B67" w:rsidRPr="00586687">
              <w:rPr>
                <w:bCs/>
                <w:szCs w:val="17"/>
              </w:rPr>
              <w:t xml:space="preserve"> </w:t>
            </w:r>
            <w:r w:rsidR="00E94886" w:rsidRPr="00586687">
              <w:rPr>
                <w:bCs/>
                <w:szCs w:val="17"/>
              </w:rPr>
              <w:t xml:space="preserve">of the companies/activities </w:t>
            </w:r>
            <w:r w:rsidR="00AE5EAD" w:rsidRPr="00586687">
              <w:rPr>
                <w:bCs/>
                <w:szCs w:val="17"/>
              </w:rPr>
              <w:t>for which the undertaking provides finance</w:t>
            </w:r>
            <w:r w:rsidR="00822CD3" w:rsidRPr="00586687">
              <w:rPr>
                <w:bCs/>
                <w:szCs w:val="17"/>
              </w:rPr>
              <w:t xml:space="preserve"> or underwriting services.</w:t>
            </w:r>
          </w:p>
        </w:tc>
        <w:tc>
          <w:tcPr>
            <w:tcW w:w="1842" w:type="dxa"/>
            <w:shd w:val="clear" w:color="auto" w:fill="auto"/>
            <w:vAlign w:val="center"/>
          </w:tcPr>
          <w:p w14:paraId="22912B62" w14:textId="4D1EBDDA" w:rsidR="008E3302" w:rsidRPr="00586687" w:rsidRDefault="008E3302" w:rsidP="00143694">
            <w:pPr>
              <w:jc w:val="center"/>
              <w:rPr>
                <w:bCs/>
                <w:szCs w:val="17"/>
              </w:rPr>
            </w:pPr>
            <w:r w:rsidRPr="00586687">
              <w:t xml:space="preserve">Hahn/ </w:t>
            </w:r>
            <w:proofErr w:type="spellStart"/>
            <w:r w:rsidRPr="00586687">
              <w:t>Heinäluoma</w:t>
            </w:r>
            <w:proofErr w:type="spellEnd"/>
            <w:r w:rsidRPr="00586687">
              <w:t xml:space="preserve">, Tang, </w:t>
            </w:r>
            <w:proofErr w:type="spellStart"/>
            <w:r w:rsidRPr="00586687">
              <w:t>Lalucq</w:t>
            </w:r>
            <w:proofErr w:type="spellEnd"/>
            <w:r w:rsidRPr="00586687">
              <w:t xml:space="preserve">/ Yon-Courtin, Boyer, </w:t>
            </w:r>
            <w:proofErr w:type="spellStart"/>
            <w:r w:rsidRPr="00586687">
              <w:t>Canfin</w:t>
            </w:r>
            <w:proofErr w:type="spellEnd"/>
            <w:r w:rsidRPr="00586687">
              <w:t>, Durand</w:t>
            </w:r>
          </w:p>
        </w:tc>
        <w:tc>
          <w:tcPr>
            <w:tcW w:w="2127" w:type="dxa"/>
            <w:shd w:val="clear" w:color="auto" w:fill="auto"/>
            <w:vAlign w:val="center"/>
          </w:tcPr>
          <w:p w14:paraId="363A1D81" w14:textId="0FCE849B" w:rsidR="008E3302" w:rsidRPr="00586687" w:rsidRDefault="00552D04" w:rsidP="00143694">
            <w:pPr>
              <w:jc w:val="center"/>
              <w:rPr>
                <w:bCs/>
                <w:szCs w:val="17"/>
                <w:highlight w:val="yellow"/>
              </w:rPr>
            </w:pPr>
            <w:r w:rsidRPr="00586687">
              <w:rPr>
                <w:bCs/>
                <w:szCs w:val="17"/>
              </w:rPr>
              <w:t>Risk Management/ Sustainability</w:t>
            </w:r>
          </w:p>
        </w:tc>
        <w:tc>
          <w:tcPr>
            <w:tcW w:w="1471" w:type="dxa"/>
            <w:shd w:val="clear" w:color="auto" w:fill="auto"/>
            <w:vAlign w:val="center"/>
          </w:tcPr>
          <w:p w14:paraId="6E8A9B9A" w14:textId="2F5103A7" w:rsidR="008E3302" w:rsidRPr="00586687" w:rsidRDefault="008E3302"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5E254870" w14:textId="77777777" w:rsidTr="00A2044B">
        <w:trPr>
          <w:trHeight w:val="494"/>
        </w:trPr>
        <w:tc>
          <w:tcPr>
            <w:tcW w:w="696" w:type="dxa"/>
            <w:shd w:val="clear" w:color="auto" w:fill="auto"/>
            <w:vAlign w:val="center"/>
          </w:tcPr>
          <w:p w14:paraId="08C00E37" w14:textId="60D21962" w:rsidR="008E3302" w:rsidRPr="00586687" w:rsidRDefault="008E3302" w:rsidP="00143694">
            <w:pPr>
              <w:jc w:val="center"/>
              <w:rPr>
                <w:bCs/>
                <w:szCs w:val="17"/>
              </w:rPr>
            </w:pPr>
            <w:r w:rsidRPr="00586687">
              <w:rPr>
                <w:bCs/>
                <w:szCs w:val="17"/>
              </w:rPr>
              <w:t>465</w:t>
            </w:r>
          </w:p>
        </w:tc>
        <w:tc>
          <w:tcPr>
            <w:tcW w:w="1931" w:type="dxa"/>
            <w:shd w:val="clear" w:color="auto" w:fill="auto"/>
            <w:vAlign w:val="center"/>
          </w:tcPr>
          <w:p w14:paraId="4AEE0429" w14:textId="6DC04AE3" w:rsidR="008E3302" w:rsidRPr="00586687" w:rsidRDefault="008E3302" w:rsidP="00143694">
            <w:pPr>
              <w:jc w:val="center"/>
              <w:rPr>
                <w:bCs/>
                <w:szCs w:val="17"/>
              </w:rPr>
            </w:pPr>
            <w:r w:rsidRPr="00586687">
              <w:rPr>
                <w:bCs/>
                <w:szCs w:val="17"/>
              </w:rPr>
              <w:t>Article 44 – paragraph 3 b (new)</w:t>
            </w:r>
          </w:p>
        </w:tc>
        <w:tc>
          <w:tcPr>
            <w:tcW w:w="6588" w:type="dxa"/>
            <w:shd w:val="clear" w:color="auto" w:fill="auto"/>
          </w:tcPr>
          <w:p w14:paraId="28226ADE" w14:textId="379D03DD" w:rsidR="008E3302" w:rsidRPr="00586687" w:rsidRDefault="00803F3B" w:rsidP="00143694">
            <w:pPr>
              <w:jc w:val="left"/>
              <w:rPr>
                <w:bCs/>
                <w:szCs w:val="17"/>
              </w:rPr>
            </w:pPr>
            <w:r w:rsidRPr="00586687">
              <w:rPr>
                <w:bCs/>
                <w:szCs w:val="17"/>
              </w:rPr>
              <w:t>The</w:t>
            </w:r>
            <w:r w:rsidR="008E3302" w:rsidRPr="00586687">
              <w:rPr>
                <w:bCs/>
                <w:szCs w:val="17"/>
              </w:rPr>
              <w:t xml:space="preserve"> risk management </w:t>
            </w:r>
            <w:r w:rsidRPr="00586687">
              <w:rPr>
                <w:bCs/>
                <w:szCs w:val="17"/>
              </w:rPr>
              <w:t xml:space="preserve">policy </w:t>
            </w:r>
            <w:r w:rsidR="008E3302" w:rsidRPr="00586687">
              <w:rPr>
                <w:bCs/>
                <w:szCs w:val="17"/>
              </w:rPr>
              <w:t>referred to in Article 41(3) shall include policies relating to sustainability risks</w:t>
            </w:r>
            <w:r w:rsidR="0004123A" w:rsidRPr="00586687">
              <w:rPr>
                <w:bCs/>
                <w:szCs w:val="17"/>
              </w:rPr>
              <w:t>/</w:t>
            </w:r>
            <w:r w:rsidR="008E3302" w:rsidRPr="00586687">
              <w:rPr>
                <w:bCs/>
                <w:szCs w:val="17"/>
              </w:rPr>
              <w:t>factors, as well as a stewardship policy</w:t>
            </w:r>
          </w:p>
        </w:tc>
        <w:tc>
          <w:tcPr>
            <w:tcW w:w="1842" w:type="dxa"/>
            <w:shd w:val="clear" w:color="auto" w:fill="auto"/>
            <w:vAlign w:val="center"/>
          </w:tcPr>
          <w:p w14:paraId="74CCE513" w14:textId="7BC62626" w:rsidR="008E3302" w:rsidRPr="00586687" w:rsidRDefault="008E3302" w:rsidP="00143694">
            <w:pPr>
              <w:jc w:val="center"/>
              <w:rPr>
                <w:bCs/>
                <w:szCs w:val="17"/>
              </w:rPr>
            </w:pPr>
            <w:r w:rsidRPr="00586687">
              <w:rPr>
                <w:bCs/>
                <w:szCs w:val="17"/>
              </w:rPr>
              <w:t xml:space="preserve">Yon-Courtin, Boyer, </w:t>
            </w:r>
            <w:proofErr w:type="spellStart"/>
            <w:r w:rsidRPr="00586687">
              <w:rPr>
                <w:bCs/>
                <w:szCs w:val="17"/>
              </w:rPr>
              <w:t>Canfin</w:t>
            </w:r>
            <w:proofErr w:type="spellEnd"/>
          </w:p>
          <w:p w14:paraId="4B6A958C" w14:textId="77777777" w:rsidR="008E3302" w:rsidRPr="00586687" w:rsidRDefault="008E3302" w:rsidP="00143694">
            <w:pPr>
              <w:jc w:val="center"/>
              <w:rPr>
                <w:bCs/>
                <w:szCs w:val="17"/>
              </w:rPr>
            </w:pPr>
          </w:p>
        </w:tc>
        <w:tc>
          <w:tcPr>
            <w:tcW w:w="2127" w:type="dxa"/>
            <w:shd w:val="clear" w:color="auto" w:fill="auto"/>
            <w:vAlign w:val="center"/>
          </w:tcPr>
          <w:p w14:paraId="52F7FFF6" w14:textId="1FBB9EDF" w:rsidR="008E3302" w:rsidRPr="00586687" w:rsidRDefault="00803F3B" w:rsidP="00143694">
            <w:pPr>
              <w:jc w:val="center"/>
              <w:rPr>
                <w:b/>
                <w:szCs w:val="17"/>
                <w:highlight w:val="yellow"/>
              </w:rPr>
            </w:pPr>
            <w:r w:rsidRPr="00586687">
              <w:rPr>
                <w:bCs/>
                <w:szCs w:val="17"/>
              </w:rPr>
              <w:t>Risk Management/ Sustainability</w:t>
            </w:r>
          </w:p>
        </w:tc>
        <w:tc>
          <w:tcPr>
            <w:tcW w:w="1471" w:type="dxa"/>
            <w:shd w:val="clear" w:color="auto" w:fill="auto"/>
            <w:vAlign w:val="center"/>
          </w:tcPr>
          <w:p w14:paraId="0F2373FC" w14:textId="4AAF1445" w:rsidR="008E3302" w:rsidRPr="00586687" w:rsidRDefault="008E3302"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2831D5FE" w14:textId="77777777" w:rsidTr="00A2044B">
        <w:trPr>
          <w:trHeight w:val="494"/>
        </w:trPr>
        <w:tc>
          <w:tcPr>
            <w:tcW w:w="696" w:type="dxa"/>
            <w:shd w:val="clear" w:color="auto" w:fill="auto"/>
            <w:vAlign w:val="center"/>
          </w:tcPr>
          <w:p w14:paraId="5758CBE0" w14:textId="63916538" w:rsidR="00900435" w:rsidRPr="00586687" w:rsidRDefault="008E3302" w:rsidP="00143694">
            <w:pPr>
              <w:jc w:val="center"/>
              <w:rPr>
                <w:bCs/>
                <w:szCs w:val="17"/>
              </w:rPr>
            </w:pPr>
            <w:r w:rsidRPr="00586687">
              <w:rPr>
                <w:bCs/>
                <w:szCs w:val="17"/>
              </w:rPr>
              <w:t>467-468-</w:t>
            </w:r>
            <w:r w:rsidRPr="00586687">
              <w:rPr>
                <w:bCs/>
                <w:szCs w:val="17"/>
              </w:rPr>
              <w:lastRenderedPageBreak/>
              <w:t>469-475</w:t>
            </w:r>
            <w:r w:rsidR="00900435" w:rsidRPr="00586687">
              <w:rPr>
                <w:bCs/>
                <w:szCs w:val="17"/>
              </w:rPr>
              <w:t>-477</w:t>
            </w:r>
          </w:p>
        </w:tc>
        <w:tc>
          <w:tcPr>
            <w:tcW w:w="1931" w:type="dxa"/>
            <w:shd w:val="clear" w:color="auto" w:fill="auto"/>
            <w:vAlign w:val="center"/>
          </w:tcPr>
          <w:p w14:paraId="04922C64" w14:textId="1493FD09" w:rsidR="008E3302" w:rsidRPr="00586687" w:rsidRDefault="008E3302" w:rsidP="00143694">
            <w:pPr>
              <w:jc w:val="center"/>
              <w:rPr>
                <w:bCs/>
                <w:szCs w:val="17"/>
              </w:rPr>
            </w:pPr>
            <w:r w:rsidRPr="00586687">
              <w:rPr>
                <w:bCs/>
                <w:szCs w:val="17"/>
              </w:rPr>
              <w:lastRenderedPageBreak/>
              <w:t xml:space="preserve">Article 44 – paragraph 5 a </w:t>
            </w:r>
            <w:r w:rsidRPr="00586687">
              <w:rPr>
                <w:bCs/>
                <w:szCs w:val="17"/>
              </w:rPr>
              <w:lastRenderedPageBreak/>
              <w:t>(new)/ Article 44 a (new)</w:t>
            </w:r>
          </w:p>
        </w:tc>
        <w:tc>
          <w:tcPr>
            <w:tcW w:w="6588" w:type="dxa"/>
            <w:shd w:val="clear" w:color="auto" w:fill="auto"/>
          </w:tcPr>
          <w:p w14:paraId="01C0BE02" w14:textId="77777777" w:rsidR="008E3302" w:rsidRPr="00586687" w:rsidRDefault="00CD01D6" w:rsidP="00143694">
            <w:pPr>
              <w:jc w:val="left"/>
              <w:rPr>
                <w:bCs/>
                <w:szCs w:val="17"/>
              </w:rPr>
            </w:pPr>
            <w:r w:rsidRPr="00586687">
              <w:rPr>
                <w:bCs/>
                <w:szCs w:val="17"/>
              </w:rPr>
              <w:lastRenderedPageBreak/>
              <w:t>The</w:t>
            </w:r>
            <w:r w:rsidR="008E3302" w:rsidRPr="00586687">
              <w:rPr>
                <w:bCs/>
                <w:szCs w:val="17"/>
              </w:rPr>
              <w:t xml:space="preserve"> remuneration</w:t>
            </w:r>
            <w:r w:rsidRPr="00586687">
              <w:rPr>
                <w:bCs/>
                <w:szCs w:val="17"/>
              </w:rPr>
              <w:t xml:space="preserve"> policy</w:t>
            </w:r>
            <w:r w:rsidR="008E3302" w:rsidRPr="00586687">
              <w:rPr>
                <w:bCs/>
                <w:szCs w:val="17"/>
              </w:rPr>
              <w:t xml:space="preserve">, including incentives schemes, shall promote sound and effective risk management, including the integration of </w:t>
            </w:r>
            <w:r w:rsidR="008E3302" w:rsidRPr="00586687">
              <w:rPr>
                <w:bCs/>
                <w:szCs w:val="17"/>
              </w:rPr>
              <w:lastRenderedPageBreak/>
              <w:t>sustainability risks in the risk management system and the adverse impacts of the undertaking</w:t>
            </w:r>
          </w:p>
          <w:p w14:paraId="101381C9" w14:textId="77777777" w:rsidR="001B06BD" w:rsidRPr="00586687" w:rsidRDefault="00DB101F" w:rsidP="00143694">
            <w:pPr>
              <w:jc w:val="left"/>
              <w:rPr>
                <w:bCs/>
                <w:szCs w:val="17"/>
              </w:rPr>
            </w:pPr>
            <w:r w:rsidRPr="00586687">
              <w:rPr>
                <w:bCs/>
                <w:szCs w:val="17"/>
              </w:rPr>
              <w:t xml:space="preserve">If an undertaking’s remuneration scheme </w:t>
            </w:r>
            <w:r w:rsidR="00AD3485" w:rsidRPr="00586687">
              <w:rPr>
                <w:bCs/>
                <w:szCs w:val="17"/>
              </w:rPr>
              <w:t xml:space="preserve">includes a fixed and variable component, </w:t>
            </w:r>
            <w:r w:rsidR="00495A71" w:rsidRPr="00586687">
              <w:rPr>
                <w:bCs/>
                <w:szCs w:val="17"/>
              </w:rPr>
              <w:t>at least half of the variable component shall be linked to the achievement of sus targets</w:t>
            </w:r>
            <w:r w:rsidR="00C67793" w:rsidRPr="00586687">
              <w:rPr>
                <w:bCs/>
                <w:szCs w:val="17"/>
              </w:rPr>
              <w:t xml:space="preserve"> in line with transition plan</w:t>
            </w:r>
          </w:p>
          <w:p w14:paraId="76BDADE6" w14:textId="1BB78692" w:rsidR="00C67793" w:rsidRPr="00586687" w:rsidRDefault="00C67793" w:rsidP="00143694">
            <w:pPr>
              <w:jc w:val="left"/>
              <w:rPr>
                <w:bCs/>
                <w:szCs w:val="17"/>
              </w:rPr>
            </w:pPr>
            <w:r w:rsidRPr="00586687">
              <w:rPr>
                <w:bCs/>
                <w:szCs w:val="17"/>
              </w:rPr>
              <w:t>EC shall develop DA</w:t>
            </w:r>
          </w:p>
        </w:tc>
        <w:tc>
          <w:tcPr>
            <w:tcW w:w="1842" w:type="dxa"/>
            <w:shd w:val="clear" w:color="auto" w:fill="auto"/>
            <w:vAlign w:val="center"/>
          </w:tcPr>
          <w:p w14:paraId="65C54BE2" w14:textId="2941E59A" w:rsidR="008E3302" w:rsidRPr="00586687" w:rsidRDefault="008E3302" w:rsidP="00143694">
            <w:pPr>
              <w:jc w:val="center"/>
              <w:rPr>
                <w:bCs/>
                <w:szCs w:val="17"/>
              </w:rPr>
            </w:pPr>
            <w:proofErr w:type="spellStart"/>
            <w:r w:rsidRPr="00586687">
              <w:rPr>
                <w:bCs/>
                <w:szCs w:val="17"/>
              </w:rPr>
              <w:lastRenderedPageBreak/>
              <w:t>Lalucq</w:t>
            </w:r>
            <w:proofErr w:type="spellEnd"/>
            <w:r w:rsidRPr="00586687">
              <w:rPr>
                <w:bCs/>
                <w:szCs w:val="17"/>
              </w:rPr>
              <w:t xml:space="preserve">/ MacManus/ </w:t>
            </w:r>
            <w:proofErr w:type="spellStart"/>
            <w:r w:rsidRPr="00586687">
              <w:rPr>
                <w:bCs/>
                <w:szCs w:val="17"/>
              </w:rPr>
              <w:lastRenderedPageBreak/>
              <w:t>Heinäluoma</w:t>
            </w:r>
            <w:proofErr w:type="spellEnd"/>
            <w:r w:rsidRPr="00586687">
              <w:rPr>
                <w:bCs/>
                <w:szCs w:val="17"/>
              </w:rPr>
              <w:t xml:space="preserve">, Tang, </w:t>
            </w:r>
            <w:proofErr w:type="spellStart"/>
            <w:r w:rsidRPr="00586687">
              <w:rPr>
                <w:bCs/>
                <w:szCs w:val="17"/>
              </w:rPr>
              <w:t>Lalucq</w:t>
            </w:r>
            <w:proofErr w:type="spellEnd"/>
            <w:r w:rsidRPr="00586687">
              <w:rPr>
                <w:bCs/>
                <w:szCs w:val="17"/>
              </w:rPr>
              <w:t xml:space="preserve">/ </w:t>
            </w:r>
            <w:proofErr w:type="spellStart"/>
            <w:r w:rsidRPr="00586687">
              <w:rPr>
                <w:bCs/>
                <w:szCs w:val="17"/>
              </w:rPr>
              <w:t>Lalucq</w:t>
            </w:r>
            <w:proofErr w:type="spellEnd"/>
            <w:r w:rsidR="00900435" w:rsidRPr="00586687">
              <w:rPr>
                <w:bCs/>
                <w:szCs w:val="17"/>
              </w:rPr>
              <w:t>/Hahn</w:t>
            </w:r>
          </w:p>
        </w:tc>
        <w:tc>
          <w:tcPr>
            <w:tcW w:w="2127" w:type="dxa"/>
            <w:shd w:val="clear" w:color="auto" w:fill="auto"/>
            <w:vAlign w:val="center"/>
          </w:tcPr>
          <w:p w14:paraId="5CFD1CB4" w14:textId="6D298F4F" w:rsidR="008E3302" w:rsidRPr="00586687" w:rsidRDefault="00E17ACF" w:rsidP="00143694">
            <w:pPr>
              <w:jc w:val="center"/>
              <w:rPr>
                <w:bCs/>
                <w:szCs w:val="17"/>
                <w:highlight w:val="yellow"/>
              </w:rPr>
            </w:pPr>
            <w:r w:rsidRPr="00586687">
              <w:rPr>
                <w:bCs/>
                <w:szCs w:val="17"/>
              </w:rPr>
              <w:lastRenderedPageBreak/>
              <w:t>Risk Management/ Sustainability</w:t>
            </w:r>
          </w:p>
        </w:tc>
        <w:tc>
          <w:tcPr>
            <w:tcW w:w="1471" w:type="dxa"/>
            <w:shd w:val="clear" w:color="auto" w:fill="auto"/>
            <w:vAlign w:val="center"/>
          </w:tcPr>
          <w:p w14:paraId="75430C0A" w14:textId="638F8E29" w:rsidR="008E3302" w:rsidRPr="00586687" w:rsidRDefault="00B52A78" w:rsidP="00143694">
            <w:pPr>
              <w:jc w:val="center"/>
              <w:rPr>
                <w:bCs/>
                <w:szCs w:val="17"/>
              </w:rPr>
            </w:pPr>
            <w:r w:rsidRPr="00586687">
              <w:rPr>
                <w:b/>
                <w:color w:val="FF0000"/>
                <w:szCs w:val="17"/>
              </w:rPr>
              <w:t>Negative</w:t>
            </w:r>
          </w:p>
        </w:tc>
      </w:tr>
      <w:tr w:rsidR="008E3302" w:rsidRPr="00586687" w14:paraId="562F2FFC" w14:textId="77777777" w:rsidTr="00A2044B">
        <w:trPr>
          <w:trHeight w:val="494"/>
        </w:trPr>
        <w:tc>
          <w:tcPr>
            <w:tcW w:w="696" w:type="dxa"/>
            <w:shd w:val="clear" w:color="auto" w:fill="auto"/>
            <w:vAlign w:val="center"/>
          </w:tcPr>
          <w:p w14:paraId="1AEB3C94" w14:textId="5C152F53" w:rsidR="008E3302" w:rsidRPr="00586687" w:rsidRDefault="008E3302" w:rsidP="00143694">
            <w:pPr>
              <w:jc w:val="center"/>
              <w:rPr>
                <w:bCs/>
                <w:szCs w:val="17"/>
              </w:rPr>
            </w:pPr>
            <w:r w:rsidRPr="00586687">
              <w:rPr>
                <w:bCs/>
                <w:szCs w:val="17"/>
              </w:rPr>
              <w:t>470</w:t>
            </w:r>
          </w:p>
        </w:tc>
        <w:tc>
          <w:tcPr>
            <w:tcW w:w="1931" w:type="dxa"/>
            <w:shd w:val="clear" w:color="auto" w:fill="auto"/>
            <w:vAlign w:val="center"/>
          </w:tcPr>
          <w:p w14:paraId="4D7FC24C" w14:textId="1633352F" w:rsidR="008E3302" w:rsidRPr="00586687" w:rsidRDefault="008E3302" w:rsidP="00143694">
            <w:pPr>
              <w:jc w:val="center"/>
              <w:rPr>
                <w:bCs/>
                <w:szCs w:val="17"/>
              </w:rPr>
            </w:pPr>
            <w:r w:rsidRPr="00586687">
              <w:rPr>
                <w:bCs/>
                <w:szCs w:val="17"/>
              </w:rPr>
              <w:t>Article 44 – paragraph 5 a (new)</w:t>
            </w:r>
          </w:p>
        </w:tc>
        <w:tc>
          <w:tcPr>
            <w:tcW w:w="6588" w:type="dxa"/>
            <w:shd w:val="clear" w:color="auto" w:fill="auto"/>
          </w:tcPr>
          <w:p w14:paraId="3950B37B" w14:textId="2EC17EA4" w:rsidR="008E3302" w:rsidRPr="00586687" w:rsidRDefault="008E3302" w:rsidP="00143694">
            <w:pPr>
              <w:jc w:val="left"/>
              <w:rPr>
                <w:bCs/>
                <w:szCs w:val="17"/>
              </w:rPr>
            </w:pPr>
            <w:r w:rsidRPr="00586687">
              <w:rPr>
                <w:bCs/>
                <w:szCs w:val="17"/>
              </w:rPr>
              <w:t>EIOPA shall monitor and publish a report by 2024 on how to improve:</w:t>
            </w:r>
          </w:p>
          <w:p w14:paraId="68023A3E" w14:textId="77777777" w:rsidR="008E3302" w:rsidRPr="00586687" w:rsidRDefault="008E3302" w:rsidP="00143694">
            <w:pPr>
              <w:jc w:val="left"/>
              <w:rPr>
                <w:bCs/>
                <w:szCs w:val="17"/>
              </w:rPr>
            </w:pPr>
            <w:proofErr w:type="spellStart"/>
            <w:r w:rsidRPr="00586687">
              <w:rPr>
                <w:bCs/>
                <w:szCs w:val="17"/>
              </w:rPr>
              <w:t>i</w:t>
            </w:r>
            <w:proofErr w:type="spellEnd"/>
            <w:r w:rsidRPr="00586687">
              <w:rPr>
                <w:bCs/>
                <w:szCs w:val="17"/>
              </w:rPr>
              <w:t>) the resilience of the insurance sector against cyber and ICT related risks; and</w:t>
            </w:r>
          </w:p>
          <w:p w14:paraId="394DB0DB" w14:textId="38813E15" w:rsidR="008E3302" w:rsidRPr="00586687" w:rsidRDefault="008E3302" w:rsidP="00143694">
            <w:pPr>
              <w:jc w:val="left"/>
              <w:rPr>
                <w:bCs/>
                <w:szCs w:val="17"/>
              </w:rPr>
            </w:pPr>
            <w:r w:rsidRPr="00586687">
              <w:rPr>
                <w:bCs/>
                <w:szCs w:val="17"/>
              </w:rPr>
              <w:t>ii) the coverage of policyholders against cyber-related risks.’</w:t>
            </w:r>
          </w:p>
        </w:tc>
        <w:tc>
          <w:tcPr>
            <w:tcW w:w="1842" w:type="dxa"/>
            <w:shd w:val="clear" w:color="auto" w:fill="auto"/>
            <w:vAlign w:val="center"/>
          </w:tcPr>
          <w:p w14:paraId="748693D4" w14:textId="275EA25A" w:rsidR="008E3302" w:rsidRPr="00586687" w:rsidRDefault="008E3302" w:rsidP="00143694">
            <w:pPr>
              <w:jc w:val="center"/>
              <w:rPr>
                <w:bCs/>
                <w:szCs w:val="17"/>
              </w:rPr>
            </w:pPr>
            <w:r w:rsidRPr="00586687">
              <w:rPr>
                <w:bCs/>
                <w:szCs w:val="17"/>
              </w:rPr>
              <w:t>Yon-Courtin</w:t>
            </w:r>
          </w:p>
        </w:tc>
        <w:tc>
          <w:tcPr>
            <w:tcW w:w="2127" w:type="dxa"/>
            <w:shd w:val="clear" w:color="auto" w:fill="auto"/>
            <w:vAlign w:val="center"/>
          </w:tcPr>
          <w:p w14:paraId="69E216C9" w14:textId="712EB18F" w:rsidR="008E3302" w:rsidRPr="00586687" w:rsidRDefault="009B1CFE" w:rsidP="00143694">
            <w:pPr>
              <w:jc w:val="center"/>
              <w:rPr>
                <w:bCs/>
                <w:szCs w:val="17"/>
              </w:rPr>
            </w:pPr>
            <w:r w:rsidRPr="00586687">
              <w:rPr>
                <w:bCs/>
                <w:szCs w:val="17"/>
              </w:rPr>
              <w:t>Risk Management</w:t>
            </w:r>
          </w:p>
        </w:tc>
        <w:tc>
          <w:tcPr>
            <w:tcW w:w="1471" w:type="dxa"/>
            <w:shd w:val="clear" w:color="auto" w:fill="auto"/>
            <w:vAlign w:val="center"/>
          </w:tcPr>
          <w:p w14:paraId="21911714" w14:textId="1266AEB9" w:rsidR="008E3302" w:rsidRPr="00586687" w:rsidRDefault="008E3302"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67EB4BEB" w14:textId="77777777" w:rsidTr="00A2044B">
        <w:trPr>
          <w:trHeight w:val="494"/>
        </w:trPr>
        <w:tc>
          <w:tcPr>
            <w:tcW w:w="696" w:type="dxa"/>
            <w:shd w:val="clear" w:color="auto" w:fill="auto"/>
            <w:vAlign w:val="center"/>
          </w:tcPr>
          <w:p w14:paraId="415B4E0D" w14:textId="368EB877" w:rsidR="008E3302" w:rsidRPr="00586687" w:rsidRDefault="008E3302" w:rsidP="00143694">
            <w:pPr>
              <w:jc w:val="center"/>
              <w:rPr>
                <w:bCs/>
                <w:szCs w:val="17"/>
              </w:rPr>
            </w:pPr>
            <w:r w:rsidRPr="00586687">
              <w:rPr>
                <w:bCs/>
                <w:szCs w:val="17"/>
              </w:rPr>
              <w:t>478</w:t>
            </w:r>
            <w:r w:rsidR="005F6833" w:rsidRPr="00586687">
              <w:rPr>
                <w:bCs/>
                <w:szCs w:val="17"/>
              </w:rPr>
              <w:t>-482</w:t>
            </w:r>
          </w:p>
        </w:tc>
        <w:tc>
          <w:tcPr>
            <w:tcW w:w="1931" w:type="dxa"/>
            <w:shd w:val="clear" w:color="auto" w:fill="auto"/>
            <w:vAlign w:val="center"/>
          </w:tcPr>
          <w:p w14:paraId="66CE1945" w14:textId="5FA66DEE" w:rsidR="008E3302" w:rsidRPr="00586687" w:rsidRDefault="008E3302" w:rsidP="00143694">
            <w:pPr>
              <w:jc w:val="center"/>
              <w:rPr>
                <w:szCs w:val="17"/>
              </w:rPr>
            </w:pPr>
            <w:r w:rsidRPr="00586687">
              <w:rPr>
                <w:bCs/>
                <w:szCs w:val="17"/>
              </w:rPr>
              <w:t>Article 45 – paragraph 1 – subparagraph 2 – point d</w:t>
            </w:r>
            <w:r w:rsidR="00007178" w:rsidRPr="00586687">
              <w:rPr>
                <w:bCs/>
                <w:szCs w:val="17"/>
              </w:rPr>
              <w:t>/ paragraph 1a – subparagraph 1 – introductory part</w:t>
            </w:r>
          </w:p>
        </w:tc>
        <w:tc>
          <w:tcPr>
            <w:tcW w:w="6588" w:type="dxa"/>
            <w:shd w:val="clear" w:color="auto" w:fill="auto"/>
          </w:tcPr>
          <w:p w14:paraId="0BAC5006" w14:textId="3EAFFFD7" w:rsidR="008E3302" w:rsidRPr="00586687" w:rsidRDefault="009C35EC" w:rsidP="00143694">
            <w:pPr>
              <w:jc w:val="left"/>
              <w:rPr>
                <w:szCs w:val="17"/>
              </w:rPr>
            </w:pPr>
            <w:r w:rsidRPr="00586687">
              <w:rPr>
                <w:bCs/>
                <w:szCs w:val="17"/>
              </w:rPr>
              <w:t>ORSA should take into</w:t>
            </w:r>
            <w:r w:rsidR="008E3302" w:rsidRPr="00586687">
              <w:rPr>
                <w:bCs/>
                <w:szCs w:val="17"/>
              </w:rPr>
              <w:t xml:space="preserve"> consideration </w:t>
            </w:r>
            <w:r w:rsidR="00AC2032" w:rsidRPr="00586687">
              <w:rPr>
                <w:bCs/>
                <w:szCs w:val="17"/>
              </w:rPr>
              <w:t xml:space="preserve">and assess also </w:t>
            </w:r>
            <w:r w:rsidR="008E3302" w:rsidRPr="00586687">
              <w:rPr>
                <w:bCs/>
                <w:szCs w:val="17"/>
              </w:rPr>
              <w:t>geopolitical, and environmental developments.</w:t>
            </w:r>
          </w:p>
        </w:tc>
        <w:tc>
          <w:tcPr>
            <w:tcW w:w="1842" w:type="dxa"/>
            <w:shd w:val="clear" w:color="auto" w:fill="auto"/>
            <w:vAlign w:val="center"/>
          </w:tcPr>
          <w:p w14:paraId="6C86B57E" w14:textId="2BB9CA98" w:rsidR="008E3302" w:rsidRPr="00586687" w:rsidRDefault="008E3302" w:rsidP="00143694">
            <w:pPr>
              <w:jc w:val="center"/>
              <w:rPr>
                <w:szCs w:val="17"/>
              </w:rPr>
            </w:pPr>
            <w:proofErr w:type="spellStart"/>
            <w:r w:rsidRPr="00586687">
              <w:rPr>
                <w:szCs w:val="17"/>
              </w:rPr>
              <w:t>Heinäluoma</w:t>
            </w:r>
            <w:proofErr w:type="spellEnd"/>
            <w:r w:rsidRPr="00586687">
              <w:rPr>
                <w:szCs w:val="17"/>
              </w:rPr>
              <w:t xml:space="preserve">, Tang, </w:t>
            </w:r>
            <w:proofErr w:type="spellStart"/>
            <w:r w:rsidRPr="00586687">
              <w:rPr>
                <w:szCs w:val="17"/>
              </w:rPr>
              <w:t>Lalucq</w:t>
            </w:r>
            <w:proofErr w:type="spellEnd"/>
          </w:p>
        </w:tc>
        <w:tc>
          <w:tcPr>
            <w:tcW w:w="2127" w:type="dxa"/>
            <w:shd w:val="clear" w:color="auto" w:fill="auto"/>
            <w:vAlign w:val="center"/>
          </w:tcPr>
          <w:p w14:paraId="06ED8F46" w14:textId="47125344" w:rsidR="008E3302" w:rsidRPr="00586687" w:rsidRDefault="007A25E4" w:rsidP="00143694">
            <w:pPr>
              <w:jc w:val="center"/>
              <w:rPr>
                <w:bCs/>
                <w:szCs w:val="17"/>
              </w:rPr>
            </w:pPr>
            <w:r w:rsidRPr="00586687">
              <w:rPr>
                <w:bCs/>
                <w:szCs w:val="17"/>
              </w:rPr>
              <w:t>ORSA</w:t>
            </w:r>
            <w:r w:rsidR="008E3302" w:rsidRPr="00586687">
              <w:rPr>
                <w:bCs/>
                <w:szCs w:val="17"/>
              </w:rPr>
              <w:t>/</w:t>
            </w:r>
            <w:r w:rsidRPr="00586687">
              <w:rPr>
                <w:bCs/>
                <w:szCs w:val="17"/>
              </w:rPr>
              <w:t xml:space="preserve"> </w:t>
            </w:r>
            <w:r w:rsidR="008E3302" w:rsidRPr="00586687">
              <w:rPr>
                <w:bCs/>
                <w:szCs w:val="17"/>
              </w:rPr>
              <w:t>Sustainability</w:t>
            </w:r>
          </w:p>
        </w:tc>
        <w:tc>
          <w:tcPr>
            <w:tcW w:w="1471" w:type="dxa"/>
            <w:shd w:val="clear" w:color="auto" w:fill="auto"/>
            <w:vAlign w:val="center"/>
          </w:tcPr>
          <w:p w14:paraId="629E2481" w14:textId="67B7BFA9" w:rsidR="008E3302" w:rsidRPr="00586687" w:rsidRDefault="008E3302"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385A47B7" w14:textId="77777777" w:rsidTr="00A2044B">
        <w:trPr>
          <w:trHeight w:val="494"/>
        </w:trPr>
        <w:tc>
          <w:tcPr>
            <w:tcW w:w="696" w:type="dxa"/>
            <w:shd w:val="clear" w:color="auto" w:fill="auto"/>
            <w:vAlign w:val="center"/>
          </w:tcPr>
          <w:p w14:paraId="48CC5528" w14:textId="0AEE300C" w:rsidR="008E3302" w:rsidRPr="00586687" w:rsidRDefault="008E3302" w:rsidP="00143694">
            <w:pPr>
              <w:jc w:val="center"/>
              <w:rPr>
                <w:bCs/>
                <w:szCs w:val="17"/>
              </w:rPr>
            </w:pPr>
            <w:r w:rsidRPr="00586687">
              <w:rPr>
                <w:bCs/>
                <w:szCs w:val="17"/>
              </w:rPr>
              <w:t>479</w:t>
            </w:r>
          </w:p>
        </w:tc>
        <w:tc>
          <w:tcPr>
            <w:tcW w:w="1931" w:type="dxa"/>
            <w:shd w:val="clear" w:color="auto" w:fill="auto"/>
            <w:vAlign w:val="center"/>
          </w:tcPr>
          <w:p w14:paraId="61EBB0C0" w14:textId="665A7F77" w:rsidR="008E3302" w:rsidRPr="00412D45" w:rsidRDefault="008E3302" w:rsidP="00143694">
            <w:pPr>
              <w:jc w:val="center"/>
              <w:rPr>
                <w:szCs w:val="17"/>
                <w:lang w:val="fr-FR"/>
              </w:rPr>
            </w:pPr>
            <w:r w:rsidRPr="00412D45">
              <w:rPr>
                <w:bCs/>
                <w:szCs w:val="17"/>
                <w:lang w:val="fr-FR"/>
              </w:rPr>
              <w:t>Article 45– paragraph 1 – subparagraph 2 – point d</w:t>
            </w:r>
          </w:p>
        </w:tc>
        <w:tc>
          <w:tcPr>
            <w:tcW w:w="6588" w:type="dxa"/>
            <w:shd w:val="clear" w:color="auto" w:fill="auto"/>
          </w:tcPr>
          <w:p w14:paraId="29E8B20F" w14:textId="7A940100" w:rsidR="008E3302" w:rsidRPr="00586687" w:rsidRDefault="008E3302" w:rsidP="00143694">
            <w:pPr>
              <w:jc w:val="left"/>
              <w:rPr>
                <w:szCs w:val="17"/>
              </w:rPr>
            </w:pPr>
            <w:r w:rsidRPr="00586687">
              <w:rPr>
                <w:bCs/>
                <w:szCs w:val="17"/>
              </w:rPr>
              <w:t>Editorial ‘relevant’ macroeconomic and financial markets developments</w:t>
            </w:r>
          </w:p>
        </w:tc>
        <w:tc>
          <w:tcPr>
            <w:tcW w:w="1842" w:type="dxa"/>
            <w:shd w:val="clear" w:color="auto" w:fill="auto"/>
            <w:vAlign w:val="center"/>
          </w:tcPr>
          <w:p w14:paraId="5F03AA09" w14:textId="3D4310A1" w:rsidR="008E3302" w:rsidRPr="00586687" w:rsidRDefault="008E3302" w:rsidP="00143694">
            <w:pPr>
              <w:jc w:val="center"/>
              <w:rPr>
                <w:szCs w:val="17"/>
              </w:rPr>
            </w:pPr>
            <w:r w:rsidRPr="00586687">
              <w:rPr>
                <w:bCs/>
                <w:szCs w:val="17"/>
              </w:rPr>
              <w:t>Yon-Courtin, Boyer</w:t>
            </w:r>
          </w:p>
        </w:tc>
        <w:tc>
          <w:tcPr>
            <w:tcW w:w="2127" w:type="dxa"/>
            <w:shd w:val="clear" w:color="auto" w:fill="auto"/>
            <w:vAlign w:val="center"/>
          </w:tcPr>
          <w:p w14:paraId="2A9F0B24" w14:textId="1FF64A8E" w:rsidR="008E3302" w:rsidRPr="00586687" w:rsidRDefault="008E3302" w:rsidP="00143694">
            <w:pPr>
              <w:jc w:val="center"/>
              <w:rPr>
                <w:szCs w:val="17"/>
                <w:highlight w:val="yellow"/>
              </w:rPr>
            </w:pPr>
            <w:r w:rsidRPr="00586687">
              <w:rPr>
                <w:bCs/>
                <w:szCs w:val="17"/>
              </w:rPr>
              <w:t>Editorial</w:t>
            </w:r>
          </w:p>
        </w:tc>
        <w:tc>
          <w:tcPr>
            <w:tcW w:w="1471" w:type="dxa"/>
            <w:shd w:val="clear" w:color="auto" w:fill="auto"/>
            <w:vAlign w:val="center"/>
          </w:tcPr>
          <w:p w14:paraId="327B1ED3" w14:textId="0D7D6B11" w:rsidR="008E3302" w:rsidRPr="00586687" w:rsidRDefault="008E3302" w:rsidP="00143694">
            <w:pPr>
              <w:jc w:val="center"/>
              <w:rPr>
                <w:szCs w:val="17"/>
                <w:highlight w:val="yellow"/>
              </w:rPr>
            </w:pPr>
          </w:p>
        </w:tc>
      </w:tr>
      <w:tr w:rsidR="008E3302" w:rsidRPr="00586687" w14:paraId="2D892E5C" w14:textId="77777777" w:rsidTr="00A2044B">
        <w:trPr>
          <w:trHeight w:val="494"/>
        </w:trPr>
        <w:tc>
          <w:tcPr>
            <w:tcW w:w="696" w:type="dxa"/>
            <w:shd w:val="clear" w:color="auto" w:fill="auto"/>
            <w:vAlign w:val="center"/>
          </w:tcPr>
          <w:p w14:paraId="7A7E00C2" w14:textId="1AC62F6B" w:rsidR="008E3302" w:rsidRPr="00586687" w:rsidRDefault="008E3302" w:rsidP="00143694">
            <w:pPr>
              <w:jc w:val="center"/>
              <w:rPr>
                <w:szCs w:val="17"/>
              </w:rPr>
            </w:pPr>
            <w:r w:rsidRPr="00586687">
              <w:rPr>
                <w:bCs/>
                <w:szCs w:val="17"/>
              </w:rPr>
              <w:t>480</w:t>
            </w:r>
          </w:p>
        </w:tc>
        <w:tc>
          <w:tcPr>
            <w:tcW w:w="1931" w:type="dxa"/>
            <w:shd w:val="clear" w:color="auto" w:fill="auto"/>
            <w:vAlign w:val="center"/>
          </w:tcPr>
          <w:p w14:paraId="4EF0050B" w14:textId="72932E56" w:rsidR="008E3302" w:rsidRPr="00412D45" w:rsidRDefault="008E3302" w:rsidP="00143694">
            <w:pPr>
              <w:jc w:val="center"/>
              <w:rPr>
                <w:szCs w:val="17"/>
                <w:lang w:val="fr-FR"/>
              </w:rPr>
            </w:pPr>
            <w:r w:rsidRPr="00412D45">
              <w:rPr>
                <w:bCs/>
                <w:szCs w:val="17"/>
                <w:lang w:val="fr-FR"/>
              </w:rPr>
              <w:t>Article 45 – paragraph 1 – subparagraph 2 – point e</w:t>
            </w:r>
          </w:p>
        </w:tc>
        <w:tc>
          <w:tcPr>
            <w:tcW w:w="6588" w:type="dxa"/>
            <w:shd w:val="clear" w:color="auto" w:fill="auto"/>
          </w:tcPr>
          <w:p w14:paraId="68FE467E" w14:textId="5C313A19" w:rsidR="008E3302" w:rsidRPr="00586687" w:rsidRDefault="008E3302" w:rsidP="00143694">
            <w:pPr>
              <w:jc w:val="left"/>
              <w:rPr>
                <w:szCs w:val="17"/>
              </w:rPr>
            </w:pPr>
            <w:r w:rsidRPr="00586687">
              <w:rPr>
                <w:bCs/>
                <w:szCs w:val="17"/>
              </w:rPr>
              <w:t>Added the statement ‘This analysis consider</w:t>
            </w:r>
            <w:r w:rsidR="000D6E47" w:rsidRPr="00586687">
              <w:rPr>
                <w:bCs/>
                <w:szCs w:val="17"/>
              </w:rPr>
              <w:t>s</w:t>
            </w:r>
            <w:r w:rsidRPr="00586687">
              <w:rPr>
                <w:bCs/>
                <w:szCs w:val="17"/>
              </w:rPr>
              <w:t xml:space="preserve"> the cumulative effect of its activities when combined with similar actions by other undertakings’</w:t>
            </w:r>
          </w:p>
        </w:tc>
        <w:tc>
          <w:tcPr>
            <w:tcW w:w="1842" w:type="dxa"/>
            <w:shd w:val="clear" w:color="auto" w:fill="auto"/>
            <w:vAlign w:val="center"/>
          </w:tcPr>
          <w:p w14:paraId="7DE34542" w14:textId="2CDD9ECF" w:rsidR="008E3302" w:rsidRPr="00586687" w:rsidRDefault="008E3302" w:rsidP="00143694">
            <w:pPr>
              <w:jc w:val="center"/>
              <w:rPr>
                <w:szCs w:val="17"/>
              </w:rPr>
            </w:pPr>
            <w:r w:rsidRPr="00586687">
              <w:rPr>
                <w:bCs/>
                <w:szCs w:val="17"/>
              </w:rPr>
              <w:t>Chris MacManus</w:t>
            </w:r>
          </w:p>
        </w:tc>
        <w:tc>
          <w:tcPr>
            <w:tcW w:w="2127" w:type="dxa"/>
            <w:shd w:val="clear" w:color="auto" w:fill="auto"/>
            <w:vAlign w:val="center"/>
          </w:tcPr>
          <w:p w14:paraId="12E4EDFD" w14:textId="233DCF21" w:rsidR="008E3302" w:rsidRPr="00586687" w:rsidRDefault="000D6E47" w:rsidP="00143694">
            <w:pPr>
              <w:jc w:val="center"/>
              <w:rPr>
                <w:szCs w:val="17"/>
                <w:highlight w:val="yellow"/>
              </w:rPr>
            </w:pPr>
            <w:r w:rsidRPr="00586687">
              <w:rPr>
                <w:bCs/>
                <w:szCs w:val="17"/>
              </w:rPr>
              <w:t>ORSA</w:t>
            </w:r>
          </w:p>
        </w:tc>
        <w:tc>
          <w:tcPr>
            <w:tcW w:w="1471" w:type="dxa"/>
            <w:shd w:val="clear" w:color="auto" w:fill="auto"/>
            <w:vAlign w:val="center"/>
          </w:tcPr>
          <w:p w14:paraId="738AC3DF" w14:textId="09347014" w:rsidR="008E3302" w:rsidRPr="00586687" w:rsidRDefault="00B55CE2" w:rsidP="00143694">
            <w:pPr>
              <w:jc w:val="center"/>
              <w:rPr>
                <w:szCs w:val="17"/>
                <w:highlight w:val="yellow"/>
              </w:rPr>
            </w:pPr>
            <w:r w:rsidRPr="00586687">
              <w:rPr>
                <w:b/>
                <w:color w:val="FF0000"/>
                <w:szCs w:val="17"/>
              </w:rPr>
              <w:t>Negative</w:t>
            </w:r>
          </w:p>
        </w:tc>
      </w:tr>
      <w:tr w:rsidR="008E3302" w:rsidRPr="00586687" w14:paraId="139542DB" w14:textId="77777777" w:rsidTr="00A2044B">
        <w:trPr>
          <w:trHeight w:val="494"/>
        </w:trPr>
        <w:tc>
          <w:tcPr>
            <w:tcW w:w="696" w:type="dxa"/>
            <w:shd w:val="clear" w:color="auto" w:fill="auto"/>
            <w:vAlign w:val="center"/>
          </w:tcPr>
          <w:p w14:paraId="02C44C14" w14:textId="2C7A4D2E" w:rsidR="008E3302" w:rsidRPr="00586687" w:rsidRDefault="000304D7" w:rsidP="00143694">
            <w:pPr>
              <w:jc w:val="center"/>
              <w:rPr>
                <w:szCs w:val="17"/>
              </w:rPr>
            </w:pPr>
            <w:r w:rsidRPr="00586687">
              <w:rPr>
                <w:bCs/>
                <w:szCs w:val="17"/>
              </w:rPr>
              <w:t>481</w:t>
            </w:r>
          </w:p>
        </w:tc>
        <w:tc>
          <w:tcPr>
            <w:tcW w:w="1931" w:type="dxa"/>
            <w:shd w:val="clear" w:color="auto" w:fill="auto"/>
            <w:vAlign w:val="center"/>
          </w:tcPr>
          <w:p w14:paraId="3FA747C6" w14:textId="26674DF8" w:rsidR="008E3302" w:rsidRPr="00412D45" w:rsidRDefault="000304D7" w:rsidP="00143694">
            <w:pPr>
              <w:jc w:val="center"/>
              <w:rPr>
                <w:szCs w:val="17"/>
                <w:lang w:val="fr-FR"/>
              </w:rPr>
            </w:pPr>
            <w:r w:rsidRPr="00412D45">
              <w:rPr>
                <w:bCs/>
                <w:szCs w:val="17"/>
                <w:lang w:val="fr-FR"/>
              </w:rPr>
              <w:t>Article 45 – paragraph 1 – subparagraph 2 – point e</w:t>
            </w:r>
          </w:p>
        </w:tc>
        <w:tc>
          <w:tcPr>
            <w:tcW w:w="6588" w:type="dxa"/>
            <w:shd w:val="clear" w:color="auto" w:fill="auto"/>
          </w:tcPr>
          <w:p w14:paraId="0F794CBA" w14:textId="2D5D9041" w:rsidR="008E3302" w:rsidRPr="00586687" w:rsidRDefault="00345E97" w:rsidP="00143694">
            <w:pPr>
              <w:jc w:val="left"/>
              <w:rPr>
                <w:szCs w:val="17"/>
              </w:rPr>
            </w:pPr>
            <w:proofErr w:type="spellStart"/>
            <w:r w:rsidRPr="00586687">
              <w:rPr>
                <w:bCs/>
                <w:szCs w:val="17"/>
              </w:rPr>
              <w:t>Editioral</w:t>
            </w:r>
            <w:proofErr w:type="spellEnd"/>
            <w:r w:rsidRPr="00586687">
              <w:rPr>
                <w:bCs/>
                <w:szCs w:val="17"/>
              </w:rPr>
              <w:t xml:space="preserve">: </w:t>
            </w:r>
            <w:r w:rsidR="00E11CB7" w:rsidRPr="00586687">
              <w:rPr>
                <w:bCs/>
                <w:szCs w:val="17"/>
              </w:rPr>
              <w:t xml:space="preserve">Changed </w:t>
            </w:r>
            <w:r w:rsidR="006A6F69" w:rsidRPr="00586687">
              <w:rPr>
                <w:bCs/>
                <w:szCs w:val="17"/>
              </w:rPr>
              <w:t>‘</w:t>
            </w:r>
            <w:r w:rsidR="00E11CB7" w:rsidRPr="00586687">
              <w:rPr>
                <w:bCs/>
                <w:szCs w:val="17"/>
              </w:rPr>
              <w:t>may</w:t>
            </w:r>
            <w:r w:rsidR="006A6F69" w:rsidRPr="00586687">
              <w:rPr>
                <w:bCs/>
                <w:szCs w:val="17"/>
              </w:rPr>
              <w:t>’</w:t>
            </w:r>
            <w:r w:rsidR="00E11CB7" w:rsidRPr="00586687">
              <w:rPr>
                <w:bCs/>
                <w:szCs w:val="17"/>
              </w:rPr>
              <w:t xml:space="preserve"> to </w:t>
            </w:r>
            <w:r w:rsidR="006A6F69" w:rsidRPr="00586687">
              <w:rPr>
                <w:bCs/>
                <w:szCs w:val="17"/>
              </w:rPr>
              <w:t>‘</w:t>
            </w:r>
            <w:r w:rsidR="00E11CB7" w:rsidRPr="00586687">
              <w:rPr>
                <w:bCs/>
                <w:szCs w:val="17"/>
              </w:rPr>
              <w:t>could</w:t>
            </w:r>
            <w:r w:rsidR="006A6F69" w:rsidRPr="00586687">
              <w:rPr>
                <w:bCs/>
                <w:szCs w:val="17"/>
              </w:rPr>
              <w:t>’</w:t>
            </w:r>
          </w:p>
        </w:tc>
        <w:tc>
          <w:tcPr>
            <w:tcW w:w="1842" w:type="dxa"/>
            <w:shd w:val="clear" w:color="auto" w:fill="auto"/>
            <w:vAlign w:val="center"/>
          </w:tcPr>
          <w:p w14:paraId="3B81453A" w14:textId="54EBEEF8" w:rsidR="008E3302" w:rsidRPr="00586687" w:rsidRDefault="000304D7" w:rsidP="00143694">
            <w:pPr>
              <w:jc w:val="center"/>
              <w:rPr>
                <w:szCs w:val="17"/>
              </w:rPr>
            </w:pPr>
            <w:r w:rsidRPr="00586687">
              <w:rPr>
                <w:bCs/>
                <w:szCs w:val="17"/>
              </w:rPr>
              <w:t>Yon-Courtin, Boyer</w:t>
            </w:r>
          </w:p>
        </w:tc>
        <w:tc>
          <w:tcPr>
            <w:tcW w:w="2127" w:type="dxa"/>
            <w:shd w:val="clear" w:color="auto" w:fill="auto"/>
            <w:vAlign w:val="center"/>
          </w:tcPr>
          <w:p w14:paraId="69498AC0" w14:textId="445784EA" w:rsidR="008E3302" w:rsidRPr="00586687" w:rsidRDefault="00345E97" w:rsidP="00143694">
            <w:pPr>
              <w:jc w:val="center"/>
              <w:rPr>
                <w:szCs w:val="17"/>
                <w:highlight w:val="yellow"/>
              </w:rPr>
            </w:pPr>
            <w:r w:rsidRPr="00586687">
              <w:rPr>
                <w:bCs/>
                <w:szCs w:val="17"/>
              </w:rPr>
              <w:t>Editorial</w:t>
            </w:r>
          </w:p>
        </w:tc>
        <w:tc>
          <w:tcPr>
            <w:tcW w:w="1471" w:type="dxa"/>
            <w:shd w:val="clear" w:color="auto" w:fill="auto"/>
            <w:vAlign w:val="center"/>
          </w:tcPr>
          <w:p w14:paraId="455CC8EF" w14:textId="6C92DF98" w:rsidR="008E3302" w:rsidRPr="00586687" w:rsidRDefault="008E3302" w:rsidP="00143694">
            <w:pPr>
              <w:jc w:val="center"/>
              <w:rPr>
                <w:szCs w:val="17"/>
                <w:highlight w:val="yellow"/>
              </w:rPr>
            </w:pPr>
          </w:p>
        </w:tc>
      </w:tr>
      <w:tr w:rsidR="008E3302" w:rsidRPr="00586687" w14:paraId="3AC6E494" w14:textId="77777777" w:rsidTr="00A2044B">
        <w:trPr>
          <w:trHeight w:val="494"/>
        </w:trPr>
        <w:tc>
          <w:tcPr>
            <w:tcW w:w="696" w:type="dxa"/>
            <w:shd w:val="clear" w:color="auto" w:fill="auto"/>
            <w:vAlign w:val="center"/>
          </w:tcPr>
          <w:p w14:paraId="603290B7" w14:textId="178EDC3C" w:rsidR="008E3302" w:rsidRPr="00586687" w:rsidRDefault="007E424D" w:rsidP="00143694">
            <w:pPr>
              <w:jc w:val="center"/>
              <w:rPr>
                <w:szCs w:val="17"/>
              </w:rPr>
            </w:pPr>
            <w:r w:rsidRPr="00586687">
              <w:rPr>
                <w:bCs/>
                <w:szCs w:val="17"/>
              </w:rPr>
              <w:t>483</w:t>
            </w:r>
          </w:p>
        </w:tc>
        <w:tc>
          <w:tcPr>
            <w:tcW w:w="1931" w:type="dxa"/>
            <w:shd w:val="clear" w:color="auto" w:fill="auto"/>
            <w:vAlign w:val="center"/>
          </w:tcPr>
          <w:p w14:paraId="0EE6AF6C" w14:textId="74ABEE07" w:rsidR="008E3302" w:rsidRPr="00412D45" w:rsidRDefault="005D6C6A" w:rsidP="00143694">
            <w:pPr>
              <w:jc w:val="center"/>
              <w:rPr>
                <w:szCs w:val="17"/>
                <w:lang w:val="fr-FR"/>
              </w:rPr>
            </w:pPr>
            <w:r w:rsidRPr="00412D45">
              <w:rPr>
                <w:bCs/>
                <w:szCs w:val="17"/>
                <w:lang w:val="fr-FR"/>
              </w:rPr>
              <w:t>Article 45 – paragraph 1a – subparagraph 1 – point e</w:t>
            </w:r>
          </w:p>
        </w:tc>
        <w:tc>
          <w:tcPr>
            <w:tcW w:w="6588" w:type="dxa"/>
            <w:shd w:val="clear" w:color="auto" w:fill="auto"/>
          </w:tcPr>
          <w:p w14:paraId="42E48E23" w14:textId="646AD0E9" w:rsidR="008E3302" w:rsidRPr="00586687" w:rsidRDefault="00DF2099" w:rsidP="00143694">
            <w:pPr>
              <w:jc w:val="left"/>
              <w:rPr>
                <w:szCs w:val="17"/>
              </w:rPr>
            </w:pPr>
            <w:r w:rsidRPr="00586687">
              <w:rPr>
                <w:bCs/>
                <w:szCs w:val="17"/>
              </w:rPr>
              <w:t>Added</w:t>
            </w:r>
            <w:r w:rsidR="00B713C2" w:rsidRPr="00586687">
              <w:rPr>
                <w:bCs/>
                <w:szCs w:val="17"/>
              </w:rPr>
              <w:t xml:space="preserve"> biodiversity loss, </w:t>
            </w:r>
            <w:r w:rsidRPr="00586687">
              <w:rPr>
                <w:bCs/>
                <w:szCs w:val="17"/>
              </w:rPr>
              <w:t>among factor</w:t>
            </w:r>
            <w:r w:rsidR="00EA2565" w:rsidRPr="00586687">
              <w:rPr>
                <w:bCs/>
                <w:szCs w:val="17"/>
              </w:rPr>
              <w:t>s</w:t>
            </w:r>
            <w:r w:rsidRPr="00586687">
              <w:rPr>
                <w:bCs/>
                <w:szCs w:val="17"/>
              </w:rPr>
              <w:t xml:space="preserve"> that</w:t>
            </w:r>
            <w:r w:rsidR="00B713C2" w:rsidRPr="00586687">
              <w:rPr>
                <w:bCs/>
                <w:szCs w:val="17"/>
              </w:rPr>
              <w:t xml:space="preserve"> may affect </w:t>
            </w:r>
            <w:r w:rsidR="00EA2565" w:rsidRPr="00586687">
              <w:rPr>
                <w:bCs/>
                <w:szCs w:val="17"/>
              </w:rPr>
              <w:t>insurers</w:t>
            </w:r>
          </w:p>
        </w:tc>
        <w:tc>
          <w:tcPr>
            <w:tcW w:w="1842" w:type="dxa"/>
            <w:shd w:val="clear" w:color="auto" w:fill="auto"/>
            <w:vAlign w:val="center"/>
          </w:tcPr>
          <w:p w14:paraId="552DAEA1" w14:textId="44F04DB4" w:rsidR="008E3302" w:rsidRPr="00586687" w:rsidRDefault="009F5323" w:rsidP="00143694">
            <w:pPr>
              <w:jc w:val="center"/>
              <w:rPr>
                <w:szCs w:val="17"/>
              </w:rPr>
            </w:pPr>
            <w:r w:rsidRPr="00586687">
              <w:rPr>
                <w:bCs/>
                <w:szCs w:val="17"/>
              </w:rPr>
              <w:t>MacManus</w:t>
            </w:r>
          </w:p>
        </w:tc>
        <w:tc>
          <w:tcPr>
            <w:tcW w:w="2127" w:type="dxa"/>
            <w:shd w:val="clear" w:color="auto" w:fill="auto"/>
            <w:vAlign w:val="center"/>
          </w:tcPr>
          <w:p w14:paraId="54912F21" w14:textId="5CD95281" w:rsidR="008E3302" w:rsidRPr="00586687" w:rsidRDefault="00421775" w:rsidP="00143694">
            <w:pPr>
              <w:jc w:val="center"/>
              <w:rPr>
                <w:szCs w:val="17"/>
                <w:highlight w:val="yellow"/>
              </w:rPr>
            </w:pPr>
            <w:r w:rsidRPr="00586687">
              <w:rPr>
                <w:bCs/>
                <w:szCs w:val="17"/>
              </w:rPr>
              <w:t>ORSA</w:t>
            </w:r>
          </w:p>
        </w:tc>
        <w:tc>
          <w:tcPr>
            <w:tcW w:w="1471" w:type="dxa"/>
            <w:shd w:val="clear" w:color="auto" w:fill="auto"/>
            <w:vAlign w:val="center"/>
          </w:tcPr>
          <w:p w14:paraId="60C9DA41" w14:textId="5DD90F8C" w:rsidR="008E3302" w:rsidRPr="00586687" w:rsidRDefault="009F5323"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59C1B162" w14:textId="77777777" w:rsidTr="00A2044B">
        <w:trPr>
          <w:trHeight w:val="494"/>
        </w:trPr>
        <w:tc>
          <w:tcPr>
            <w:tcW w:w="696" w:type="dxa"/>
            <w:shd w:val="clear" w:color="auto" w:fill="auto"/>
            <w:vAlign w:val="center"/>
          </w:tcPr>
          <w:p w14:paraId="7B3BC9FE" w14:textId="47CB28A2" w:rsidR="008E3302" w:rsidRPr="00586687" w:rsidRDefault="00661A14" w:rsidP="00143694">
            <w:pPr>
              <w:jc w:val="center"/>
              <w:rPr>
                <w:szCs w:val="17"/>
              </w:rPr>
            </w:pPr>
            <w:r w:rsidRPr="00586687">
              <w:rPr>
                <w:bCs/>
                <w:szCs w:val="17"/>
              </w:rPr>
              <w:lastRenderedPageBreak/>
              <w:t>484</w:t>
            </w:r>
          </w:p>
        </w:tc>
        <w:tc>
          <w:tcPr>
            <w:tcW w:w="1931" w:type="dxa"/>
            <w:shd w:val="clear" w:color="auto" w:fill="auto"/>
            <w:vAlign w:val="center"/>
          </w:tcPr>
          <w:p w14:paraId="3FC1195F" w14:textId="081BDF69" w:rsidR="008E3302" w:rsidRPr="00412D45" w:rsidRDefault="00661A14" w:rsidP="00143694">
            <w:pPr>
              <w:jc w:val="center"/>
              <w:rPr>
                <w:szCs w:val="17"/>
                <w:lang w:val="fr-FR"/>
              </w:rPr>
            </w:pPr>
            <w:r w:rsidRPr="00412D45">
              <w:rPr>
                <w:bCs/>
                <w:szCs w:val="17"/>
                <w:lang w:val="fr-FR"/>
              </w:rPr>
              <w:t>Article 45 – paragraph 1a – subparagraph 1 – point e</w:t>
            </w:r>
          </w:p>
        </w:tc>
        <w:tc>
          <w:tcPr>
            <w:tcW w:w="6588" w:type="dxa"/>
            <w:shd w:val="clear" w:color="auto" w:fill="auto"/>
          </w:tcPr>
          <w:p w14:paraId="6DF73457" w14:textId="18105096" w:rsidR="008E3302" w:rsidRPr="00586687" w:rsidRDefault="00421775" w:rsidP="00143694">
            <w:pPr>
              <w:jc w:val="left"/>
              <w:rPr>
                <w:szCs w:val="17"/>
              </w:rPr>
            </w:pPr>
            <w:r w:rsidRPr="00586687">
              <w:rPr>
                <w:bCs/>
                <w:szCs w:val="17"/>
              </w:rPr>
              <w:t xml:space="preserve">Editorial: </w:t>
            </w:r>
            <w:r w:rsidR="00AF6ACA" w:rsidRPr="00586687">
              <w:rPr>
                <w:bCs/>
                <w:szCs w:val="17"/>
              </w:rPr>
              <w:t>Added ‘global’ to ‘pandemics’ among factor</w:t>
            </w:r>
            <w:r w:rsidRPr="00586687">
              <w:rPr>
                <w:bCs/>
                <w:szCs w:val="17"/>
              </w:rPr>
              <w:t>s</w:t>
            </w:r>
            <w:r w:rsidR="00AF6ACA" w:rsidRPr="00586687">
              <w:rPr>
                <w:bCs/>
                <w:szCs w:val="17"/>
              </w:rPr>
              <w:t xml:space="preserve"> that may affect </w:t>
            </w:r>
            <w:r w:rsidRPr="00586687">
              <w:rPr>
                <w:bCs/>
                <w:szCs w:val="17"/>
              </w:rPr>
              <w:t>insurers</w:t>
            </w:r>
          </w:p>
        </w:tc>
        <w:tc>
          <w:tcPr>
            <w:tcW w:w="1842" w:type="dxa"/>
            <w:shd w:val="clear" w:color="auto" w:fill="auto"/>
            <w:vAlign w:val="center"/>
          </w:tcPr>
          <w:p w14:paraId="3F9FDDD9" w14:textId="133A973A" w:rsidR="008E3302" w:rsidRPr="00586687" w:rsidRDefault="002A04EB" w:rsidP="00143694">
            <w:pPr>
              <w:jc w:val="center"/>
              <w:rPr>
                <w:szCs w:val="17"/>
              </w:rPr>
            </w:pPr>
            <w:r w:rsidRPr="00586687">
              <w:rPr>
                <w:bCs/>
                <w:szCs w:val="17"/>
              </w:rPr>
              <w:t>Yon-Courtin, Boyer</w:t>
            </w:r>
          </w:p>
        </w:tc>
        <w:tc>
          <w:tcPr>
            <w:tcW w:w="2127" w:type="dxa"/>
            <w:shd w:val="clear" w:color="auto" w:fill="auto"/>
            <w:vAlign w:val="center"/>
          </w:tcPr>
          <w:p w14:paraId="730EAB91" w14:textId="7935BCB9" w:rsidR="008E3302" w:rsidRPr="00586687" w:rsidRDefault="00421775" w:rsidP="00143694">
            <w:pPr>
              <w:jc w:val="center"/>
              <w:rPr>
                <w:szCs w:val="17"/>
                <w:highlight w:val="yellow"/>
              </w:rPr>
            </w:pPr>
            <w:r w:rsidRPr="00586687">
              <w:rPr>
                <w:bCs/>
                <w:szCs w:val="17"/>
              </w:rPr>
              <w:t>Editorial</w:t>
            </w:r>
          </w:p>
        </w:tc>
        <w:tc>
          <w:tcPr>
            <w:tcW w:w="1471" w:type="dxa"/>
            <w:shd w:val="clear" w:color="auto" w:fill="auto"/>
            <w:vAlign w:val="center"/>
          </w:tcPr>
          <w:p w14:paraId="14D8BC6F" w14:textId="49C839DA" w:rsidR="008E3302" w:rsidRPr="00586687" w:rsidRDefault="008E3302" w:rsidP="00143694">
            <w:pPr>
              <w:jc w:val="center"/>
              <w:rPr>
                <w:b/>
                <w:color w:val="808080" w:themeColor="background1" w:themeShade="80"/>
                <w:szCs w:val="17"/>
              </w:rPr>
            </w:pPr>
          </w:p>
        </w:tc>
      </w:tr>
      <w:tr w:rsidR="008E3302" w:rsidRPr="00586687" w14:paraId="369E0DBF" w14:textId="77777777" w:rsidTr="00A2044B">
        <w:trPr>
          <w:trHeight w:val="494"/>
        </w:trPr>
        <w:tc>
          <w:tcPr>
            <w:tcW w:w="696" w:type="dxa"/>
            <w:shd w:val="clear" w:color="auto" w:fill="auto"/>
            <w:vAlign w:val="center"/>
          </w:tcPr>
          <w:p w14:paraId="76BEEC3E" w14:textId="4328718E" w:rsidR="008E3302" w:rsidRPr="00586687" w:rsidRDefault="00913FAA" w:rsidP="00143694">
            <w:pPr>
              <w:jc w:val="center"/>
              <w:rPr>
                <w:szCs w:val="17"/>
              </w:rPr>
            </w:pPr>
            <w:r w:rsidRPr="00586687">
              <w:rPr>
                <w:bCs/>
                <w:szCs w:val="17"/>
              </w:rPr>
              <w:t>485</w:t>
            </w:r>
          </w:p>
        </w:tc>
        <w:tc>
          <w:tcPr>
            <w:tcW w:w="1931" w:type="dxa"/>
            <w:shd w:val="clear" w:color="auto" w:fill="auto"/>
            <w:vAlign w:val="center"/>
          </w:tcPr>
          <w:p w14:paraId="1579F917" w14:textId="7E822F99" w:rsidR="008E3302" w:rsidRPr="00586687" w:rsidRDefault="00FE33FB" w:rsidP="00143694">
            <w:pPr>
              <w:jc w:val="center"/>
              <w:rPr>
                <w:szCs w:val="17"/>
              </w:rPr>
            </w:pPr>
            <w:r w:rsidRPr="00586687">
              <w:rPr>
                <w:bCs/>
                <w:szCs w:val="17"/>
              </w:rPr>
              <w:t>Article 45 – paragraph 1a – subparagraph 2</w:t>
            </w:r>
          </w:p>
        </w:tc>
        <w:tc>
          <w:tcPr>
            <w:tcW w:w="6588" w:type="dxa"/>
            <w:shd w:val="clear" w:color="auto" w:fill="auto"/>
          </w:tcPr>
          <w:p w14:paraId="0355B6DC" w14:textId="6FD523D0" w:rsidR="008E3302" w:rsidRPr="00586687" w:rsidRDefault="002B106F" w:rsidP="00143694">
            <w:pPr>
              <w:jc w:val="left"/>
              <w:rPr>
                <w:szCs w:val="17"/>
              </w:rPr>
            </w:pPr>
            <w:r w:rsidRPr="00586687">
              <w:rPr>
                <w:bCs/>
                <w:szCs w:val="17"/>
              </w:rPr>
              <w:t>Added climate risks</w:t>
            </w:r>
            <w:r w:rsidR="0068131B" w:rsidRPr="00586687">
              <w:rPr>
                <w:bCs/>
                <w:szCs w:val="17"/>
              </w:rPr>
              <w:t xml:space="preserve"> </w:t>
            </w:r>
            <w:r w:rsidR="00845891" w:rsidRPr="00586687">
              <w:rPr>
                <w:bCs/>
                <w:szCs w:val="17"/>
              </w:rPr>
              <w:t>among factor</w:t>
            </w:r>
            <w:r w:rsidR="00041BED" w:rsidRPr="00586687">
              <w:rPr>
                <w:bCs/>
                <w:szCs w:val="17"/>
              </w:rPr>
              <w:t>s</w:t>
            </w:r>
            <w:r w:rsidR="00845891" w:rsidRPr="00586687">
              <w:rPr>
                <w:bCs/>
                <w:szCs w:val="17"/>
              </w:rPr>
              <w:t xml:space="preserve"> </w:t>
            </w:r>
            <w:r w:rsidR="0066280D" w:rsidRPr="00586687">
              <w:t>to be included in macroprudential concerns.</w:t>
            </w:r>
          </w:p>
        </w:tc>
        <w:tc>
          <w:tcPr>
            <w:tcW w:w="1842" w:type="dxa"/>
            <w:shd w:val="clear" w:color="auto" w:fill="auto"/>
            <w:vAlign w:val="center"/>
          </w:tcPr>
          <w:p w14:paraId="0A54BEB0" w14:textId="19E4D24A" w:rsidR="008E3302" w:rsidRPr="00586687" w:rsidRDefault="00913FAA" w:rsidP="00143694">
            <w:pPr>
              <w:jc w:val="center"/>
              <w:rPr>
                <w:szCs w:val="17"/>
              </w:rPr>
            </w:pPr>
            <w:proofErr w:type="spellStart"/>
            <w:r w:rsidRPr="00586687">
              <w:rPr>
                <w:szCs w:val="17"/>
              </w:rPr>
              <w:t>Heinäluoma</w:t>
            </w:r>
            <w:proofErr w:type="spellEnd"/>
            <w:r w:rsidRPr="00586687">
              <w:rPr>
                <w:szCs w:val="17"/>
              </w:rPr>
              <w:t xml:space="preserve">, Tang, </w:t>
            </w:r>
            <w:proofErr w:type="spellStart"/>
            <w:r w:rsidRPr="00586687">
              <w:rPr>
                <w:szCs w:val="17"/>
              </w:rPr>
              <w:t>Lalucq</w:t>
            </w:r>
            <w:proofErr w:type="spellEnd"/>
          </w:p>
        </w:tc>
        <w:tc>
          <w:tcPr>
            <w:tcW w:w="2127" w:type="dxa"/>
            <w:shd w:val="clear" w:color="auto" w:fill="auto"/>
            <w:vAlign w:val="center"/>
          </w:tcPr>
          <w:p w14:paraId="70241238" w14:textId="7B2093C1" w:rsidR="008E3302" w:rsidRPr="00586687" w:rsidRDefault="00B864E6" w:rsidP="00143694">
            <w:pPr>
              <w:jc w:val="center"/>
              <w:rPr>
                <w:szCs w:val="17"/>
              </w:rPr>
            </w:pPr>
            <w:r w:rsidRPr="00586687">
              <w:rPr>
                <w:bCs/>
                <w:szCs w:val="17"/>
              </w:rPr>
              <w:t xml:space="preserve">ORSA/ </w:t>
            </w:r>
            <w:r w:rsidR="00CA4623" w:rsidRPr="00586687">
              <w:rPr>
                <w:bCs/>
                <w:szCs w:val="17"/>
              </w:rPr>
              <w:t>Sustainability</w:t>
            </w:r>
            <w:r w:rsidR="00E26F6F" w:rsidRPr="00586687">
              <w:rPr>
                <w:bCs/>
                <w:szCs w:val="17"/>
              </w:rPr>
              <w:t>/ Macroprudential</w:t>
            </w:r>
          </w:p>
        </w:tc>
        <w:tc>
          <w:tcPr>
            <w:tcW w:w="1471" w:type="dxa"/>
            <w:shd w:val="clear" w:color="auto" w:fill="auto"/>
            <w:vAlign w:val="center"/>
          </w:tcPr>
          <w:p w14:paraId="32DBD599" w14:textId="55D3ECA9" w:rsidR="008E3302" w:rsidRPr="00586687" w:rsidRDefault="0014426E"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439659A4" w14:textId="77777777" w:rsidTr="00A2044B">
        <w:trPr>
          <w:trHeight w:val="494"/>
        </w:trPr>
        <w:tc>
          <w:tcPr>
            <w:tcW w:w="696" w:type="dxa"/>
            <w:shd w:val="clear" w:color="auto" w:fill="auto"/>
            <w:vAlign w:val="center"/>
          </w:tcPr>
          <w:p w14:paraId="688236F2" w14:textId="4BC1F9B3" w:rsidR="008E3302" w:rsidRPr="00586687" w:rsidRDefault="00B97596" w:rsidP="00143694">
            <w:pPr>
              <w:jc w:val="center"/>
              <w:rPr>
                <w:szCs w:val="17"/>
              </w:rPr>
            </w:pPr>
            <w:r w:rsidRPr="00586687">
              <w:rPr>
                <w:bCs/>
                <w:szCs w:val="17"/>
              </w:rPr>
              <w:t>486</w:t>
            </w:r>
            <w:r w:rsidR="00284B27" w:rsidRPr="00586687">
              <w:rPr>
                <w:bCs/>
                <w:szCs w:val="17"/>
              </w:rPr>
              <w:t>-487</w:t>
            </w:r>
            <w:r w:rsidR="002E56DC" w:rsidRPr="00586687">
              <w:rPr>
                <w:bCs/>
                <w:szCs w:val="17"/>
              </w:rPr>
              <w:t>-488</w:t>
            </w:r>
            <w:r w:rsidR="00DC2A98" w:rsidRPr="00586687">
              <w:rPr>
                <w:bCs/>
                <w:szCs w:val="17"/>
              </w:rPr>
              <w:t>-489</w:t>
            </w:r>
          </w:p>
        </w:tc>
        <w:tc>
          <w:tcPr>
            <w:tcW w:w="1931" w:type="dxa"/>
            <w:shd w:val="clear" w:color="auto" w:fill="auto"/>
            <w:vAlign w:val="center"/>
          </w:tcPr>
          <w:p w14:paraId="6682C498" w14:textId="1BDF286B" w:rsidR="008E3302" w:rsidRPr="00586687" w:rsidRDefault="00B97596" w:rsidP="00143694">
            <w:pPr>
              <w:jc w:val="center"/>
              <w:rPr>
                <w:szCs w:val="17"/>
              </w:rPr>
            </w:pPr>
            <w:r w:rsidRPr="00586687">
              <w:rPr>
                <w:bCs/>
                <w:szCs w:val="17"/>
              </w:rPr>
              <w:t>Article 45 – paragraph 2</w:t>
            </w:r>
          </w:p>
        </w:tc>
        <w:tc>
          <w:tcPr>
            <w:tcW w:w="6588" w:type="dxa"/>
            <w:shd w:val="clear" w:color="auto" w:fill="auto"/>
          </w:tcPr>
          <w:p w14:paraId="5B7A3CFF" w14:textId="1EEACE12" w:rsidR="000304D7" w:rsidRPr="00586687" w:rsidRDefault="00400073" w:rsidP="00143694">
            <w:pPr>
              <w:jc w:val="left"/>
              <w:rPr>
                <w:bCs/>
                <w:szCs w:val="17"/>
              </w:rPr>
            </w:pPr>
            <w:r w:rsidRPr="00586687">
              <w:rPr>
                <w:bCs/>
                <w:szCs w:val="17"/>
              </w:rPr>
              <w:t>Added</w:t>
            </w:r>
            <w:r w:rsidR="003D1A8C" w:rsidRPr="00586687">
              <w:rPr>
                <w:bCs/>
                <w:szCs w:val="17"/>
              </w:rPr>
              <w:t xml:space="preserve"> sustainability risks</w:t>
            </w:r>
            <w:r w:rsidR="00145351" w:rsidRPr="00586687">
              <w:rPr>
                <w:bCs/>
                <w:szCs w:val="17"/>
              </w:rPr>
              <w:t xml:space="preserve"> among the risks </w:t>
            </w:r>
            <w:r w:rsidR="001D5742" w:rsidRPr="00586687">
              <w:rPr>
                <w:bCs/>
                <w:szCs w:val="17"/>
              </w:rPr>
              <w:t xml:space="preserve">for which insurers shall have processes in place to identify </w:t>
            </w:r>
            <w:r w:rsidR="00E94183" w:rsidRPr="00586687">
              <w:rPr>
                <w:bCs/>
                <w:szCs w:val="17"/>
              </w:rPr>
              <w:t>and assess these risks</w:t>
            </w:r>
          </w:p>
          <w:p w14:paraId="41BCDD86" w14:textId="4A780B54" w:rsidR="008E3302" w:rsidRPr="00586687" w:rsidRDefault="008E3302" w:rsidP="00143694">
            <w:pPr>
              <w:jc w:val="left"/>
              <w:rPr>
                <w:szCs w:val="17"/>
              </w:rPr>
            </w:pPr>
          </w:p>
        </w:tc>
        <w:tc>
          <w:tcPr>
            <w:tcW w:w="1842" w:type="dxa"/>
            <w:shd w:val="clear" w:color="auto" w:fill="auto"/>
            <w:vAlign w:val="center"/>
          </w:tcPr>
          <w:p w14:paraId="058B4383" w14:textId="5C74F820" w:rsidR="008E3302" w:rsidRPr="00586687" w:rsidRDefault="0054283E" w:rsidP="00143694">
            <w:pPr>
              <w:jc w:val="center"/>
              <w:rPr>
                <w:szCs w:val="17"/>
              </w:rPr>
            </w:pPr>
            <w:proofErr w:type="spellStart"/>
            <w:r w:rsidRPr="00586687">
              <w:rPr>
                <w:bCs/>
                <w:szCs w:val="17"/>
              </w:rPr>
              <w:t>Lalucq</w:t>
            </w:r>
            <w:proofErr w:type="spellEnd"/>
            <w:r w:rsidR="00284B27" w:rsidRPr="00586687">
              <w:rPr>
                <w:bCs/>
                <w:szCs w:val="17"/>
              </w:rPr>
              <w:t>/</w:t>
            </w:r>
            <w:r w:rsidR="00284B27" w:rsidRPr="00586687">
              <w:t xml:space="preserve"> Hahn</w:t>
            </w:r>
            <w:r w:rsidR="000178D5" w:rsidRPr="00586687">
              <w:t>/ MacManus</w:t>
            </w:r>
            <w:r w:rsidR="00495CD0" w:rsidRPr="00586687">
              <w:t xml:space="preserve">/ </w:t>
            </w:r>
            <w:proofErr w:type="spellStart"/>
            <w:r w:rsidR="00495CD0" w:rsidRPr="00586687">
              <w:t>Heinäluoma</w:t>
            </w:r>
            <w:proofErr w:type="spellEnd"/>
            <w:r w:rsidR="00495CD0" w:rsidRPr="00586687">
              <w:t xml:space="preserve">, Tang, </w:t>
            </w:r>
            <w:proofErr w:type="spellStart"/>
            <w:r w:rsidR="00495CD0" w:rsidRPr="00586687">
              <w:t>Lalucq</w:t>
            </w:r>
            <w:proofErr w:type="spellEnd"/>
          </w:p>
        </w:tc>
        <w:tc>
          <w:tcPr>
            <w:tcW w:w="2127" w:type="dxa"/>
            <w:shd w:val="clear" w:color="auto" w:fill="auto"/>
            <w:vAlign w:val="center"/>
          </w:tcPr>
          <w:p w14:paraId="4AA9A64C" w14:textId="241768E1" w:rsidR="008E3302" w:rsidRPr="00586687" w:rsidRDefault="00B864E6" w:rsidP="00143694">
            <w:pPr>
              <w:jc w:val="center"/>
              <w:rPr>
                <w:szCs w:val="17"/>
                <w:highlight w:val="yellow"/>
              </w:rPr>
            </w:pPr>
            <w:r w:rsidRPr="00586687">
              <w:rPr>
                <w:bCs/>
                <w:szCs w:val="17"/>
              </w:rPr>
              <w:t xml:space="preserve">ORSA/ </w:t>
            </w:r>
            <w:r w:rsidR="00CA4623" w:rsidRPr="00586687">
              <w:rPr>
                <w:bCs/>
                <w:szCs w:val="17"/>
              </w:rPr>
              <w:t>Sustainability</w:t>
            </w:r>
          </w:p>
        </w:tc>
        <w:tc>
          <w:tcPr>
            <w:tcW w:w="1471" w:type="dxa"/>
            <w:shd w:val="clear" w:color="auto" w:fill="auto"/>
            <w:vAlign w:val="center"/>
          </w:tcPr>
          <w:p w14:paraId="695D83CE" w14:textId="559F12A2" w:rsidR="008E3302" w:rsidRPr="00586687" w:rsidRDefault="0054283E" w:rsidP="00143694">
            <w:pPr>
              <w:jc w:val="center"/>
              <w:rPr>
                <w:b/>
                <w:color w:val="808080" w:themeColor="background1" w:themeShade="80"/>
                <w:szCs w:val="17"/>
              </w:rPr>
            </w:pPr>
            <w:r w:rsidRPr="00586687">
              <w:rPr>
                <w:b/>
                <w:color w:val="808080" w:themeColor="background1" w:themeShade="80"/>
                <w:szCs w:val="17"/>
              </w:rPr>
              <w:t>Neutral</w:t>
            </w:r>
          </w:p>
        </w:tc>
      </w:tr>
      <w:tr w:rsidR="009E48F2" w:rsidRPr="00586687" w14:paraId="7937F393" w14:textId="77777777" w:rsidTr="00A2044B">
        <w:trPr>
          <w:trHeight w:val="494"/>
        </w:trPr>
        <w:tc>
          <w:tcPr>
            <w:tcW w:w="696" w:type="dxa"/>
            <w:shd w:val="clear" w:color="auto" w:fill="auto"/>
            <w:vAlign w:val="center"/>
          </w:tcPr>
          <w:p w14:paraId="27563F24" w14:textId="78910FFF" w:rsidR="009E48F2" w:rsidRPr="00586687" w:rsidRDefault="003D003D" w:rsidP="00143694">
            <w:pPr>
              <w:jc w:val="center"/>
              <w:rPr>
                <w:bCs/>
                <w:szCs w:val="17"/>
              </w:rPr>
            </w:pPr>
            <w:r w:rsidRPr="00586687">
              <w:rPr>
                <w:bCs/>
                <w:szCs w:val="17"/>
              </w:rPr>
              <w:t>490</w:t>
            </w:r>
          </w:p>
        </w:tc>
        <w:tc>
          <w:tcPr>
            <w:tcW w:w="1931" w:type="dxa"/>
            <w:shd w:val="clear" w:color="auto" w:fill="auto"/>
            <w:vAlign w:val="center"/>
          </w:tcPr>
          <w:p w14:paraId="32C102AC" w14:textId="58237B5C" w:rsidR="009E48F2" w:rsidRPr="00586687" w:rsidRDefault="003D003D" w:rsidP="00143694">
            <w:pPr>
              <w:jc w:val="center"/>
              <w:rPr>
                <w:bCs/>
                <w:szCs w:val="17"/>
              </w:rPr>
            </w:pPr>
            <w:r w:rsidRPr="00586687">
              <w:rPr>
                <w:bCs/>
                <w:szCs w:val="17"/>
              </w:rPr>
              <w:t>Article 45 – paragraph 4</w:t>
            </w:r>
          </w:p>
        </w:tc>
        <w:tc>
          <w:tcPr>
            <w:tcW w:w="6588" w:type="dxa"/>
            <w:shd w:val="clear" w:color="auto" w:fill="auto"/>
          </w:tcPr>
          <w:p w14:paraId="31905BF9" w14:textId="7113A4E5" w:rsidR="009E48F2" w:rsidRPr="00586687" w:rsidRDefault="00B066DA" w:rsidP="00143694">
            <w:pPr>
              <w:jc w:val="left"/>
              <w:rPr>
                <w:bCs/>
                <w:szCs w:val="17"/>
              </w:rPr>
            </w:pPr>
            <w:r w:rsidRPr="00586687">
              <w:rPr>
                <w:bCs/>
                <w:szCs w:val="17"/>
              </w:rPr>
              <w:t>U</w:t>
            </w:r>
            <w:r w:rsidR="00DE4A0F" w:rsidRPr="00586687">
              <w:rPr>
                <w:bCs/>
                <w:szCs w:val="17"/>
              </w:rPr>
              <w:t>ndertakings shall take all necessary measures to ensure that they appropriately manage and address all material risks identified, including climate change risks in own-risk and solvency assessment.</w:t>
            </w:r>
          </w:p>
        </w:tc>
        <w:tc>
          <w:tcPr>
            <w:tcW w:w="1842" w:type="dxa"/>
            <w:shd w:val="clear" w:color="auto" w:fill="auto"/>
            <w:vAlign w:val="center"/>
          </w:tcPr>
          <w:p w14:paraId="0A2530FC" w14:textId="13749D50" w:rsidR="009E48F2" w:rsidRPr="00586687" w:rsidRDefault="00416CFC" w:rsidP="00143694">
            <w:pPr>
              <w:jc w:val="center"/>
              <w:rPr>
                <w:bCs/>
                <w:szCs w:val="17"/>
              </w:rPr>
            </w:pPr>
            <w:r w:rsidRPr="00586687">
              <w:rPr>
                <w:bCs/>
                <w:szCs w:val="17"/>
              </w:rPr>
              <w:t xml:space="preserve">Yon-Courtin, Boyer, </w:t>
            </w:r>
            <w:proofErr w:type="spellStart"/>
            <w:r w:rsidRPr="00586687">
              <w:rPr>
                <w:bCs/>
                <w:szCs w:val="17"/>
              </w:rPr>
              <w:t>Canfin</w:t>
            </w:r>
            <w:proofErr w:type="spellEnd"/>
          </w:p>
        </w:tc>
        <w:tc>
          <w:tcPr>
            <w:tcW w:w="2127" w:type="dxa"/>
            <w:shd w:val="clear" w:color="auto" w:fill="auto"/>
            <w:vAlign w:val="center"/>
          </w:tcPr>
          <w:p w14:paraId="4FD4D8A3" w14:textId="17661C49" w:rsidR="009E48F2" w:rsidRPr="00586687" w:rsidRDefault="00B864E6" w:rsidP="00143694">
            <w:pPr>
              <w:jc w:val="center"/>
              <w:rPr>
                <w:bCs/>
                <w:szCs w:val="17"/>
                <w:highlight w:val="yellow"/>
              </w:rPr>
            </w:pPr>
            <w:r w:rsidRPr="00586687">
              <w:rPr>
                <w:bCs/>
                <w:szCs w:val="17"/>
              </w:rPr>
              <w:t xml:space="preserve">ORSA/ </w:t>
            </w:r>
            <w:r w:rsidR="00CA4623" w:rsidRPr="00586687">
              <w:rPr>
                <w:bCs/>
                <w:szCs w:val="17"/>
              </w:rPr>
              <w:t>Sustainability</w:t>
            </w:r>
          </w:p>
        </w:tc>
        <w:tc>
          <w:tcPr>
            <w:tcW w:w="1471" w:type="dxa"/>
            <w:shd w:val="clear" w:color="auto" w:fill="auto"/>
            <w:vAlign w:val="center"/>
          </w:tcPr>
          <w:p w14:paraId="3387BBAF" w14:textId="48166DCD" w:rsidR="009E48F2" w:rsidRPr="00586687" w:rsidRDefault="00416CFC" w:rsidP="00143694">
            <w:pPr>
              <w:jc w:val="center"/>
              <w:rPr>
                <w:b/>
                <w:color w:val="808080" w:themeColor="background1" w:themeShade="80"/>
                <w:szCs w:val="17"/>
              </w:rPr>
            </w:pPr>
            <w:r w:rsidRPr="00586687">
              <w:rPr>
                <w:b/>
                <w:color w:val="808080" w:themeColor="background1" w:themeShade="80"/>
                <w:szCs w:val="17"/>
              </w:rPr>
              <w:t>Neutral</w:t>
            </w:r>
          </w:p>
        </w:tc>
      </w:tr>
      <w:tr w:rsidR="009E48F2" w:rsidRPr="00586687" w14:paraId="3F1A3EA4" w14:textId="77777777" w:rsidTr="00A2044B">
        <w:trPr>
          <w:trHeight w:val="494"/>
        </w:trPr>
        <w:tc>
          <w:tcPr>
            <w:tcW w:w="696" w:type="dxa"/>
            <w:shd w:val="clear" w:color="auto" w:fill="auto"/>
            <w:vAlign w:val="center"/>
          </w:tcPr>
          <w:p w14:paraId="728847C9" w14:textId="582A0DA8" w:rsidR="009E48F2" w:rsidRPr="00586687" w:rsidRDefault="00DE4A0F" w:rsidP="00143694">
            <w:pPr>
              <w:jc w:val="center"/>
              <w:rPr>
                <w:bCs/>
                <w:szCs w:val="17"/>
              </w:rPr>
            </w:pPr>
            <w:r w:rsidRPr="00586687">
              <w:rPr>
                <w:bCs/>
                <w:szCs w:val="17"/>
              </w:rPr>
              <w:t>491</w:t>
            </w:r>
          </w:p>
        </w:tc>
        <w:tc>
          <w:tcPr>
            <w:tcW w:w="1931" w:type="dxa"/>
            <w:shd w:val="clear" w:color="auto" w:fill="auto"/>
            <w:vAlign w:val="center"/>
          </w:tcPr>
          <w:p w14:paraId="7136CDBF" w14:textId="2622E157" w:rsidR="009E48F2" w:rsidRPr="00586687" w:rsidRDefault="00183891" w:rsidP="00143694">
            <w:pPr>
              <w:jc w:val="center"/>
              <w:rPr>
                <w:bCs/>
                <w:szCs w:val="17"/>
              </w:rPr>
            </w:pPr>
            <w:r w:rsidRPr="00586687">
              <w:t>Article 45 – paragraph 8</w:t>
            </w:r>
          </w:p>
        </w:tc>
        <w:tc>
          <w:tcPr>
            <w:tcW w:w="6588" w:type="dxa"/>
            <w:shd w:val="clear" w:color="auto" w:fill="auto"/>
          </w:tcPr>
          <w:p w14:paraId="5E800F99" w14:textId="4269F76C" w:rsidR="00C20D9E" w:rsidRPr="00586687" w:rsidRDefault="00696ABA" w:rsidP="00143694">
            <w:pPr>
              <w:jc w:val="left"/>
              <w:rPr>
                <w:bCs/>
                <w:szCs w:val="17"/>
              </w:rPr>
            </w:pPr>
            <w:r w:rsidRPr="00586687">
              <w:rPr>
                <w:bCs/>
                <w:szCs w:val="17"/>
              </w:rPr>
              <w:t>MS</w:t>
            </w:r>
            <w:r w:rsidR="00EB15B2" w:rsidRPr="00586687">
              <w:rPr>
                <w:bCs/>
                <w:szCs w:val="17"/>
              </w:rPr>
              <w:t xml:space="preserve"> shall ensure that </w:t>
            </w:r>
            <w:r w:rsidR="009E4A56" w:rsidRPr="00586687">
              <w:rPr>
                <w:bCs/>
                <w:szCs w:val="17"/>
              </w:rPr>
              <w:t>NSAs</w:t>
            </w:r>
            <w:r w:rsidR="00EB15B2" w:rsidRPr="00586687">
              <w:rPr>
                <w:bCs/>
                <w:szCs w:val="17"/>
              </w:rPr>
              <w:t xml:space="preserve"> share ‘in due course’ the findings of their macroprudential assessments of the </w:t>
            </w:r>
            <w:r w:rsidRPr="00586687">
              <w:rPr>
                <w:bCs/>
                <w:szCs w:val="17"/>
              </w:rPr>
              <w:t>ORSA</w:t>
            </w:r>
          </w:p>
        </w:tc>
        <w:tc>
          <w:tcPr>
            <w:tcW w:w="1842" w:type="dxa"/>
            <w:shd w:val="clear" w:color="auto" w:fill="auto"/>
            <w:vAlign w:val="center"/>
          </w:tcPr>
          <w:p w14:paraId="71E33A1E" w14:textId="3EE6A1D1" w:rsidR="009E48F2" w:rsidRPr="00586687" w:rsidRDefault="00E80182" w:rsidP="00143694">
            <w:pPr>
              <w:jc w:val="center"/>
              <w:rPr>
                <w:bCs/>
                <w:szCs w:val="17"/>
              </w:rPr>
            </w:pPr>
            <w:r w:rsidRPr="00586687">
              <w:rPr>
                <w:bCs/>
                <w:szCs w:val="17"/>
              </w:rPr>
              <w:t>Yon-Courtin, Boyer</w:t>
            </w:r>
          </w:p>
        </w:tc>
        <w:tc>
          <w:tcPr>
            <w:tcW w:w="2127" w:type="dxa"/>
            <w:shd w:val="clear" w:color="auto" w:fill="auto"/>
            <w:vAlign w:val="center"/>
          </w:tcPr>
          <w:p w14:paraId="3539936D" w14:textId="68C49433" w:rsidR="009E48F2" w:rsidRPr="00586687" w:rsidRDefault="00B864E6" w:rsidP="00143694">
            <w:pPr>
              <w:jc w:val="center"/>
              <w:rPr>
                <w:bCs/>
                <w:szCs w:val="17"/>
              </w:rPr>
            </w:pPr>
            <w:r w:rsidRPr="00586687">
              <w:rPr>
                <w:bCs/>
                <w:szCs w:val="17"/>
              </w:rPr>
              <w:t xml:space="preserve">ORSA/ </w:t>
            </w:r>
            <w:proofErr w:type="spellStart"/>
            <w:r w:rsidR="004B3C5A">
              <w:rPr>
                <w:bCs/>
                <w:szCs w:val="17"/>
              </w:rPr>
              <w:t>Macropru</w:t>
            </w:r>
            <w:proofErr w:type="spellEnd"/>
          </w:p>
        </w:tc>
        <w:tc>
          <w:tcPr>
            <w:tcW w:w="1471" w:type="dxa"/>
            <w:shd w:val="clear" w:color="auto" w:fill="auto"/>
            <w:vAlign w:val="center"/>
          </w:tcPr>
          <w:p w14:paraId="7CD98041" w14:textId="7E466070" w:rsidR="009E48F2" w:rsidRPr="00586687" w:rsidRDefault="00E80182" w:rsidP="00143694">
            <w:pPr>
              <w:jc w:val="center"/>
              <w:rPr>
                <w:b/>
                <w:color w:val="808080" w:themeColor="background1" w:themeShade="80"/>
                <w:szCs w:val="17"/>
              </w:rPr>
            </w:pPr>
            <w:r w:rsidRPr="00586687">
              <w:rPr>
                <w:b/>
                <w:color w:val="808080" w:themeColor="background1" w:themeShade="80"/>
                <w:szCs w:val="17"/>
              </w:rPr>
              <w:t>Neutral</w:t>
            </w:r>
          </w:p>
        </w:tc>
      </w:tr>
      <w:tr w:rsidR="009E48F2" w:rsidRPr="00586687" w14:paraId="3EC25BC0" w14:textId="77777777" w:rsidTr="00A2044B">
        <w:trPr>
          <w:trHeight w:val="494"/>
        </w:trPr>
        <w:tc>
          <w:tcPr>
            <w:tcW w:w="696" w:type="dxa"/>
            <w:shd w:val="clear" w:color="auto" w:fill="auto"/>
            <w:vAlign w:val="center"/>
          </w:tcPr>
          <w:p w14:paraId="6CE1EB53" w14:textId="19F5D5B6" w:rsidR="009E48F2" w:rsidRPr="00586687" w:rsidRDefault="00621527" w:rsidP="00143694">
            <w:pPr>
              <w:jc w:val="center"/>
              <w:rPr>
                <w:bCs/>
                <w:szCs w:val="17"/>
              </w:rPr>
            </w:pPr>
            <w:r w:rsidRPr="00586687">
              <w:rPr>
                <w:bCs/>
                <w:szCs w:val="17"/>
              </w:rPr>
              <w:t>492</w:t>
            </w:r>
          </w:p>
        </w:tc>
        <w:tc>
          <w:tcPr>
            <w:tcW w:w="1931" w:type="dxa"/>
            <w:shd w:val="clear" w:color="auto" w:fill="auto"/>
            <w:vAlign w:val="center"/>
          </w:tcPr>
          <w:p w14:paraId="320DAF83" w14:textId="64FC189E" w:rsidR="009E48F2" w:rsidRPr="00586687" w:rsidRDefault="00621527" w:rsidP="00143694">
            <w:pPr>
              <w:jc w:val="center"/>
              <w:rPr>
                <w:bCs/>
                <w:szCs w:val="17"/>
              </w:rPr>
            </w:pPr>
            <w:r w:rsidRPr="00586687">
              <w:rPr>
                <w:bCs/>
                <w:szCs w:val="17"/>
              </w:rPr>
              <w:t>Article 45a</w:t>
            </w:r>
          </w:p>
        </w:tc>
        <w:tc>
          <w:tcPr>
            <w:tcW w:w="6588" w:type="dxa"/>
            <w:shd w:val="clear" w:color="auto" w:fill="auto"/>
          </w:tcPr>
          <w:p w14:paraId="5212FED8" w14:textId="7973D039" w:rsidR="00472633" w:rsidRPr="00586687" w:rsidRDefault="006170BF" w:rsidP="00143694">
            <w:pPr>
              <w:jc w:val="left"/>
              <w:rPr>
                <w:bCs/>
                <w:szCs w:val="17"/>
              </w:rPr>
            </w:pPr>
            <w:r w:rsidRPr="00586687">
              <w:rPr>
                <w:bCs/>
                <w:szCs w:val="17"/>
              </w:rPr>
              <w:t xml:space="preserve">Deleted Article 45a </w:t>
            </w:r>
            <w:r w:rsidR="00D32D07" w:rsidRPr="00586687">
              <w:rPr>
                <w:bCs/>
                <w:szCs w:val="17"/>
              </w:rPr>
              <w:t>‘</w:t>
            </w:r>
            <w:r w:rsidRPr="00586687">
              <w:rPr>
                <w:bCs/>
                <w:szCs w:val="17"/>
              </w:rPr>
              <w:t>Climate change scenario analysis</w:t>
            </w:r>
            <w:r w:rsidR="00D32D07" w:rsidRPr="00586687">
              <w:rPr>
                <w:bCs/>
                <w:szCs w:val="17"/>
              </w:rPr>
              <w:t>’</w:t>
            </w:r>
          </w:p>
        </w:tc>
        <w:tc>
          <w:tcPr>
            <w:tcW w:w="1842" w:type="dxa"/>
            <w:shd w:val="clear" w:color="auto" w:fill="auto"/>
            <w:vAlign w:val="center"/>
          </w:tcPr>
          <w:p w14:paraId="3DC77E88" w14:textId="56A9FA5C" w:rsidR="009E48F2" w:rsidRPr="00586687" w:rsidRDefault="00C44D07" w:rsidP="00143694">
            <w:pPr>
              <w:jc w:val="center"/>
              <w:rPr>
                <w:szCs w:val="17"/>
              </w:rPr>
            </w:pPr>
            <w:proofErr w:type="spellStart"/>
            <w:r w:rsidRPr="00586687">
              <w:rPr>
                <w:szCs w:val="17"/>
              </w:rPr>
              <w:t>Zanni</w:t>
            </w:r>
            <w:proofErr w:type="spellEnd"/>
            <w:r w:rsidRPr="00586687">
              <w:rPr>
                <w:szCs w:val="17"/>
              </w:rPr>
              <w:t>, Grant, Rinaldi</w:t>
            </w:r>
          </w:p>
        </w:tc>
        <w:tc>
          <w:tcPr>
            <w:tcW w:w="2127" w:type="dxa"/>
            <w:shd w:val="clear" w:color="auto" w:fill="auto"/>
            <w:vAlign w:val="center"/>
          </w:tcPr>
          <w:p w14:paraId="294E0DFC" w14:textId="4E1D9BDE" w:rsidR="009E48F2" w:rsidRPr="00586687" w:rsidRDefault="00CA4623" w:rsidP="00143694">
            <w:pPr>
              <w:jc w:val="center"/>
              <w:rPr>
                <w:bCs/>
                <w:szCs w:val="17"/>
              </w:rPr>
            </w:pPr>
            <w:r w:rsidRPr="00586687">
              <w:rPr>
                <w:bCs/>
                <w:szCs w:val="17"/>
              </w:rPr>
              <w:t>Sustainability</w:t>
            </w:r>
          </w:p>
        </w:tc>
        <w:tc>
          <w:tcPr>
            <w:tcW w:w="1471" w:type="dxa"/>
            <w:shd w:val="clear" w:color="auto" w:fill="auto"/>
            <w:vAlign w:val="center"/>
          </w:tcPr>
          <w:p w14:paraId="327B4993" w14:textId="2C5A90D0" w:rsidR="009E48F2" w:rsidRPr="00586687" w:rsidRDefault="00621527" w:rsidP="00143694">
            <w:pPr>
              <w:jc w:val="center"/>
              <w:rPr>
                <w:b/>
                <w:color w:val="808080" w:themeColor="background1" w:themeShade="80"/>
                <w:szCs w:val="17"/>
              </w:rPr>
            </w:pPr>
            <w:r w:rsidRPr="00586687">
              <w:rPr>
                <w:b/>
                <w:color w:val="808080" w:themeColor="background1" w:themeShade="80"/>
                <w:szCs w:val="17"/>
              </w:rPr>
              <w:t>Neutral</w:t>
            </w:r>
          </w:p>
        </w:tc>
      </w:tr>
      <w:tr w:rsidR="00CA4623" w:rsidRPr="00586687" w14:paraId="7DDD2141" w14:textId="77777777" w:rsidTr="00A2044B">
        <w:trPr>
          <w:trHeight w:val="494"/>
        </w:trPr>
        <w:tc>
          <w:tcPr>
            <w:tcW w:w="696" w:type="dxa"/>
            <w:shd w:val="clear" w:color="auto" w:fill="auto"/>
            <w:vAlign w:val="center"/>
          </w:tcPr>
          <w:p w14:paraId="4146BC4D" w14:textId="269CC139" w:rsidR="00CA4623" w:rsidRPr="00586687" w:rsidRDefault="00CA4623" w:rsidP="00143694">
            <w:pPr>
              <w:jc w:val="center"/>
              <w:rPr>
                <w:bCs/>
                <w:szCs w:val="17"/>
              </w:rPr>
            </w:pPr>
            <w:r w:rsidRPr="00586687">
              <w:rPr>
                <w:bCs/>
                <w:szCs w:val="17"/>
              </w:rPr>
              <w:t>493</w:t>
            </w:r>
          </w:p>
        </w:tc>
        <w:tc>
          <w:tcPr>
            <w:tcW w:w="1931" w:type="dxa"/>
            <w:shd w:val="clear" w:color="auto" w:fill="auto"/>
            <w:vAlign w:val="center"/>
          </w:tcPr>
          <w:p w14:paraId="51B2B0DC" w14:textId="2902E8B7" w:rsidR="00CA4623" w:rsidRPr="00586687" w:rsidRDefault="00CA4623" w:rsidP="00143694">
            <w:pPr>
              <w:jc w:val="center"/>
              <w:rPr>
                <w:bCs/>
                <w:szCs w:val="17"/>
              </w:rPr>
            </w:pPr>
            <w:r w:rsidRPr="00586687">
              <w:rPr>
                <w:bCs/>
                <w:szCs w:val="17"/>
              </w:rPr>
              <w:t>Article 45a – paragraph 1</w:t>
            </w:r>
          </w:p>
        </w:tc>
        <w:tc>
          <w:tcPr>
            <w:tcW w:w="6588" w:type="dxa"/>
            <w:shd w:val="clear" w:color="auto" w:fill="auto"/>
          </w:tcPr>
          <w:p w14:paraId="4F37CE6C" w14:textId="73F99E98" w:rsidR="00CA4623" w:rsidRPr="00586687" w:rsidRDefault="00CA4623" w:rsidP="00143694">
            <w:pPr>
              <w:jc w:val="left"/>
              <w:rPr>
                <w:bCs/>
                <w:szCs w:val="17"/>
              </w:rPr>
            </w:pPr>
            <w:r w:rsidRPr="00586687">
              <w:rPr>
                <w:bCs/>
                <w:szCs w:val="17"/>
              </w:rPr>
              <w:t>All insurers shall specify at least three long-term climate scenarios (no assessment on materiality)</w:t>
            </w:r>
          </w:p>
        </w:tc>
        <w:tc>
          <w:tcPr>
            <w:tcW w:w="1842" w:type="dxa"/>
            <w:shd w:val="clear" w:color="auto" w:fill="auto"/>
            <w:vAlign w:val="center"/>
          </w:tcPr>
          <w:p w14:paraId="2AF6F1A8" w14:textId="13E98DA1" w:rsidR="00CA4623" w:rsidRPr="00586687" w:rsidRDefault="00CA4623" w:rsidP="00143694">
            <w:pPr>
              <w:jc w:val="center"/>
              <w:rPr>
                <w:bCs/>
                <w:szCs w:val="17"/>
              </w:rPr>
            </w:pPr>
            <w:r w:rsidRPr="00586687">
              <w:rPr>
                <w:bCs/>
                <w:szCs w:val="17"/>
              </w:rPr>
              <w:t>MacManus</w:t>
            </w:r>
          </w:p>
        </w:tc>
        <w:tc>
          <w:tcPr>
            <w:tcW w:w="2127" w:type="dxa"/>
            <w:shd w:val="clear" w:color="auto" w:fill="auto"/>
            <w:vAlign w:val="center"/>
          </w:tcPr>
          <w:p w14:paraId="5EA18D80" w14:textId="3C1A055D" w:rsidR="00CA4623" w:rsidRPr="00586687" w:rsidRDefault="00CA4623" w:rsidP="00143694">
            <w:pPr>
              <w:jc w:val="center"/>
              <w:rPr>
                <w:bCs/>
                <w:szCs w:val="17"/>
              </w:rPr>
            </w:pPr>
            <w:r w:rsidRPr="00586687">
              <w:rPr>
                <w:bCs/>
                <w:szCs w:val="17"/>
              </w:rPr>
              <w:t>Sustainability</w:t>
            </w:r>
          </w:p>
        </w:tc>
        <w:tc>
          <w:tcPr>
            <w:tcW w:w="1471" w:type="dxa"/>
            <w:shd w:val="clear" w:color="auto" w:fill="auto"/>
            <w:vAlign w:val="center"/>
          </w:tcPr>
          <w:p w14:paraId="76BE4EAC" w14:textId="094E6B13" w:rsidR="00CA4623" w:rsidRPr="00586687" w:rsidRDefault="00CA4623" w:rsidP="00143694">
            <w:pPr>
              <w:jc w:val="center"/>
              <w:rPr>
                <w:b/>
                <w:color w:val="808080" w:themeColor="background1" w:themeShade="80"/>
                <w:szCs w:val="17"/>
              </w:rPr>
            </w:pPr>
            <w:r w:rsidRPr="00586687">
              <w:rPr>
                <w:b/>
                <w:color w:val="808080" w:themeColor="background1" w:themeShade="80"/>
                <w:szCs w:val="17"/>
              </w:rPr>
              <w:t>Neutral</w:t>
            </w:r>
          </w:p>
        </w:tc>
      </w:tr>
      <w:tr w:rsidR="00CA4623" w:rsidRPr="00586687" w14:paraId="1C104F10" w14:textId="77777777" w:rsidTr="00A2044B">
        <w:trPr>
          <w:trHeight w:val="494"/>
        </w:trPr>
        <w:tc>
          <w:tcPr>
            <w:tcW w:w="696" w:type="dxa"/>
            <w:shd w:val="clear" w:color="auto" w:fill="auto"/>
            <w:vAlign w:val="center"/>
          </w:tcPr>
          <w:p w14:paraId="2751B5B9" w14:textId="34404B7C" w:rsidR="00CA4623" w:rsidRPr="00586687" w:rsidRDefault="00CA4623" w:rsidP="00143694">
            <w:pPr>
              <w:jc w:val="center"/>
              <w:rPr>
                <w:bCs/>
                <w:szCs w:val="17"/>
              </w:rPr>
            </w:pPr>
            <w:r w:rsidRPr="00586687">
              <w:rPr>
                <w:bCs/>
                <w:szCs w:val="17"/>
              </w:rPr>
              <w:t>494</w:t>
            </w:r>
          </w:p>
        </w:tc>
        <w:tc>
          <w:tcPr>
            <w:tcW w:w="1931" w:type="dxa"/>
            <w:shd w:val="clear" w:color="auto" w:fill="auto"/>
            <w:vAlign w:val="center"/>
          </w:tcPr>
          <w:p w14:paraId="04B53E78" w14:textId="76ECB17B" w:rsidR="00CA4623" w:rsidRPr="00586687" w:rsidRDefault="00CA4623" w:rsidP="00143694">
            <w:pPr>
              <w:jc w:val="center"/>
              <w:rPr>
                <w:bCs/>
                <w:szCs w:val="17"/>
              </w:rPr>
            </w:pPr>
            <w:r w:rsidRPr="00586687">
              <w:rPr>
                <w:bCs/>
                <w:szCs w:val="17"/>
              </w:rPr>
              <w:t>Article 45a – paragraph 1</w:t>
            </w:r>
          </w:p>
        </w:tc>
        <w:tc>
          <w:tcPr>
            <w:tcW w:w="6588" w:type="dxa"/>
            <w:shd w:val="clear" w:color="auto" w:fill="auto"/>
          </w:tcPr>
          <w:p w14:paraId="382A4747" w14:textId="3FF2BBAE" w:rsidR="00CA4623" w:rsidRPr="00586687" w:rsidRDefault="00CA4623" w:rsidP="00143694">
            <w:pPr>
              <w:jc w:val="left"/>
              <w:rPr>
                <w:bCs/>
                <w:szCs w:val="17"/>
              </w:rPr>
            </w:pPr>
            <w:r w:rsidRPr="00586687">
              <w:rPr>
                <w:bCs/>
                <w:szCs w:val="17"/>
              </w:rPr>
              <w:t>All insurers shall assess their exposure to climate risks (removed reference to materiality assessment)</w:t>
            </w:r>
          </w:p>
        </w:tc>
        <w:tc>
          <w:tcPr>
            <w:tcW w:w="1842" w:type="dxa"/>
            <w:shd w:val="clear" w:color="auto" w:fill="auto"/>
            <w:vAlign w:val="center"/>
          </w:tcPr>
          <w:p w14:paraId="48FD45C9" w14:textId="43AB4944" w:rsidR="00CA4623" w:rsidRPr="00586687" w:rsidRDefault="00CA4623" w:rsidP="00143694">
            <w:pPr>
              <w:jc w:val="center"/>
              <w:rPr>
                <w:bCs/>
                <w:szCs w:val="17"/>
              </w:rPr>
            </w:pPr>
            <w:r w:rsidRPr="00586687">
              <w:rPr>
                <w:bCs/>
                <w:szCs w:val="17"/>
              </w:rPr>
              <w:t>Hahn</w:t>
            </w:r>
          </w:p>
        </w:tc>
        <w:tc>
          <w:tcPr>
            <w:tcW w:w="2127" w:type="dxa"/>
            <w:shd w:val="clear" w:color="auto" w:fill="auto"/>
            <w:vAlign w:val="center"/>
          </w:tcPr>
          <w:p w14:paraId="376B0570" w14:textId="0E3984C9" w:rsidR="00CA4623" w:rsidRPr="00586687" w:rsidRDefault="00CA4623" w:rsidP="00143694">
            <w:pPr>
              <w:jc w:val="center"/>
              <w:rPr>
                <w:bCs/>
                <w:szCs w:val="17"/>
              </w:rPr>
            </w:pPr>
            <w:r w:rsidRPr="00586687">
              <w:rPr>
                <w:bCs/>
                <w:szCs w:val="17"/>
              </w:rPr>
              <w:t>Sustainability</w:t>
            </w:r>
          </w:p>
        </w:tc>
        <w:tc>
          <w:tcPr>
            <w:tcW w:w="1471" w:type="dxa"/>
            <w:shd w:val="clear" w:color="auto" w:fill="auto"/>
            <w:vAlign w:val="center"/>
          </w:tcPr>
          <w:p w14:paraId="1FBC763A" w14:textId="76B56481" w:rsidR="00CA4623" w:rsidRPr="00586687" w:rsidRDefault="00CA4623" w:rsidP="00143694">
            <w:pPr>
              <w:jc w:val="center"/>
              <w:rPr>
                <w:b/>
                <w:color w:val="808080" w:themeColor="background1" w:themeShade="80"/>
                <w:szCs w:val="17"/>
              </w:rPr>
            </w:pPr>
            <w:r w:rsidRPr="00586687">
              <w:rPr>
                <w:b/>
                <w:color w:val="808080" w:themeColor="background1" w:themeShade="80"/>
                <w:szCs w:val="17"/>
              </w:rPr>
              <w:t>Neutral</w:t>
            </w:r>
          </w:p>
        </w:tc>
      </w:tr>
      <w:tr w:rsidR="00CA4623" w:rsidRPr="00586687" w14:paraId="5508A50C" w14:textId="77777777" w:rsidTr="00A2044B">
        <w:trPr>
          <w:trHeight w:val="494"/>
        </w:trPr>
        <w:tc>
          <w:tcPr>
            <w:tcW w:w="696" w:type="dxa"/>
            <w:shd w:val="clear" w:color="auto" w:fill="auto"/>
            <w:vAlign w:val="center"/>
          </w:tcPr>
          <w:p w14:paraId="38B5D0EF" w14:textId="570A5475" w:rsidR="00CA4623" w:rsidRPr="00586687" w:rsidRDefault="00CA4623" w:rsidP="00143694">
            <w:pPr>
              <w:jc w:val="center"/>
              <w:rPr>
                <w:bCs/>
                <w:szCs w:val="17"/>
              </w:rPr>
            </w:pPr>
            <w:r w:rsidRPr="00586687">
              <w:rPr>
                <w:bCs/>
                <w:szCs w:val="17"/>
              </w:rPr>
              <w:t>495-496</w:t>
            </w:r>
          </w:p>
        </w:tc>
        <w:tc>
          <w:tcPr>
            <w:tcW w:w="1931" w:type="dxa"/>
            <w:shd w:val="clear" w:color="auto" w:fill="auto"/>
            <w:vAlign w:val="center"/>
          </w:tcPr>
          <w:p w14:paraId="321D3C8A" w14:textId="5360C76A" w:rsidR="00CA4623" w:rsidRPr="00586687" w:rsidRDefault="00CA4623" w:rsidP="00143694">
            <w:pPr>
              <w:jc w:val="center"/>
              <w:rPr>
                <w:bCs/>
                <w:szCs w:val="17"/>
              </w:rPr>
            </w:pPr>
            <w:r w:rsidRPr="00586687">
              <w:rPr>
                <w:bCs/>
                <w:szCs w:val="17"/>
              </w:rPr>
              <w:t>Article 45a – paragraph 2 – introductory part</w:t>
            </w:r>
          </w:p>
        </w:tc>
        <w:tc>
          <w:tcPr>
            <w:tcW w:w="6588" w:type="dxa"/>
            <w:shd w:val="clear" w:color="auto" w:fill="auto"/>
          </w:tcPr>
          <w:p w14:paraId="74442C3C" w14:textId="77777777" w:rsidR="00CA4623" w:rsidRPr="00586687" w:rsidRDefault="00CA4623" w:rsidP="00143694">
            <w:pPr>
              <w:jc w:val="left"/>
              <w:rPr>
                <w:bCs/>
                <w:szCs w:val="17"/>
              </w:rPr>
            </w:pPr>
            <w:r w:rsidRPr="00586687">
              <w:rPr>
                <w:bCs/>
                <w:szCs w:val="17"/>
              </w:rPr>
              <w:t>Increased the number of climate change scenarios which the undertaking shall specify from 2 to 3, modelling a period of at least 30 years, […]</w:t>
            </w:r>
          </w:p>
          <w:p w14:paraId="26A83A33" w14:textId="7B488867" w:rsidR="00CA4623" w:rsidRPr="00586687" w:rsidRDefault="00CA4623" w:rsidP="00143694">
            <w:pPr>
              <w:jc w:val="left"/>
              <w:rPr>
                <w:bCs/>
                <w:szCs w:val="17"/>
              </w:rPr>
            </w:pPr>
          </w:p>
        </w:tc>
        <w:tc>
          <w:tcPr>
            <w:tcW w:w="1842" w:type="dxa"/>
            <w:shd w:val="clear" w:color="auto" w:fill="auto"/>
            <w:vAlign w:val="center"/>
          </w:tcPr>
          <w:p w14:paraId="1ECD759F" w14:textId="31832D18" w:rsidR="00CA4623" w:rsidRPr="00586687" w:rsidRDefault="00CA4623" w:rsidP="00143694">
            <w:pPr>
              <w:jc w:val="center"/>
              <w:rPr>
                <w:bCs/>
                <w:szCs w:val="17"/>
              </w:rPr>
            </w:pPr>
            <w:r w:rsidRPr="00586687">
              <w:rPr>
                <w:bCs/>
                <w:szCs w:val="17"/>
              </w:rPr>
              <w:t>Hahn/MacManus</w:t>
            </w:r>
          </w:p>
        </w:tc>
        <w:tc>
          <w:tcPr>
            <w:tcW w:w="2127" w:type="dxa"/>
            <w:shd w:val="clear" w:color="auto" w:fill="auto"/>
            <w:vAlign w:val="center"/>
          </w:tcPr>
          <w:p w14:paraId="4B2605FD" w14:textId="714055C6" w:rsidR="00CA4623" w:rsidRPr="00586687" w:rsidRDefault="00CA4623" w:rsidP="00143694">
            <w:pPr>
              <w:jc w:val="center"/>
              <w:rPr>
                <w:bCs/>
                <w:szCs w:val="17"/>
                <w:highlight w:val="yellow"/>
              </w:rPr>
            </w:pPr>
            <w:r w:rsidRPr="00586687">
              <w:rPr>
                <w:bCs/>
                <w:szCs w:val="17"/>
              </w:rPr>
              <w:t>Sustainability</w:t>
            </w:r>
          </w:p>
        </w:tc>
        <w:tc>
          <w:tcPr>
            <w:tcW w:w="1471" w:type="dxa"/>
            <w:shd w:val="clear" w:color="auto" w:fill="auto"/>
            <w:vAlign w:val="center"/>
          </w:tcPr>
          <w:p w14:paraId="0CC0A1B7" w14:textId="021A21B5" w:rsidR="00CA4623" w:rsidRPr="00586687" w:rsidRDefault="00CA4623" w:rsidP="00143694">
            <w:pPr>
              <w:jc w:val="center"/>
              <w:rPr>
                <w:b/>
                <w:color w:val="808080" w:themeColor="background1" w:themeShade="80"/>
                <w:szCs w:val="17"/>
              </w:rPr>
            </w:pPr>
            <w:r w:rsidRPr="00586687">
              <w:rPr>
                <w:b/>
                <w:color w:val="808080" w:themeColor="background1" w:themeShade="80"/>
                <w:szCs w:val="17"/>
              </w:rPr>
              <w:t>Neutral</w:t>
            </w:r>
          </w:p>
        </w:tc>
      </w:tr>
      <w:tr w:rsidR="00CA4623" w:rsidRPr="00586687" w14:paraId="2FD6EC92" w14:textId="77777777" w:rsidTr="00E73F96">
        <w:trPr>
          <w:trHeight w:val="494"/>
        </w:trPr>
        <w:tc>
          <w:tcPr>
            <w:tcW w:w="696" w:type="dxa"/>
            <w:shd w:val="clear" w:color="auto" w:fill="auto"/>
            <w:vAlign w:val="center"/>
          </w:tcPr>
          <w:p w14:paraId="338E74E0" w14:textId="4AFE5F4B" w:rsidR="00CA4623" w:rsidRPr="00586687" w:rsidRDefault="00CA4623" w:rsidP="00143694">
            <w:pPr>
              <w:jc w:val="center"/>
              <w:rPr>
                <w:bCs/>
                <w:szCs w:val="17"/>
              </w:rPr>
            </w:pPr>
            <w:r w:rsidRPr="00586687">
              <w:rPr>
                <w:bCs/>
                <w:szCs w:val="17"/>
              </w:rPr>
              <w:t>497-498</w:t>
            </w:r>
          </w:p>
        </w:tc>
        <w:tc>
          <w:tcPr>
            <w:tcW w:w="1931" w:type="dxa"/>
            <w:shd w:val="clear" w:color="auto" w:fill="auto"/>
            <w:vAlign w:val="center"/>
          </w:tcPr>
          <w:p w14:paraId="7B268B04" w14:textId="2F4F03E5" w:rsidR="00CA4623" w:rsidRPr="007203A0" w:rsidRDefault="00CA4623" w:rsidP="00143694">
            <w:pPr>
              <w:jc w:val="center"/>
              <w:rPr>
                <w:szCs w:val="17"/>
                <w:lang w:val="fr-FR"/>
              </w:rPr>
            </w:pPr>
            <w:r w:rsidRPr="007203A0">
              <w:rPr>
                <w:bCs/>
                <w:szCs w:val="17"/>
                <w:lang w:val="fr-FR"/>
              </w:rPr>
              <w:t>Article 45a – paragraph 2 – point a</w:t>
            </w:r>
          </w:p>
        </w:tc>
        <w:tc>
          <w:tcPr>
            <w:tcW w:w="6588" w:type="dxa"/>
            <w:shd w:val="clear" w:color="auto" w:fill="auto"/>
          </w:tcPr>
          <w:p w14:paraId="10B009E6" w14:textId="12E11EB8" w:rsidR="00CA4623" w:rsidRPr="00586687" w:rsidRDefault="00CA4623" w:rsidP="00143694">
            <w:pPr>
              <w:jc w:val="left"/>
              <w:rPr>
                <w:bCs/>
                <w:szCs w:val="17"/>
              </w:rPr>
            </w:pPr>
            <w:r w:rsidRPr="00586687">
              <w:rPr>
                <w:bCs/>
                <w:szCs w:val="17"/>
              </w:rPr>
              <w:t>Replaced long term climate change scenario where temperature increase is below 2° with “a long-term 'orderly transition' climate change scenario where climate change policies are introduced early and become gradually more stringent resulting in GHG emissions reaching net zero by 2050 and limiting temperature increase to below 2°”</w:t>
            </w:r>
          </w:p>
        </w:tc>
        <w:tc>
          <w:tcPr>
            <w:tcW w:w="1842" w:type="dxa"/>
            <w:shd w:val="clear" w:color="auto" w:fill="auto"/>
            <w:vAlign w:val="center"/>
          </w:tcPr>
          <w:p w14:paraId="4C787054" w14:textId="2FB544BD" w:rsidR="00CA4623" w:rsidRPr="00586687" w:rsidRDefault="00CA4623" w:rsidP="00143694">
            <w:pPr>
              <w:jc w:val="center"/>
              <w:rPr>
                <w:szCs w:val="17"/>
              </w:rPr>
            </w:pPr>
            <w:r w:rsidRPr="00586687">
              <w:rPr>
                <w:bCs/>
                <w:szCs w:val="17"/>
              </w:rPr>
              <w:t>MacManus/Hahn</w:t>
            </w:r>
          </w:p>
        </w:tc>
        <w:tc>
          <w:tcPr>
            <w:tcW w:w="2127" w:type="dxa"/>
            <w:shd w:val="clear" w:color="auto" w:fill="auto"/>
            <w:vAlign w:val="center"/>
          </w:tcPr>
          <w:p w14:paraId="437A3410" w14:textId="10C2AFE8" w:rsidR="00CA4623" w:rsidRPr="00586687" w:rsidRDefault="00CA4623" w:rsidP="00E73F96">
            <w:pPr>
              <w:jc w:val="center"/>
              <w:rPr>
                <w:bCs/>
                <w:szCs w:val="17"/>
                <w:highlight w:val="yellow"/>
              </w:rPr>
            </w:pPr>
            <w:r w:rsidRPr="00586687">
              <w:rPr>
                <w:bCs/>
                <w:szCs w:val="17"/>
              </w:rPr>
              <w:t>Sustainability</w:t>
            </w:r>
          </w:p>
        </w:tc>
        <w:tc>
          <w:tcPr>
            <w:tcW w:w="1471" w:type="dxa"/>
            <w:shd w:val="clear" w:color="auto" w:fill="auto"/>
            <w:vAlign w:val="center"/>
          </w:tcPr>
          <w:p w14:paraId="422C12B8" w14:textId="5B7458E2" w:rsidR="00CA4623" w:rsidRPr="00586687" w:rsidRDefault="00CA4623" w:rsidP="00143694">
            <w:pPr>
              <w:jc w:val="center"/>
              <w:rPr>
                <w:b/>
                <w:color w:val="808080" w:themeColor="background1" w:themeShade="80"/>
                <w:szCs w:val="17"/>
              </w:rPr>
            </w:pPr>
            <w:r w:rsidRPr="00586687">
              <w:rPr>
                <w:b/>
                <w:color w:val="808080" w:themeColor="background1" w:themeShade="80"/>
                <w:szCs w:val="17"/>
              </w:rPr>
              <w:t>Neutral</w:t>
            </w:r>
          </w:p>
        </w:tc>
      </w:tr>
      <w:tr w:rsidR="00CA4623" w:rsidRPr="00586687" w14:paraId="423EF350" w14:textId="77777777" w:rsidTr="00A2044B">
        <w:trPr>
          <w:trHeight w:val="494"/>
        </w:trPr>
        <w:tc>
          <w:tcPr>
            <w:tcW w:w="696" w:type="dxa"/>
            <w:shd w:val="clear" w:color="auto" w:fill="auto"/>
            <w:vAlign w:val="center"/>
          </w:tcPr>
          <w:p w14:paraId="7F3F2184" w14:textId="0FD1E48F" w:rsidR="00CA4623" w:rsidRPr="00586687" w:rsidRDefault="00CA4623" w:rsidP="00143694">
            <w:pPr>
              <w:jc w:val="center"/>
              <w:rPr>
                <w:szCs w:val="17"/>
              </w:rPr>
            </w:pPr>
            <w:r w:rsidRPr="00586687">
              <w:rPr>
                <w:bCs/>
                <w:szCs w:val="17"/>
              </w:rPr>
              <w:t>499-500</w:t>
            </w:r>
          </w:p>
        </w:tc>
        <w:tc>
          <w:tcPr>
            <w:tcW w:w="1931" w:type="dxa"/>
            <w:shd w:val="clear" w:color="auto" w:fill="auto"/>
            <w:vAlign w:val="center"/>
          </w:tcPr>
          <w:p w14:paraId="33F5AFBA" w14:textId="765FC474" w:rsidR="00CA4623" w:rsidRPr="00586687" w:rsidRDefault="00CA4623" w:rsidP="00143694">
            <w:pPr>
              <w:jc w:val="center"/>
              <w:rPr>
                <w:szCs w:val="17"/>
              </w:rPr>
            </w:pPr>
            <w:r w:rsidRPr="00586687">
              <w:rPr>
                <w:bCs/>
                <w:szCs w:val="17"/>
              </w:rPr>
              <w:t xml:space="preserve">Article 45a – paragraph 2 – point a </w:t>
            </w:r>
            <w:proofErr w:type="spellStart"/>
            <w:r w:rsidRPr="00586687">
              <w:rPr>
                <w:bCs/>
                <w:szCs w:val="17"/>
              </w:rPr>
              <w:t>a</w:t>
            </w:r>
            <w:proofErr w:type="spellEnd"/>
            <w:r w:rsidRPr="00586687">
              <w:rPr>
                <w:bCs/>
                <w:szCs w:val="17"/>
              </w:rPr>
              <w:t xml:space="preserve"> (new)</w:t>
            </w:r>
          </w:p>
        </w:tc>
        <w:tc>
          <w:tcPr>
            <w:tcW w:w="6588" w:type="dxa"/>
            <w:shd w:val="clear" w:color="auto" w:fill="auto"/>
          </w:tcPr>
          <w:p w14:paraId="73634643" w14:textId="6B0806E7" w:rsidR="00CA4623" w:rsidRPr="00586687" w:rsidRDefault="00CA4623" w:rsidP="00143694">
            <w:pPr>
              <w:jc w:val="left"/>
              <w:rPr>
                <w:bCs/>
                <w:szCs w:val="17"/>
              </w:rPr>
            </w:pPr>
            <w:r w:rsidRPr="00586687">
              <w:rPr>
                <w:bCs/>
                <w:szCs w:val="17"/>
              </w:rPr>
              <w:t>Added a ‘disorderly transition’ scenario with delayed or divergent climate policies leading to later/sharper GHG emissions reductions and limiting temperature increase to below 2°”</w:t>
            </w:r>
          </w:p>
        </w:tc>
        <w:tc>
          <w:tcPr>
            <w:tcW w:w="1842" w:type="dxa"/>
            <w:shd w:val="clear" w:color="auto" w:fill="auto"/>
            <w:vAlign w:val="center"/>
          </w:tcPr>
          <w:p w14:paraId="6CE447DC" w14:textId="69644918" w:rsidR="00CA4623" w:rsidRPr="00586687" w:rsidRDefault="00CA4623" w:rsidP="00143694">
            <w:pPr>
              <w:pStyle w:val="NormalBold"/>
              <w:jc w:val="center"/>
              <w:rPr>
                <w:rFonts w:ascii="Verdana" w:hAnsi="Verdana"/>
                <w:b w:val="0"/>
                <w:bCs/>
                <w:sz w:val="17"/>
                <w:szCs w:val="17"/>
                <w:lang w:eastAsia="en-US"/>
              </w:rPr>
            </w:pPr>
            <w:r w:rsidRPr="00586687">
              <w:rPr>
                <w:rFonts w:ascii="Verdana" w:hAnsi="Verdana"/>
                <w:b w:val="0"/>
                <w:bCs/>
                <w:sz w:val="17"/>
                <w:szCs w:val="17"/>
                <w:lang w:eastAsia="en-US"/>
              </w:rPr>
              <w:t>Hahn/</w:t>
            </w:r>
            <w:r w:rsidRPr="00586687">
              <w:rPr>
                <w:rFonts w:ascii="Verdana" w:hAnsi="Verdana"/>
                <w:bCs/>
                <w:vanish/>
                <w:sz w:val="17"/>
                <w:szCs w:val="17"/>
                <w:lang w:eastAsia="en-US"/>
              </w:rPr>
              <w:t>&lt;RepeatBlock-By&gt;&lt;Members&gt;</w:t>
            </w:r>
            <w:r w:rsidRPr="00586687">
              <w:rPr>
                <w:rFonts w:ascii="Verdana" w:hAnsi="Verdana"/>
                <w:b w:val="0"/>
                <w:bCs/>
                <w:sz w:val="17"/>
                <w:szCs w:val="17"/>
                <w:lang w:eastAsia="en-US"/>
              </w:rPr>
              <w:t xml:space="preserve"> MacManus</w:t>
            </w:r>
            <w:r w:rsidRPr="00586687">
              <w:rPr>
                <w:rFonts w:ascii="Verdana" w:hAnsi="Verdana"/>
                <w:bCs/>
                <w:vanish/>
                <w:sz w:val="17"/>
                <w:szCs w:val="17"/>
                <w:lang w:eastAsia="en-US"/>
              </w:rPr>
              <w:t>&lt;/Members&gt;</w:t>
            </w:r>
          </w:p>
          <w:p w14:paraId="428B746C" w14:textId="0CA5C18E" w:rsidR="00CA4623" w:rsidRPr="00586687" w:rsidRDefault="00CA4623" w:rsidP="00143694">
            <w:pPr>
              <w:jc w:val="center"/>
              <w:rPr>
                <w:szCs w:val="17"/>
              </w:rPr>
            </w:pPr>
          </w:p>
        </w:tc>
        <w:tc>
          <w:tcPr>
            <w:tcW w:w="2127" w:type="dxa"/>
            <w:shd w:val="clear" w:color="auto" w:fill="auto"/>
            <w:vAlign w:val="center"/>
          </w:tcPr>
          <w:p w14:paraId="7AFE2547" w14:textId="7AB93650" w:rsidR="00CA4623" w:rsidRPr="00586687" w:rsidRDefault="00CA4623" w:rsidP="00143694">
            <w:pPr>
              <w:jc w:val="center"/>
              <w:rPr>
                <w:bCs/>
                <w:szCs w:val="17"/>
                <w:highlight w:val="yellow"/>
              </w:rPr>
            </w:pPr>
            <w:r w:rsidRPr="00586687">
              <w:rPr>
                <w:bCs/>
                <w:szCs w:val="17"/>
              </w:rPr>
              <w:t>Sustainability</w:t>
            </w:r>
          </w:p>
        </w:tc>
        <w:tc>
          <w:tcPr>
            <w:tcW w:w="1471" w:type="dxa"/>
            <w:shd w:val="clear" w:color="auto" w:fill="auto"/>
            <w:vAlign w:val="center"/>
          </w:tcPr>
          <w:p w14:paraId="02E91107" w14:textId="2D3CA892" w:rsidR="00CA4623" w:rsidRPr="00586687" w:rsidRDefault="00CA4623" w:rsidP="00143694">
            <w:pPr>
              <w:jc w:val="center"/>
              <w:rPr>
                <w:b/>
                <w:color w:val="808080" w:themeColor="background1" w:themeShade="80"/>
                <w:szCs w:val="17"/>
              </w:rPr>
            </w:pPr>
            <w:r w:rsidRPr="00586687">
              <w:rPr>
                <w:b/>
                <w:color w:val="808080" w:themeColor="background1" w:themeShade="80"/>
                <w:szCs w:val="17"/>
              </w:rPr>
              <w:t>Neutral</w:t>
            </w:r>
          </w:p>
        </w:tc>
      </w:tr>
      <w:tr w:rsidR="00CA4623" w:rsidRPr="00586687" w14:paraId="6917DDE0" w14:textId="77777777" w:rsidTr="00A2044B">
        <w:trPr>
          <w:trHeight w:val="494"/>
        </w:trPr>
        <w:tc>
          <w:tcPr>
            <w:tcW w:w="696" w:type="dxa"/>
            <w:shd w:val="clear" w:color="auto" w:fill="auto"/>
            <w:vAlign w:val="center"/>
          </w:tcPr>
          <w:p w14:paraId="04091FA2" w14:textId="6D44E83A" w:rsidR="00CA4623" w:rsidRPr="00F11BAC" w:rsidRDefault="00CA4623" w:rsidP="00143694">
            <w:pPr>
              <w:jc w:val="center"/>
              <w:rPr>
                <w:bCs/>
                <w:szCs w:val="17"/>
              </w:rPr>
            </w:pPr>
            <w:r w:rsidRPr="00F11BAC">
              <w:rPr>
                <w:szCs w:val="17"/>
              </w:rPr>
              <w:lastRenderedPageBreak/>
              <w:t>501</w:t>
            </w:r>
          </w:p>
        </w:tc>
        <w:tc>
          <w:tcPr>
            <w:tcW w:w="1931" w:type="dxa"/>
            <w:shd w:val="clear" w:color="auto" w:fill="auto"/>
            <w:vAlign w:val="center"/>
          </w:tcPr>
          <w:p w14:paraId="6D0F2C9E" w14:textId="2EF531D3" w:rsidR="00CA4623" w:rsidRPr="00F11BAC" w:rsidRDefault="00CA4623" w:rsidP="00143694">
            <w:pPr>
              <w:jc w:val="center"/>
              <w:rPr>
                <w:szCs w:val="17"/>
                <w:lang w:val="fr-FR"/>
              </w:rPr>
            </w:pPr>
            <w:r w:rsidRPr="00F11BAC">
              <w:rPr>
                <w:szCs w:val="17"/>
                <w:lang w:val="fr-FR"/>
              </w:rPr>
              <w:t>Article 45a – paragraph 2 – point b</w:t>
            </w:r>
          </w:p>
        </w:tc>
        <w:tc>
          <w:tcPr>
            <w:tcW w:w="6588" w:type="dxa"/>
            <w:shd w:val="clear" w:color="auto" w:fill="auto"/>
          </w:tcPr>
          <w:p w14:paraId="7A2F8E06" w14:textId="5FDC1748" w:rsidR="00CA4623" w:rsidRPr="00F11BAC" w:rsidRDefault="00CA4623" w:rsidP="00143694">
            <w:pPr>
              <w:jc w:val="left"/>
              <w:rPr>
                <w:bCs/>
                <w:szCs w:val="17"/>
              </w:rPr>
            </w:pPr>
            <w:r w:rsidRPr="00F11BAC">
              <w:rPr>
                <w:bCs/>
                <w:szCs w:val="17"/>
              </w:rPr>
              <w:t>Specified “hot house world” scenario […] the global temperature increase is equal to or higher than 3°.</w:t>
            </w:r>
          </w:p>
        </w:tc>
        <w:tc>
          <w:tcPr>
            <w:tcW w:w="1842" w:type="dxa"/>
            <w:shd w:val="clear" w:color="auto" w:fill="auto"/>
            <w:vAlign w:val="center"/>
          </w:tcPr>
          <w:p w14:paraId="0D687A4A" w14:textId="3718803C" w:rsidR="00CA4623" w:rsidRPr="00F11BAC" w:rsidRDefault="00CA4623" w:rsidP="00143694">
            <w:pPr>
              <w:jc w:val="center"/>
              <w:rPr>
                <w:bCs/>
                <w:szCs w:val="17"/>
              </w:rPr>
            </w:pPr>
            <w:r w:rsidRPr="00F11BAC">
              <w:rPr>
                <w:szCs w:val="17"/>
              </w:rPr>
              <w:t>Hahn</w:t>
            </w:r>
          </w:p>
        </w:tc>
        <w:tc>
          <w:tcPr>
            <w:tcW w:w="2127" w:type="dxa"/>
            <w:shd w:val="clear" w:color="auto" w:fill="auto"/>
            <w:vAlign w:val="center"/>
          </w:tcPr>
          <w:p w14:paraId="7C2810F7" w14:textId="07A6D80C" w:rsidR="00CA4623" w:rsidRPr="00F11BAC" w:rsidRDefault="00CA4623" w:rsidP="00143694">
            <w:pPr>
              <w:jc w:val="center"/>
              <w:rPr>
                <w:bCs/>
                <w:szCs w:val="17"/>
              </w:rPr>
            </w:pPr>
            <w:r w:rsidRPr="00F11BAC">
              <w:rPr>
                <w:bCs/>
                <w:szCs w:val="17"/>
              </w:rPr>
              <w:t>Sustainability</w:t>
            </w:r>
          </w:p>
        </w:tc>
        <w:tc>
          <w:tcPr>
            <w:tcW w:w="1471" w:type="dxa"/>
            <w:shd w:val="clear" w:color="auto" w:fill="auto"/>
            <w:vAlign w:val="center"/>
          </w:tcPr>
          <w:p w14:paraId="281FDAC1" w14:textId="0B4D85CC" w:rsidR="00CA4623" w:rsidRPr="00F11BAC" w:rsidRDefault="00CA4623" w:rsidP="00143694">
            <w:pPr>
              <w:jc w:val="center"/>
              <w:rPr>
                <w:b/>
                <w:color w:val="808080" w:themeColor="background1" w:themeShade="80"/>
                <w:szCs w:val="17"/>
              </w:rPr>
            </w:pPr>
            <w:r w:rsidRPr="00F11BAC">
              <w:rPr>
                <w:b/>
                <w:color w:val="808080" w:themeColor="background1" w:themeShade="80"/>
                <w:szCs w:val="17"/>
              </w:rPr>
              <w:t>Neutral</w:t>
            </w:r>
          </w:p>
        </w:tc>
      </w:tr>
      <w:tr w:rsidR="00CA4623" w:rsidRPr="00586687" w14:paraId="51632912" w14:textId="77777777" w:rsidTr="00A2044B">
        <w:trPr>
          <w:trHeight w:val="494"/>
        </w:trPr>
        <w:tc>
          <w:tcPr>
            <w:tcW w:w="696" w:type="dxa"/>
            <w:shd w:val="clear" w:color="auto" w:fill="auto"/>
            <w:vAlign w:val="center"/>
          </w:tcPr>
          <w:p w14:paraId="53A7CA51" w14:textId="265AD57D" w:rsidR="00CA4623" w:rsidRPr="00F11BAC" w:rsidRDefault="00CA4623" w:rsidP="00143694">
            <w:pPr>
              <w:jc w:val="center"/>
              <w:rPr>
                <w:bCs/>
                <w:szCs w:val="17"/>
              </w:rPr>
            </w:pPr>
            <w:r w:rsidRPr="00F11BAC">
              <w:rPr>
                <w:szCs w:val="17"/>
              </w:rPr>
              <w:t>502</w:t>
            </w:r>
          </w:p>
        </w:tc>
        <w:tc>
          <w:tcPr>
            <w:tcW w:w="1931" w:type="dxa"/>
            <w:shd w:val="clear" w:color="auto" w:fill="auto"/>
            <w:vAlign w:val="center"/>
          </w:tcPr>
          <w:p w14:paraId="67096D80" w14:textId="229F32C4" w:rsidR="00CA4623" w:rsidRPr="00F11BAC" w:rsidRDefault="00CA4623" w:rsidP="00143694">
            <w:pPr>
              <w:jc w:val="center"/>
              <w:rPr>
                <w:szCs w:val="17"/>
                <w:lang w:val="fr-FR"/>
              </w:rPr>
            </w:pPr>
            <w:r w:rsidRPr="00F11BAC">
              <w:rPr>
                <w:szCs w:val="17"/>
                <w:lang w:val="fr-FR"/>
              </w:rPr>
              <w:t>Article 45a – paragraph 2 – point b</w:t>
            </w:r>
          </w:p>
        </w:tc>
        <w:tc>
          <w:tcPr>
            <w:tcW w:w="6588" w:type="dxa"/>
            <w:shd w:val="clear" w:color="auto" w:fill="auto"/>
          </w:tcPr>
          <w:p w14:paraId="6FBAACCD" w14:textId="2DFDB0D9" w:rsidR="00CA4623" w:rsidRPr="00F11BAC" w:rsidRDefault="00CA4623" w:rsidP="00143694">
            <w:pPr>
              <w:jc w:val="left"/>
              <w:rPr>
                <w:bCs/>
                <w:szCs w:val="17"/>
              </w:rPr>
            </w:pPr>
            <w:r w:rsidRPr="00F11BAC">
              <w:rPr>
                <w:bCs/>
                <w:szCs w:val="17"/>
              </w:rPr>
              <w:t>Added temperature increase is significantly higher than 2° (previously equal)</w:t>
            </w:r>
          </w:p>
        </w:tc>
        <w:tc>
          <w:tcPr>
            <w:tcW w:w="1842" w:type="dxa"/>
            <w:shd w:val="clear" w:color="auto" w:fill="auto"/>
            <w:vAlign w:val="center"/>
          </w:tcPr>
          <w:p w14:paraId="6784247D" w14:textId="1D0670A8" w:rsidR="00CA4623" w:rsidRPr="00F11BAC" w:rsidRDefault="00CA4623" w:rsidP="00143694">
            <w:pPr>
              <w:jc w:val="center"/>
              <w:rPr>
                <w:bCs/>
                <w:szCs w:val="17"/>
              </w:rPr>
            </w:pPr>
            <w:r w:rsidRPr="00F11BAC">
              <w:rPr>
                <w:szCs w:val="17"/>
              </w:rPr>
              <w:t xml:space="preserve">Yon-Courtin, Boyer, </w:t>
            </w:r>
            <w:proofErr w:type="spellStart"/>
            <w:r w:rsidRPr="00F11BAC">
              <w:rPr>
                <w:szCs w:val="17"/>
              </w:rPr>
              <w:t>Canfin</w:t>
            </w:r>
            <w:proofErr w:type="spellEnd"/>
          </w:p>
        </w:tc>
        <w:tc>
          <w:tcPr>
            <w:tcW w:w="2127" w:type="dxa"/>
            <w:shd w:val="clear" w:color="auto" w:fill="auto"/>
            <w:vAlign w:val="center"/>
          </w:tcPr>
          <w:p w14:paraId="5378BE87" w14:textId="6E60B74C" w:rsidR="00CA4623" w:rsidRPr="00F11BAC" w:rsidRDefault="00CA4623" w:rsidP="00143694">
            <w:pPr>
              <w:jc w:val="center"/>
              <w:rPr>
                <w:bCs/>
                <w:szCs w:val="17"/>
              </w:rPr>
            </w:pPr>
            <w:r w:rsidRPr="00F11BAC">
              <w:rPr>
                <w:bCs/>
                <w:szCs w:val="17"/>
              </w:rPr>
              <w:t>Sustainability</w:t>
            </w:r>
          </w:p>
        </w:tc>
        <w:tc>
          <w:tcPr>
            <w:tcW w:w="1471" w:type="dxa"/>
            <w:shd w:val="clear" w:color="auto" w:fill="auto"/>
            <w:vAlign w:val="center"/>
          </w:tcPr>
          <w:p w14:paraId="5A322931" w14:textId="25843A5B" w:rsidR="00CA4623" w:rsidRPr="00F11BAC" w:rsidRDefault="00CA4623" w:rsidP="00143694">
            <w:pPr>
              <w:jc w:val="center"/>
              <w:rPr>
                <w:b/>
                <w:color w:val="808080" w:themeColor="background1" w:themeShade="80"/>
                <w:szCs w:val="17"/>
              </w:rPr>
            </w:pPr>
            <w:r w:rsidRPr="00F11BAC">
              <w:rPr>
                <w:b/>
                <w:color w:val="808080" w:themeColor="background1" w:themeShade="80"/>
                <w:szCs w:val="17"/>
              </w:rPr>
              <w:t>Neutral</w:t>
            </w:r>
          </w:p>
        </w:tc>
      </w:tr>
      <w:tr w:rsidR="00CA4623" w:rsidRPr="00586687" w14:paraId="58B67059" w14:textId="77777777" w:rsidTr="00A2044B">
        <w:trPr>
          <w:trHeight w:val="494"/>
        </w:trPr>
        <w:tc>
          <w:tcPr>
            <w:tcW w:w="696" w:type="dxa"/>
            <w:shd w:val="clear" w:color="auto" w:fill="auto"/>
            <w:vAlign w:val="center"/>
          </w:tcPr>
          <w:p w14:paraId="642B836F" w14:textId="6C2FD9A9" w:rsidR="00CA4623" w:rsidRPr="00F11BAC" w:rsidRDefault="00CA4623" w:rsidP="00143694">
            <w:pPr>
              <w:jc w:val="center"/>
              <w:rPr>
                <w:bCs/>
                <w:szCs w:val="17"/>
              </w:rPr>
            </w:pPr>
            <w:r w:rsidRPr="00F11BAC">
              <w:rPr>
                <w:szCs w:val="17"/>
              </w:rPr>
              <w:t>503</w:t>
            </w:r>
          </w:p>
        </w:tc>
        <w:tc>
          <w:tcPr>
            <w:tcW w:w="1931" w:type="dxa"/>
            <w:shd w:val="clear" w:color="auto" w:fill="auto"/>
            <w:vAlign w:val="center"/>
          </w:tcPr>
          <w:p w14:paraId="745E28BD" w14:textId="2CE4074A" w:rsidR="00CA4623" w:rsidRPr="00F11BAC" w:rsidRDefault="00CA4623" w:rsidP="00143694">
            <w:pPr>
              <w:jc w:val="center"/>
              <w:rPr>
                <w:bCs/>
                <w:szCs w:val="17"/>
              </w:rPr>
            </w:pPr>
            <w:r w:rsidRPr="00F11BAC">
              <w:rPr>
                <w:szCs w:val="17"/>
              </w:rPr>
              <w:t>Article 45a – paragraph 2 – point b a (new)</w:t>
            </w:r>
          </w:p>
        </w:tc>
        <w:tc>
          <w:tcPr>
            <w:tcW w:w="6588" w:type="dxa"/>
            <w:shd w:val="clear" w:color="auto" w:fill="auto"/>
          </w:tcPr>
          <w:p w14:paraId="5B4DDEAF" w14:textId="73328BC7" w:rsidR="00CA4623" w:rsidRPr="00F11BAC" w:rsidRDefault="00CA4623" w:rsidP="00143694">
            <w:pPr>
              <w:jc w:val="left"/>
              <w:rPr>
                <w:bCs/>
                <w:szCs w:val="17"/>
              </w:rPr>
            </w:pPr>
            <w:r w:rsidRPr="00F11BAC">
              <w:rPr>
                <w:szCs w:val="17"/>
              </w:rPr>
              <w:t xml:space="preserve">Added back </w:t>
            </w:r>
            <w:r w:rsidRPr="00F11BAC">
              <w:rPr>
                <w:bCs/>
                <w:szCs w:val="17"/>
              </w:rPr>
              <w:t>scenario, one</w:t>
            </w:r>
            <w:r w:rsidRPr="00F11BAC">
              <w:rPr>
                <w:szCs w:val="17"/>
              </w:rPr>
              <w:t xml:space="preserve"> where the global temperature increase is equal to or higher than 2°.</w:t>
            </w:r>
          </w:p>
        </w:tc>
        <w:tc>
          <w:tcPr>
            <w:tcW w:w="1842" w:type="dxa"/>
            <w:shd w:val="clear" w:color="auto" w:fill="auto"/>
            <w:vAlign w:val="center"/>
          </w:tcPr>
          <w:p w14:paraId="5564BB83" w14:textId="20BAC725" w:rsidR="00CA4623" w:rsidRPr="00F11BAC" w:rsidRDefault="00CA4623" w:rsidP="00143694">
            <w:pPr>
              <w:jc w:val="center"/>
              <w:rPr>
                <w:bCs/>
                <w:szCs w:val="17"/>
              </w:rPr>
            </w:pPr>
            <w:r w:rsidRPr="00F11BAC">
              <w:rPr>
                <w:szCs w:val="17"/>
              </w:rPr>
              <w:t>MacManus</w:t>
            </w:r>
          </w:p>
        </w:tc>
        <w:tc>
          <w:tcPr>
            <w:tcW w:w="2127" w:type="dxa"/>
            <w:shd w:val="clear" w:color="auto" w:fill="auto"/>
            <w:vAlign w:val="center"/>
          </w:tcPr>
          <w:p w14:paraId="147A6590" w14:textId="2C3A7DEF" w:rsidR="00CA4623" w:rsidRPr="00F11BAC" w:rsidRDefault="00CA4623" w:rsidP="00143694">
            <w:pPr>
              <w:jc w:val="center"/>
              <w:rPr>
                <w:bCs/>
                <w:szCs w:val="17"/>
              </w:rPr>
            </w:pPr>
            <w:r w:rsidRPr="00F11BAC">
              <w:rPr>
                <w:bCs/>
                <w:szCs w:val="17"/>
              </w:rPr>
              <w:t>Sustainability</w:t>
            </w:r>
          </w:p>
        </w:tc>
        <w:tc>
          <w:tcPr>
            <w:tcW w:w="1471" w:type="dxa"/>
            <w:shd w:val="clear" w:color="auto" w:fill="auto"/>
            <w:vAlign w:val="center"/>
          </w:tcPr>
          <w:p w14:paraId="3696F80A" w14:textId="75F7D7BC" w:rsidR="00CA4623" w:rsidRPr="00F11BAC" w:rsidRDefault="00CA4623" w:rsidP="00143694">
            <w:pPr>
              <w:jc w:val="center"/>
              <w:rPr>
                <w:b/>
                <w:color w:val="808080" w:themeColor="background1" w:themeShade="80"/>
                <w:szCs w:val="17"/>
              </w:rPr>
            </w:pPr>
            <w:r w:rsidRPr="00F11BAC">
              <w:rPr>
                <w:b/>
                <w:color w:val="808080" w:themeColor="background1" w:themeShade="80"/>
                <w:szCs w:val="17"/>
              </w:rPr>
              <w:t>Neutral</w:t>
            </w:r>
          </w:p>
        </w:tc>
      </w:tr>
      <w:tr w:rsidR="00CA4623" w:rsidRPr="00586687" w14:paraId="2580B17D" w14:textId="77777777" w:rsidTr="00A2044B">
        <w:trPr>
          <w:trHeight w:val="494"/>
        </w:trPr>
        <w:tc>
          <w:tcPr>
            <w:tcW w:w="696" w:type="dxa"/>
            <w:shd w:val="clear" w:color="auto" w:fill="auto"/>
            <w:vAlign w:val="center"/>
          </w:tcPr>
          <w:p w14:paraId="6A00E291" w14:textId="31E5DA65" w:rsidR="00CA4623" w:rsidRPr="00586687" w:rsidRDefault="00CA4623" w:rsidP="00143694">
            <w:pPr>
              <w:jc w:val="center"/>
              <w:rPr>
                <w:bCs/>
                <w:szCs w:val="17"/>
              </w:rPr>
            </w:pPr>
            <w:r w:rsidRPr="00586687">
              <w:rPr>
                <w:szCs w:val="17"/>
              </w:rPr>
              <w:t>504</w:t>
            </w:r>
          </w:p>
        </w:tc>
        <w:tc>
          <w:tcPr>
            <w:tcW w:w="1931" w:type="dxa"/>
            <w:shd w:val="clear" w:color="auto" w:fill="auto"/>
            <w:vAlign w:val="center"/>
          </w:tcPr>
          <w:p w14:paraId="3F00C585" w14:textId="4CF07A8D" w:rsidR="00CA4623" w:rsidRPr="00586687" w:rsidRDefault="00CA4623" w:rsidP="00143694">
            <w:pPr>
              <w:jc w:val="center"/>
              <w:rPr>
                <w:bCs/>
                <w:szCs w:val="17"/>
              </w:rPr>
            </w:pPr>
            <w:r w:rsidRPr="00586687">
              <w:rPr>
                <w:szCs w:val="17"/>
              </w:rPr>
              <w:t>Article 45a – paragraph 5</w:t>
            </w:r>
          </w:p>
        </w:tc>
        <w:tc>
          <w:tcPr>
            <w:tcW w:w="6588" w:type="dxa"/>
            <w:shd w:val="clear" w:color="auto" w:fill="auto"/>
          </w:tcPr>
          <w:p w14:paraId="1BA647ED" w14:textId="23EBB922" w:rsidR="00CA4623" w:rsidRPr="00586687" w:rsidRDefault="00CA4623" w:rsidP="00143694">
            <w:pPr>
              <w:jc w:val="left"/>
              <w:rPr>
                <w:bCs/>
                <w:szCs w:val="17"/>
              </w:rPr>
            </w:pPr>
            <w:r w:rsidRPr="00586687">
              <w:rPr>
                <w:szCs w:val="17"/>
              </w:rPr>
              <w:t>Deleted that LRPU shall neither be required to specify climate change scenarios nor to assess their impact on the business of the undertaking.</w:t>
            </w:r>
          </w:p>
        </w:tc>
        <w:tc>
          <w:tcPr>
            <w:tcW w:w="1842" w:type="dxa"/>
            <w:shd w:val="clear" w:color="auto" w:fill="auto"/>
            <w:vAlign w:val="center"/>
          </w:tcPr>
          <w:p w14:paraId="552202F2" w14:textId="126E8554" w:rsidR="00CA4623" w:rsidRPr="00586687" w:rsidRDefault="00CA4623" w:rsidP="00143694">
            <w:pPr>
              <w:jc w:val="center"/>
              <w:rPr>
                <w:szCs w:val="17"/>
              </w:rPr>
            </w:pPr>
            <w:proofErr w:type="spellStart"/>
            <w:r w:rsidRPr="00586687">
              <w:rPr>
                <w:szCs w:val="17"/>
              </w:rPr>
              <w:t>Heinäluoma</w:t>
            </w:r>
            <w:proofErr w:type="spellEnd"/>
            <w:r w:rsidRPr="00586687">
              <w:rPr>
                <w:szCs w:val="17"/>
              </w:rPr>
              <w:t>, Tang</w:t>
            </w:r>
            <w:r w:rsidR="00B06DA6">
              <w:rPr>
                <w:szCs w:val="17"/>
              </w:rPr>
              <w:t>,</w:t>
            </w:r>
            <w:r w:rsidRPr="00586687">
              <w:rPr>
                <w:szCs w:val="17"/>
              </w:rPr>
              <w:t xml:space="preserve"> </w:t>
            </w:r>
            <w:proofErr w:type="spellStart"/>
            <w:r w:rsidRPr="00586687">
              <w:rPr>
                <w:szCs w:val="17"/>
              </w:rPr>
              <w:t>Lalucq</w:t>
            </w:r>
            <w:proofErr w:type="spellEnd"/>
          </w:p>
        </w:tc>
        <w:tc>
          <w:tcPr>
            <w:tcW w:w="2127" w:type="dxa"/>
            <w:shd w:val="clear" w:color="auto" w:fill="auto"/>
            <w:vAlign w:val="center"/>
          </w:tcPr>
          <w:p w14:paraId="14D7F26E" w14:textId="4CB6D606" w:rsidR="00CA4623" w:rsidRPr="00586687" w:rsidRDefault="00CA4623" w:rsidP="00143694">
            <w:pPr>
              <w:jc w:val="center"/>
              <w:rPr>
                <w:bCs/>
                <w:szCs w:val="17"/>
                <w:highlight w:val="yellow"/>
              </w:rPr>
            </w:pPr>
            <w:r w:rsidRPr="00586687">
              <w:rPr>
                <w:bCs/>
                <w:szCs w:val="17"/>
              </w:rPr>
              <w:t>Sustainability</w:t>
            </w:r>
            <w:r w:rsidR="000A71C2" w:rsidRPr="00586687">
              <w:rPr>
                <w:bCs/>
                <w:szCs w:val="17"/>
              </w:rPr>
              <w:t>/ Proportionality</w:t>
            </w:r>
          </w:p>
        </w:tc>
        <w:tc>
          <w:tcPr>
            <w:tcW w:w="1471" w:type="dxa"/>
            <w:shd w:val="clear" w:color="auto" w:fill="auto"/>
            <w:vAlign w:val="center"/>
          </w:tcPr>
          <w:p w14:paraId="3B7C2ABF" w14:textId="4B2C0B82" w:rsidR="00CA4623" w:rsidRPr="00586687" w:rsidRDefault="00CA4623" w:rsidP="00143694">
            <w:pPr>
              <w:jc w:val="center"/>
              <w:rPr>
                <w:b/>
                <w:color w:val="808080" w:themeColor="background1" w:themeShade="80"/>
                <w:szCs w:val="17"/>
              </w:rPr>
            </w:pPr>
            <w:r w:rsidRPr="00586687">
              <w:rPr>
                <w:b/>
                <w:color w:val="808080" w:themeColor="background1" w:themeShade="80"/>
                <w:szCs w:val="17"/>
              </w:rPr>
              <w:t>Neutral</w:t>
            </w:r>
          </w:p>
        </w:tc>
      </w:tr>
      <w:tr w:rsidR="00A41592" w:rsidRPr="00586687" w14:paraId="7262F742" w14:textId="77777777" w:rsidTr="00A2044B">
        <w:trPr>
          <w:trHeight w:val="494"/>
        </w:trPr>
        <w:tc>
          <w:tcPr>
            <w:tcW w:w="696" w:type="dxa"/>
            <w:shd w:val="clear" w:color="auto" w:fill="auto"/>
            <w:vAlign w:val="center"/>
          </w:tcPr>
          <w:p w14:paraId="5525C28E" w14:textId="059EAACC" w:rsidR="00A41592" w:rsidRPr="00586687" w:rsidRDefault="00A41592" w:rsidP="00143694">
            <w:pPr>
              <w:jc w:val="center"/>
              <w:rPr>
                <w:bCs/>
                <w:szCs w:val="17"/>
              </w:rPr>
            </w:pPr>
            <w:r w:rsidRPr="00586687">
              <w:rPr>
                <w:szCs w:val="17"/>
              </w:rPr>
              <w:t>505</w:t>
            </w:r>
          </w:p>
        </w:tc>
        <w:tc>
          <w:tcPr>
            <w:tcW w:w="1931" w:type="dxa"/>
            <w:shd w:val="clear" w:color="auto" w:fill="auto"/>
            <w:vAlign w:val="center"/>
          </w:tcPr>
          <w:p w14:paraId="24A599A1" w14:textId="0E5235AA" w:rsidR="00A41592" w:rsidRPr="00586687" w:rsidRDefault="00A41592" w:rsidP="00143694">
            <w:pPr>
              <w:jc w:val="center"/>
              <w:rPr>
                <w:bCs/>
                <w:szCs w:val="17"/>
              </w:rPr>
            </w:pPr>
            <w:r w:rsidRPr="00586687">
              <w:rPr>
                <w:szCs w:val="17"/>
              </w:rPr>
              <w:t>Article 45a – paragraph 5</w:t>
            </w:r>
          </w:p>
        </w:tc>
        <w:tc>
          <w:tcPr>
            <w:tcW w:w="6588" w:type="dxa"/>
            <w:shd w:val="clear" w:color="auto" w:fill="auto"/>
          </w:tcPr>
          <w:p w14:paraId="00037961" w14:textId="1B183928" w:rsidR="00A41592" w:rsidRPr="00586687" w:rsidRDefault="00A41592" w:rsidP="00143694">
            <w:pPr>
              <w:jc w:val="left"/>
              <w:rPr>
                <w:bCs/>
                <w:szCs w:val="17"/>
              </w:rPr>
            </w:pPr>
            <w:r w:rsidRPr="00586687">
              <w:rPr>
                <w:szCs w:val="17"/>
              </w:rPr>
              <w:t>Deleted exemption for LRPU to analyse climate change scenarios. And established insurers shall perform at regular intervals a backward analysis on previous climate change scenarios to disclose the extent the tools/principles led to an over/underestimation of the materiality of the insurer’s exposure.</w:t>
            </w:r>
          </w:p>
        </w:tc>
        <w:tc>
          <w:tcPr>
            <w:tcW w:w="1842" w:type="dxa"/>
            <w:shd w:val="clear" w:color="auto" w:fill="auto"/>
            <w:vAlign w:val="center"/>
          </w:tcPr>
          <w:p w14:paraId="20542115" w14:textId="0465B28C" w:rsidR="00A41592" w:rsidRPr="00586687" w:rsidRDefault="00A41592" w:rsidP="00143694">
            <w:pPr>
              <w:jc w:val="center"/>
              <w:rPr>
                <w:bCs/>
                <w:szCs w:val="17"/>
              </w:rPr>
            </w:pPr>
            <w:r w:rsidRPr="00586687">
              <w:rPr>
                <w:szCs w:val="17"/>
              </w:rPr>
              <w:t xml:space="preserve">Yon-Courtin, Boyer, </w:t>
            </w:r>
            <w:proofErr w:type="spellStart"/>
            <w:r w:rsidRPr="00586687">
              <w:rPr>
                <w:szCs w:val="17"/>
              </w:rPr>
              <w:t>Canfin</w:t>
            </w:r>
            <w:proofErr w:type="spellEnd"/>
            <w:r w:rsidRPr="00586687">
              <w:rPr>
                <w:szCs w:val="17"/>
              </w:rPr>
              <w:t>, Durand</w:t>
            </w:r>
          </w:p>
        </w:tc>
        <w:tc>
          <w:tcPr>
            <w:tcW w:w="2127" w:type="dxa"/>
            <w:shd w:val="clear" w:color="auto" w:fill="auto"/>
            <w:vAlign w:val="center"/>
          </w:tcPr>
          <w:p w14:paraId="5685E7DD" w14:textId="757335BC" w:rsidR="00A41592" w:rsidRPr="00586687" w:rsidRDefault="00A41592" w:rsidP="00143694">
            <w:pPr>
              <w:jc w:val="center"/>
              <w:rPr>
                <w:bCs/>
                <w:szCs w:val="17"/>
                <w:highlight w:val="yellow"/>
              </w:rPr>
            </w:pPr>
            <w:r w:rsidRPr="00586687">
              <w:rPr>
                <w:bCs/>
                <w:szCs w:val="17"/>
              </w:rPr>
              <w:t>Sustainability</w:t>
            </w:r>
            <w:r w:rsidR="000A71C2" w:rsidRPr="00586687">
              <w:rPr>
                <w:bCs/>
                <w:szCs w:val="17"/>
              </w:rPr>
              <w:t>/ Proportionality</w:t>
            </w:r>
          </w:p>
        </w:tc>
        <w:tc>
          <w:tcPr>
            <w:tcW w:w="1471" w:type="dxa"/>
            <w:shd w:val="clear" w:color="auto" w:fill="auto"/>
            <w:vAlign w:val="center"/>
          </w:tcPr>
          <w:p w14:paraId="6A1CEAA7" w14:textId="38123F2B" w:rsidR="00A41592" w:rsidRPr="00586687" w:rsidRDefault="00A41592" w:rsidP="00143694">
            <w:pPr>
              <w:jc w:val="center"/>
              <w:rPr>
                <w:b/>
                <w:color w:val="808080" w:themeColor="background1" w:themeShade="80"/>
                <w:szCs w:val="17"/>
              </w:rPr>
            </w:pPr>
            <w:r w:rsidRPr="00586687">
              <w:rPr>
                <w:b/>
                <w:color w:val="808080" w:themeColor="background1" w:themeShade="80"/>
                <w:szCs w:val="17"/>
              </w:rPr>
              <w:t>Neutral</w:t>
            </w:r>
          </w:p>
        </w:tc>
      </w:tr>
      <w:tr w:rsidR="00A41592" w:rsidRPr="00586687" w14:paraId="11C03B1D" w14:textId="77777777" w:rsidTr="00A2044B">
        <w:trPr>
          <w:trHeight w:val="494"/>
        </w:trPr>
        <w:tc>
          <w:tcPr>
            <w:tcW w:w="696" w:type="dxa"/>
            <w:shd w:val="clear" w:color="auto" w:fill="auto"/>
            <w:vAlign w:val="center"/>
          </w:tcPr>
          <w:p w14:paraId="59B4A313" w14:textId="086310C1" w:rsidR="00A41592" w:rsidRPr="00586687" w:rsidRDefault="00A41592" w:rsidP="00143694">
            <w:pPr>
              <w:jc w:val="center"/>
              <w:rPr>
                <w:bCs/>
                <w:szCs w:val="17"/>
              </w:rPr>
            </w:pPr>
            <w:r w:rsidRPr="00586687">
              <w:rPr>
                <w:szCs w:val="17"/>
              </w:rPr>
              <w:t>506</w:t>
            </w:r>
          </w:p>
        </w:tc>
        <w:tc>
          <w:tcPr>
            <w:tcW w:w="1931" w:type="dxa"/>
            <w:shd w:val="clear" w:color="auto" w:fill="auto"/>
            <w:vAlign w:val="center"/>
          </w:tcPr>
          <w:p w14:paraId="767EDE0E" w14:textId="77777777" w:rsidR="00A41592" w:rsidRPr="00586687" w:rsidRDefault="00A41592" w:rsidP="00143694">
            <w:pPr>
              <w:jc w:val="center"/>
            </w:pPr>
            <w:r w:rsidRPr="00586687">
              <w:rPr>
                <w:rStyle w:val="HideTWBExt"/>
              </w:rPr>
              <w:t>&lt;Article2&gt;</w:t>
            </w:r>
            <w:r w:rsidRPr="00586687">
              <w:t>Article 45a – paragraph 5</w:t>
            </w:r>
            <w:r w:rsidRPr="00586687">
              <w:rPr>
                <w:rStyle w:val="HideTWBExt"/>
              </w:rPr>
              <w:t>&lt;/Article2&gt;</w:t>
            </w:r>
          </w:p>
          <w:p w14:paraId="01E0F2BD" w14:textId="77777777" w:rsidR="00A41592" w:rsidRPr="00586687" w:rsidRDefault="00A41592" w:rsidP="00143694">
            <w:pPr>
              <w:jc w:val="center"/>
              <w:rPr>
                <w:bCs/>
                <w:szCs w:val="17"/>
              </w:rPr>
            </w:pPr>
          </w:p>
        </w:tc>
        <w:tc>
          <w:tcPr>
            <w:tcW w:w="6588" w:type="dxa"/>
            <w:shd w:val="clear" w:color="auto" w:fill="auto"/>
          </w:tcPr>
          <w:p w14:paraId="2DCCE02D" w14:textId="0C541EB0" w:rsidR="00A41592" w:rsidRPr="00586687" w:rsidRDefault="00A41592" w:rsidP="00143694">
            <w:pPr>
              <w:jc w:val="left"/>
              <w:rPr>
                <w:bCs/>
                <w:szCs w:val="17"/>
              </w:rPr>
            </w:pPr>
            <w:r w:rsidRPr="00586687">
              <w:rPr>
                <w:szCs w:val="17"/>
              </w:rPr>
              <w:t>LRPUs can be required to conduct climate change scenario analysis on less frequent intervals, but max five years.</w:t>
            </w:r>
          </w:p>
        </w:tc>
        <w:tc>
          <w:tcPr>
            <w:tcW w:w="1842" w:type="dxa"/>
            <w:shd w:val="clear" w:color="auto" w:fill="auto"/>
            <w:vAlign w:val="center"/>
          </w:tcPr>
          <w:p w14:paraId="27C0FBF0" w14:textId="647A5272" w:rsidR="00A41592" w:rsidRPr="00586687" w:rsidRDefault="00A41592" w:rsidP="00143694">
            <w:pPr>
              <w:jc w:val="center"/>
              <w:rPr>
                <w:bCs/>
                <w:szCs w:val="17"/>
              </w:rPr>
            </w:pPr>
            <w:r w:rsidRPr="00586687">
              <w:rPr>
                <w:szCs w:val="17"/>
              </w:rPr>
              <w:t>Hahn</w:t>
            </w:r>
          </w:p>
        </w:tc>
        <w:tc>
          <w:tcPr>
            <w:tcW w:w="2127" w:type="dxa"/>
            <w:shd w:val="clear" w:color="auto" w:fill="auto"/>
            <w:vAlign w:val="center"/>
          </w:tcPr>
          <w:p w14:paraId="318DEBA6" w14:textId="686711DB" w:rsidR="00A41592" w:rsidRPr="00586687" w:rsidRDefault="00A41592" w:rsidP="00143694">
            <w:pPr>
              <w:jc w:val="center"/>
              <w:rPr>
                <w:bCs/>
                <w:szCs w:val="17"/>
                <w:highlight w:val="yellow"/>
              </w:rPr>
            </w:pPr>
            <w:r w:rsidRPr="00586687">
              <w:rPr>
                <w:bCs/>
                <w:szCs w:val="17"/>
              </w:rPr>
              <w:t>Sustainability</w:t>
            </w:r>
            <w:r w:rsidR="0099176A" w:rsidRPr="00586687">
              <w:rPr>
                <w:bCs/>
                <w:szCs w:val="17"/>
              </w:rPr>
              <w:t>/Proportionality</w:t>
            </w:r>
          </w:p>
        </w:tc>
        <w:tc>
          <w:tcPr>
            <w:tcW w:w="1471" w:type="dxa"/>
            <w:shd w:val="clear" w:color="auto" w:fill="auto"/>
            <w:vAlign w:val="center"/>
          </w:tcPr>
          <w:p w14:paraId="2C960165" w14:textId="4C51AA30" w:rsidR="00A41592" w:rsidRPr="00586687" w:rsidRDefault="00A41592" w:rsidP="00143694">
            <w:pPr>
              <w:jc w:val="center"/>
              <w:rPr>
                <w:b/>
                <w:color w:val="808080" w:themeColor="background1" w:themeShade="80"/>
                <w:szCs w:val="17"/>
              </w:rPr>
            </w:pPr>
            <w:r w:rsidRPr="00586687">
              <w:rPr>
                <w:b/>
                <w:color w:val="808080" w:themeColor="background1" w:themeShade="80"/>
                <w:szCs w:val="17"/>
              </w:rPr>
              <w:t>Neutral</w:t>
            </w:r>
          </w:p>
        </w:tc>
      </w:tr>
      <w:tr w:rsidR="00A41592" w:rsidRPr="00586687" w14:paraId="2B7C3EC9" w14:textId="77777777" w:rsidTr="00A2044B">
        <w:trPr>
          <w:trHeight w:val="494"/>
        </w:trPr>
        <w:tc>
          <w:tcPr>
            <w:tcW w:w="696" w:type="dxa"/>
            <w:shd w:val="clear" w:color="auto" w:fill="auto"/>
            <w:vAlign w:val="center"/>
          </w:tcPr>
          <w:p w14:paraId="16A87C96" w14:textId="383DBDEB" w:rsidR="00A41592" w:rsidRPr="00586687" w:rsidRDefault="00A41592" w:rsidP="00143694">
            <w:pPr>
              <w:jc w:val="center"/>
              <w:rPr>
                <w:bCs/>
                <w:szCs w:val="17"/>
              </w:rPr>
            </w:pPr>
            <w:r w:rsidRPr="00586687">
              <w:rPr>
                <w:szCs w:val="17"/>
              </w:rPr>
              <w:t>507</w:t>
            </w:r>
          </w:p>
        </w:tc>
        <w:tc>
          <w:tcPr>
            <w:tcW w:w="1931" w:type="dxa"/>
            <w:shd w:val="clear" w:color="auto" w:fill="auto"/>
            <w:vAlign w:val="center"/>
          </w:tcPr>
          <w:p w14:paraId="58C0510B" w14:textId="3C0845FA" w:rsidR="00A41592" w:rsidRPr="00586687" w:rsidRDefault="00A41592" w:rsidP="00143694">
            <w:pPr>
              <w:jc w:val="center"/>
              <w:rPr>
                <w:bCs/>
                <w:szCs w:val="17"/>
              </w:rPr>
            </w:pPr>
            <w:r w:rsidRPr="00586687">
              <w:rPr>
                <w:szCs w:val="17"/>
              </w:rPr>
              <w:t>Article 45a – paragraph 5 a (new)</w:t>
            </w:r>
          </w:p>
        </w:tc>
        <w:tc>
          <w:tcPr>
            <w:tcW w:w="6588" w:type="dxa"/>
            <w:shd w:val="clear" w:color="auto" w:fill="auto"/>
          </w:tcPr>
          <w:p w14:paraId="64F208EE" w14:textId="578EC5B3" w:rsidR="00A41592" w:rsidRPr="00586687" w:rsidRDefault="00A41592" w:rsidP="00143694">
            <w:pPr>
              <w:jc w:val="left"/>
              <w:rPr>
                <w:bCs/>
                <w:szCs w:val="17"/>
              </w:rPr>
            </w:pPr>
            <w:r w:rsidRPr="00586687">
              <w:rPr>
                <w:szCs w:val="17"/>
              </w:rPr>
              <w:t>Insurance undertakings that can demonstrate that they do not have any material exposure to climate change risks shall neither be required to specify climate change scenarios nor to assess their impact on the business of the undertaking.</w:t>
            </w:r>
          </w:p>
        </w:tc>
        <w:tc>
          <w:tcPr>
            <w:tcW w:w="1842" w:type="dxa"/>
            <w:shd w:val="clear" w:color="auto" w:fill="auto"/>
            <w:vAlign w:val="center"/>
          </w:tcPr>
          <w:p w14:paraId="344D8EEB" w14:textId="4761F156" w:rsidR="00A41592" w:rsidRPr="00586687" w:rsidRDefault="00A41592" w:rsidP="00143694">
            <w:pPr>
              <w:jc w:val="center"/>
              <w:rPr>
                <w:bCs/>
                <w:szCs w:val="17"/>
              </w:rPr>
            </w:pPr>
            <w:r w:rsidRPr="00586687">
              <w:rPr>
                <w:szCs w:val="17"/>
              </w:rPr>
              <w:t>MacManus</w:t>
            </w:r>
          </w:p>
        </w:tc>
        <w:tc>
          <w:tcPr>
            <w:tcW w:w="2127" w:type="dxa"/>
            <w:shd w:val="clear" w:color="auto" w:fill="auto"/>
            <w:vAlign w:val="center"/>
          </w:tcPr>
          <w:p w14:paraId="1E709BE6" w14:textId="34339A61" w:rsidR="00A41592" w:rsidRPr="00586687" w:rsidRDefault="00A41592" w:rsidP="00143694">
            <w:pPr>
              <w:jc w:val="center"/>
              <w:rPr>
                <w:bCs/>
                <w:szCs w:val="17"/>
                <w:highlight w:val="yellow"/>
              </w:rPr>
            </w:pPr>
            <w:r w:rsidRPr="00586687">
              <w:rPr>
                <w:bCs/>
                <w:szCs w:val="17"/>
              </w:rPr>
              <w:t>Sustainability</w:t>
            </w:r>
          </w:p>
        </w:tc>
        <w:tc>
          <w:tcPr>
            <w:tcW w:w="1471" w:type="dxa"/>
            <w:shd w:val="clear" w:color="auto" w:fill="auto"/>
            <w:vAlign w:val="center"/>
          </w:tcPr>
          <w:p w14:paraId="611987D1" w14:textId="5C5E2F4A" w:rsidR="00A41592" w:rsidRPr="00586687" w:rsidRDefault="00A41592"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630DEF4F" w14:textId="77777777" w:rsidTr="00A2044B">
        <w:trPr>
          <w:trHeight w:val="494"/>
        </w:trPr>
        <w:tc>
          <w:tcPr>
            <w:tcW w:w="696" w:type="dxa"/>
            <w:shd w:val="clear" w:color="auto" w:fill="auto"/>
            <w:vAlign w:val="center"/>
          </w:tcPr>
          <w:p w14:paraId="79F9C051" w14:textId="31B1B1E3" w:rsidR="008E3302" w:rsidRPr="00586687" w:rsidRDefault="00F45B26" w:rsidP="00143694">
            <w:pPr>
              <w:jc w:val="center"/>
              <w:rPr>
                <w:szCs w:val="17"/>
              </w:rPr>
            </w:pPr>
            <w:r w:rsidRPr="00586687">
              <w:rPr>
                <w:szCs w:val="17"/>
              </w:rPr>
              <w:t>508</w:t>
            </w:r>
          </w:p>
        </w:tc>
        <w:tc>
          <w:tcPr>
            <w:tcW w:w="1931" w:type="dxa"/>
            <w:shd w:val="clear" w:color="auto" w:fill="auto"/>
            <w:vAlign w:val="center"/>
          </w:tcPr>
          <w:p w14:paraId="7D53D829" w14:textId="5B4BB543" w:rsidR="008E3302" w:rsidRPr="00586687" w:rsidRDefault="00F45B26" w:rsidP="00143694">
            <w:pPr>
              <w:jc w:val="center"/>
              <w:rPr>
                <w:szCs w:val="17"/>
              </w:rPr>
            </w:pPr>
            <w:r w:rsidRPr="00586687">
              <w:rPr>
                <w:szCs w:val="17"/>
              </w:rPr>
              <w:t>Article 45a – paragraph 5 a (new)</w:t>
            </w:r>
          </w:p>
        </w:tc>
        <w:tc>
          <w:tcPr>
            <w:tcW w:w="6588" w:type="dxa"/>
            <w:shd w:val="clear" w:color="auto" w:fill="auto"/>
          </w:tcPr>
          <w:p w14:paraId="14989D1A" w14:textId="31D99048" w:rsidR="008E3302" w:rsidRPr="00586687" w:rsidRDefault="00A72B8A" w:rsidP="00143694">
            <w:pPr>
              <w:jc w:val="left"/>
              <w:rPr>
                <w:szCs w:val="17"/>
              </w:rPr>
            </w:pPr>
            <w:r w:rsidRPr="00586687">
              <w:rPr>
                <w:szCs w:val="17"/>
              </w:rPr>
              <w:t>EIOPA shall develop guidelines to facilitate common supervisory tools and specify the principles to be used when conducting long-term climate change scenario analyses.</w:t>
            </w:r>
          </w:p>
        </w:tc>
        <w:tc>
          <w:tcPr>
            <w:tcW w:w="1842" w:type="dxa"/>
            <w:shd w:val="clear" w:color="auto" w:fill="auto"/>
            <w:vAlign w:val="center"/>
          </w:tcPr>
          <w:p w14:paraId="3DCF99D4" w14:textId="378EEC64" w:rsidR="008E3302" w:rsidRPr="00586687" w:rsidRDefault="009A787B" w:rsidP="00143694">
            <w:pPr>
              <w:jc w:val="center"/>
              <w:rPr>
                <w:szCs w:val="17"/>
              </w:rPr>
            </w:pPr>
            <w:r w:rsidRPr="00586687">
              <w:rPr>
                <w:szCs w:val="17"/>
              </w:rPr>
              <w:t xml:space="preserve">Yon-Courtin, Boyer, </w:t>
            </w:r>
            <w:proofErr w:type="spellStart"/>
            <w:r w:rsidRPr="00586687">
              <w:rPr>
                <w:szCs w:val="17"/>
              </w:rPr>
              <w:t>Canfin</w:t>
            </w:r>
            <w:proofErr w:type="spellEnd"/>
            <w:r w:rsidRPr="00586687">
              <w:rPr>
                <w:szCs w:val="17"/>
              </w:rPr>
              <w:t>, Durand</w:t>
            </w:r>
          </w:p>
        </w:tc>
        <w:tc>
          <w:tcPr>
            <w:tcW w:w="2127" w:type="dxa"/>
            <w:shd w:val="clear" w:color="auto" w:fill="auto"/>
            <w:vAlign w:val="center"/>
          </w:tcPr>
          <w:p w14:paraId="604D3A5F" w14:textId="542DB39E" w:rsidR="008E3302" w:rsidRPr="00586687" w:rsidRDefault="00A41592" w:rsidP="00143694">
            <w:pPr>
              <w:jc w:val="center"/>
              <w:rPr>
                <w:szCs w:val="17"/>
                <w:highlight w:val="yellow"/>
              </w:rPr>
            </w:pPr>
            <w:r w:rsidRPr="00586687">
              <w:rPr>
                <w:bCs/>
                <w:szCs w:val="17"/>
              </w:rPr>
              <w:t>Sustainability</w:t>
            </w:r>
          </w:p>
        </w:tc>
        <w:tc>
          <w:tcPr>
            <w:tcW w:w="1471" w:type="dxa"/>
            <w:shd w:val="clear" w:color="auto" w:fill="auto"/>
            <w:vAlign w:val="center"/>
          </w:tcPr>
          <w:p w14:paraId="0DC53EFC" w14:textId="25906CB2" w:rsidR="008E3302" w:rsidRPr="00586687" w:rsidRDefault="005028A4" w:rsidP="00143694">
            <w:pPr>
              <w:jc w:val="center"/>
              <w:rPr>
                <w:b/>
                <w:color w:val="808080" w:themeColor="background1" w:themeShade="80"/>
                <w:szCs w:val="17"/>
              </w:rPr>
            </w:pPr>
            <w:r w:rsidRPr="00586687">
              <w:rPr>
                <w:b/>
                <w:color w:val="808080" w:themeColor="background1" w:themeShade="80"/>
                <w:szCs w:val="17"/>
              </w:rPr>
              <w:t>Neutral</w:t>
            </w:r>
          </w:p>
        </w:tc>
      </w:tr>
      <w:tr w:rsidR="008E3302" w:rsidRPr="00586687" w14:paraId="3B2EAA30" w14:textId="77777777" w:rsidTr="00A2044B">
        <w:trPr>
          <w:trHeight w:val="494"/>
        </w:trPr>
        <w:tc>
          <w:tcPr>
            <w:tcW w:w="696" w:type="dxa"/>
            <w:shd w:val="clear" w:color="auto" w:fill="auto"/>
            <w:vAlign w:val="center"/>
          </w:tcPr>
          <w:p w14:paraId="28A29885" w14:textId="14738CEE" w:rsidR="008E3302" w:rsidRPr="00586687" w:rsidRDefault="00966022" w:rsidP="00143694">
            <w:pPr>
              <w:jc w:val="center"/>
              <w:rPr>
                <w:szCs w:val="17"/>
              </w:rPr>
            </w:pPr>
            <w:r w:rsidRPr="00586687">
              <w:rPr>
                <w:szCs w:val="17"/>
              </w:rPr>
              <w:t>509</w:t>
            </w:r>
            <w:r w:rsidR="005652A6" w:rsidRPr="00586687">
              <w:rPr>
                <w:szCs w:val="17"/>
              </w:rPr>
              <w:t>-510</w:t>
            </w:r>
            <w:r w:rsidR="009543AD" w:rsidRPr="00586687">
              <w:rPr>
                <w:szCs w:val="17"/>
              </w:rPr>
              <w:t>-511</w:t>
            </w:r>
            <w:r w:rsidR="001A36E6" w:rsidRPr="00586687">
              <w:rPr>
                <w:szCs w:val="17"/>
              </w:rPr>
              <w:t>-512</w:t>
            </w:r>
          </w:p>
        </w:tc>
        <w:tc>
          <w:tcPr>
            <w:tcW w:w="1931" w:type="dxa"/>
            <w:shd w:val="clear" w:color="auto" w:fill="auto"/>
            <w:vAlign w:val="center"/>
          </w:tcPr>
          <w:p w14:paraId="00C1F299" w14:textId="1E744BC4" w:rsidR="008E3302" w:rsidRPr="00586687" w:rsidRDefault="00966022" w:rsidP="00143694">
            <w:pPr>
              <w:jc w:val="center"/>
              <w:rPr>
                <w:szCs w:val="17"/>
              </w:rPr>
            </w:pPr>
            <w:r w:rsidRPr="00586687">
              <w:rPr>
                <w:szCs w:val="17"/>
              </w:rPr>
              <w:t>Article 50 – paragraph 1</w:t>
            </w:r>
          </w:p>
        </w:tc>
        <w:tc>
          <w:tcPr>
            <w:tcW w:w="6588" w:type="dxa"/>
            <w:shd w:val="clear" w:color="auto" w:fill="auto"/>
          </w:tcPr>
          <w:p w14:paraId="4EEEE73F" w14:textId="1489ECFD" w:rsidR="00880986" w:rsidRPr="00586687" w:rsidRDefault="00906BF0" w:rsidP="00143694">
            <w:pPr>
              <w:jc w:val="left"/>
              <w:rPr>
                <w:szCs w:val="17"/>
              </w:rPr>
            </w:pPr>
            <w:r w:rsidRPr="00586687">
              <w:rPr>
                <w:szCs w:val="17"/>
              </w:rPr>
              <w:t xml:space="preserve">Added the </w:t>
            </w:r>
            <w:r w:rsidR="00250339" w:rsidRPr="00586687">
              <w:rPr>
                <w:szCs w:val="17"/>
              </w:rPr>
              <w:t xml:space="preserve">following elements to be specified by </w:t>
            </w:r>
            <w:r w:rsidR="0028214D" w:rsidRPr="00586687">
              <w:rPr>
                <w:szCs w:val="17"/>
              </w:rPr>
              <w:t>delegated acts:</w:t>
            </w:r>
          </w:p>
          <w:p w14:paraId="5713BE51" w14:textId="25B27931" w:rsidR="00880986" w:rsidRPr="00586687" w:rsidRDefault="007346D3" w:rsidP="00143694">
            <w:pPr>
              <w:jc w:val="left"/>
              <w:rPr>
                <w:szCs w:val="17"/>
              </w:rPr>
            </w:pPr>
            <w:r w:rsidRPr="00586687">
              <w:rPr>
                <w:szCs w:val="17"/>
              </w:rPr>
              <w:t>c)</w:t>
            </w:r>
            <w:r w:rsidR="0028214D" w:rsidRPr="00586687">
              <w:rPr>
                <w:szCs w:val="17"/>
              </w:rPr>
              <w:t xml:space="preserve"> </w:t>
            </w:r>
            <w:r w:rsidR="00880986" w:rsidRPr="00586687">
              <w:rPr>
                <w:szCs w:val="17"/>
              </w:rPr>
              <w:t>min</w:t>
            </w:r>
            <w:r w:rsidR="00B84974" w:rsidRPr="00586687">
              <w:rPr>
                <w:szCs w:val="17"/>
              </w:rPr>
              <w:t>.</w:t>
            </w:r>
            <w:r w:rsidR="00880986" w:rsidRPr="00586687">
              <w:rPr>
                <w:szCs w:val="17"/>
              </w:rPr>
              <w:t xml:space="preserve"> standards and reference methodologies for the transition plans</w:t>
            </w:r>
            <w:r w:rsidR="0028214D" w:rsidRPr="00586687">
              <w:rPr>
                <w:szCs w:val="17"/>
              </w:rPr>
              <w:t>.</w:t>
            </w:r>
          </w:p>
          <w:p w14:paraId="2B7907B0" w14:textId="4B0DB5B9" w:rsidR="00880986" w:rsidRPr="00586687" w:rsidRDefault="007346D3" w:rsidP="00143694">
            <w:pPr>
              <w:jc w:val="left"/>
              <w:rPr>
                <w:szCs w:val="17"/>
              </w:rPr>
            </w:pPr>
            <w:r w:rsidRPr="00586687">
              <w:rPr>
                <w:szCs w:val="17"/>
              </w:rPr>
              <w:t>d)</w:t>
            </w:r>
            <w:r w:rsidR="00880986" w:rsidRPr="00586687">
              <w:rPr>
                <w:szCs w:val="17"/>
              </w:rPr>
              <w:t xml:space="preserve"> specific, measurable targets based on scientific evidence</w:t>
            </w:r>
            <w:r w:rsidR="0028214D" w:rsidRPr="00586687">
              <w:rPr>
                <w:szCs w:val="17"/>
              </w:rPr>
              <w:t>.</w:t>
            </w:r>
          </w:p>
          <w:p w14:paraId="6E1B0886" w14:textId="244D98B2" w:rsidR="0071666D" w:rsidRPr="00586687" w:rsidRDefault="007346D3" w:rsidP="00143694">
            <w:pPr>
              <w:jc w:val="left"/>
              <w:rPr>
                <w:szCs w:val="17"/>
              </w:rPr>
            </w:pPr>
            <w:r w:rsidRPr="00586687">
              <w:rPr>
                <w:szCs w:val="17"/>
              </w:rPr>
              <w:t>e)</w:t>
            </w:r>
            <w:r w:rsidR="0028214D" w:rsidRPr="00586687">
              <w:rPr>
                <w:szCs w:val="17"/>
              </w:rPr>
              <w:t xml:space="preserve"> </w:t>
            </w:r>
            <w:r w:rsidR="00880986" w:rsidRPr="00586687">
              <w:rPr>
                <w:szCs w:val="17"/>
              </w:rPr>
              <w:t>min</w:t>
            </w:r>
            <w:r w:rsidR="00B84974" w:rsidRPr="00586687">
              <w:rPr>
                <w:szCs w:val="17"/>
              </w:rPr>
              <w:t>.</w:t>
            </w:r>
            <w:r w:rsidR="00880986" w:rsidRPr="00586687">
              <w:rPr>
                <w:szCs w:val="17"/>
              </w:rPr>
              <w:t xml:space="preserve"> standards and reference methodologies on how undertakings should integrate sustainability risks and adverse impacts on sustainability factors into their risk management systems</w:t>
            </w:r>
            <w:r w:rsidR="0028214D" w:rsidRPr="00586687">
              <w:rPr>
                <w:szCs w:val="17"/>
              </w:rPr>
              <w:t>.</w:t>
            </w:r>
          </w:p>
          <w:p w14:paraId="67995EC1" w14:textId="75E5C634" w:rsidR="00880986" w:rsidRPr="00586687" w:rsidRDefault="007346D3" w:rsidP="00143694">
            <w:pPr>
              <w:jc w:val="left"/>
              <w:rPr>
                <w:szCs w:val="17"/>
              </w:rPr>
            </w:pPr>
            <w:r w:rsidRPr="00586687">
              <w:rPr>
                <w:szCs w:val="17"/>
              </w:rPr>
              <w:t xml:space="preserve">/ </w:t>
            </w:r>
            <w:r w:rsidR="0071666D" w:rsidRPr="00586687">
              <w:rPr>
                <w:i/>
                <w:szCs w:val="17"/>
              </w:rPr>
              <w:t>Tang:</w:t>
            </w:r>
            <w:r w:rsidRPr="00586687">
              <w:rPr>
                <w:szCs w:val="17"/>
              </w:rPr>
              <w:t xml:space="preserve"> s</w:t>
            </w:r>
            <w:r w:rsidR="007650D9" w:rsidRPr="00586687">
              <w:rPr>
                <w:szCs w:val="17"/>
              </w:rPr>
              <w:t>imilar</w:t>
            </w:r>
            <w:r w:rsidRPr="00586687">
              <w:rPr>
                <w:szCs w:val="17"/>
              </w:rPr>
              <w:t xml:space="preserve"> c)</w:t>
            </w:r>
            <w:r w:rsidR="0071666D" w:rsidRPr="00586687">
              <w:rPr>
                <w:szCs w:val="17"/>
              </w:rPr>
              <w:t xml:space="preserve">; </w:t>
            </w:r>
            <w:r w:rsidR="007650D9" w:rsidRPr="00586687">
              <w:rPr>
                <w:szCs w:val="17"/>
              </w:rPr>
              <w:t>d)</w:t>
            </w:r>
            <w:r w:rsidR="0071666D" w:rsidRPr="00586687">
              <w:rPr>
                <w:szCs w:val="17"/>
              </w:rPr>
              <w:t xml:space="preserve"> is</w:t>
            </w:r>
            <w:r w:rsidR="007650D9" w:rsidRPr="00586687">
              <w:rPr>
                <w:szCs w:val="17"/>
              </w:rPr>
              <w:t xml:space="preserve"> similar</w:t>
            </w:r>
            <w:r w:rsidR="005652A6" w:rsidRPr="00586687">
              <w:rPr>
                <w:szCs w:val="17"/>
              </w:rPr>
              <w:t xml:space="preserve"> to e) by MacManus</w:t>
            </w:r>
            <w:r w:rsidR="00B84974" w:rsidRPr="00586687">
              <w:rPr>
                <w:szCs w:val="17"/>
              </w:rPr>
              <w:t>’</w:t>
            </w:r>
            <w:r w:rsidR="008F2F4D" w:rsidRPr="00586687">
              <w:rPr>
                <w:szCs w:val="17"/>
              </w:rPr>
              <w:t>.</w:t>
            </w:r>
          </w:p>
          <w:p w14:paraId="252935AF" w14:textId="77777777" w:rsidR="00B84974" w:rsidRPr="00586687" w:rsidRDefault="00B84974" w:rsidP="00143694">
            <w:pPr>
              <w:jc w:val="left"/>
              <w:rPr>
                <w:szCs w:val="17"/>
              </w:rPr>
            </w:pPr>
          </w:p>
          <w:p w14:paraId="4CE1D393" w14:textId="4D7FDB59" w:rsidR="0071666D" w:rsidRPr="00586687" w:rsidRDefault="0071666D" w:rsidP="00143694">
            <w:pPr>
              <w:jc w:val="left"/>
              <w:rPr>
                <w:szCs w:val="17"/>
              </w:rPr>
            </w:pPr>
            <w:r w:rsidRPr="00586687">
              <w:rPr>
                <w:szCs w:val="17"/>
              </w:rPr>
              <w:lastRenderedPageBreak/>
              <w:t xml:space="preserve">/ </w:t>
            </w:r>
            <w:proofErr w:type="spellStart"/>
            <w:r w:rsidRPr="00586687">
              <w:rPr>
                <w:i/>
                <w:szCs w:val="17"/>
              </w:rPr>
              <w:t>Lalucq</w:t>
            </w:r>
            <w:proofErr w:type="spellEnd"/>
            <w:r w:rsidRPr="00586687">
              <w:rPr>
                <w:i/>
                <w:szCs w:val="17"/>
              </w:rPr>
              <w:t>:</w:t>
            </w:r>
            <w:r w:rsidRPr="00586687">
              <w:rPr>
                <w:szCs w:val="17"/>
              </w:rPr>
              <w:t xml:space="preserve"> similar c);</w:t>
            </w:r>
            <w:r w:rsidR="007346D3" w:rsidRPr="00586687">
              <w:rPr>
                <w:szCs w:val="17"/>
              </w:rPr>
              <w:t xml:space="preserve"> and</w:t>
            </w:r>
            <w:r w:rsidR="007650D9" w:rsidRPr="00586687">
              <w:rPr>
                <w:szCs w:val="17"/>
              </w:rPr>
              <w:t xml:space="preserve"> </w:t>
            </w:r>
            <w:r w:rsidRPr="00586687">
              <w:rPr>
                <w:szCs w:val="17"/>
              </w:rPr>
              <w:t>similar d)</w:t>
            </w:r>
            <w:r w:rsidR="007650D9" w:rsidRPr="00586687">
              <w:rPr>
                <w:szCs w:val="17"/>
              </w:rPr>
              <w:t xml:space="preserve"> </w:t>
            </w:r>
            <w:r w:rsidR="003E3F87" w:rsidRPr="00586687">
              <w:rPr>
                <w:szCs w:val="17"/>
              </w:rPr>
              <w:t>as</w:t>
            </w:r>
            <w:r w:rsidR="005652A6" w:rsidRPr="00586687">
              <w:rPr>
                <w:szCs w:val="17"/>
              </w:rPr>
              <w:t xml:space="preserve"> </w:t>
            </w:r>
            <w:r w:rsidRPr="00586687">
              <w:rPr>
                <w:szCs w:val="17"/>
              </w:rPr>
              <w:t>MacManus</w:t>
            </w:r>
            <w:r w:rsidR="00B84974" w:rsidRPr="00586687">
              <w:rPr>
                <w:szCs w:val="17"/>
              </w:rPr>
              <w:t>’</w:t>
            </w:r>
            <w:r w:rsidR="008F2F4D" w:rsidRPr="00586687">
              <w:rPr>
                <w:szCs w:val="17"/>
              </w:rPr>
              <w:t>.</w:t>
            </w:r>
          </w:p>
          <w:p w14:paraId="1A4C5E9B" w14:textId="77777777" w:rsidR="00B84974" w:rsidRPr="00586687" w:rsidRDefault="00B84974" w:rsidP="00143694">
            <w:pPr>
              <w:jc w:val="left"/>
              <w:rPr>
                <w:szCs w:val="17"/>
              </w:rPr>
            </w:pPr>
          </w:p>
          <w:p w14:paraId="2B84879D" w14:textId="78764214" w:rsidR="008E3302" w:rsidRPr="00586687" w:rsidRDefault="008F2F4D" w:rsidP="00143694">
            <w:pPr>
              <w:jc w:val="left"/>
              <w:rPr>
                <w:szCs w:val="17"/>
              </w:rPr>
            </w:pPr>
            <w:r w:rsidRPr="00586687">
              <w:rPr>
                <w:szCs w:val="17"/>
              </w:rPr>
              <w:t xml:space="preserve">/ </w:t>
            </w:r>
            <w:r w:rsidRPr="00586687">
              <w:rPr>
                <w:i/>
                <w:szCs w:val="17"/>
              </w:rPr>
              <w:t>Hahn:</w:t>
            </w:r>
            <w:r w:rsidRPr="00586687">
              <w:rPr>
                <w:szCs w:val="17"/>
              </w:rPr>
              <w:t xml:space="preserve"> similar </w:t>
            </w:r>
            <w:r w:rsidR="00B84974" w:rsidRPr="00586687">
              <w:rPr>
                <w:szCs w:val="17"/>
              </w:rPr>
              <w:t>as MacManus’</w:t>
            </w:r>
            <w:r w:rsidRPr="00586687">
              <w:rPr>
                <w:szCs w:val="17"/>
              </w:rPr>
              <w:t xml:space="preserve"> c)</w:t>
            </w:r>
          </w:p>
        </w:tc>
        <w:tc>
          <w:tcPr>
            <w:tcW w:w="1842" w:type="dxa"/>
            <w:shd w:val="clear" w:color="auto" w:fill="auto"/>
            <w:vAlign w:val="center"/>
          </w:tcPr>
          <w:p w14:paraId="16535613" w14:textId="4A54997C" w:rsidR="008E3302" w:rsidRPr="00586687" w:rsidRDefault="00442C07" w:rsidP="00143694">
            <w:pPr>
              <w:jc w:val="center"/>
              <w:rPr>
                <w:szCs w:val="17"/>
              </w:rPr>
            </w:pPr>
            <w:r w:rsidRPr="00586687">
              <w:rPr>
                <w:szCs w:val="17"/>
              </w:rPr>
              <w:lastRenderedPageBreak/>
              <w:t>MacManus</w:t>
            </w:r>
            <w:r w:rsidR="00342BEE" w:rsidRPr="00586687">
              <w:rPr>
                <w:szCs w:val="17"/>
              </w:rPr>
              <w:t>/ Tang</w:t>
            </w:r>
            <w:r w:rsidR="009543AD" w:rsidRPr="00586687">
              <w:rPr>
                <w:szCs w:val="17"/>
              </w:rPr>
              <w:t>/</w:t>
            </w:r>
            <w:r w:rsidR="002F5F47" w:rsidRPr="00586687">
              <w:t xml:space="preserve"> </w:t>
            </w:r>
            <w:proofErr w:type="spellStart"/>
            <w:r w:rsidR="002F5F47" w:rsidRPr="00586687">
              <w:rPr>
                <w:szCs w:val="17"/>
              </w:rPr>
              <w:t>Lalucq</w:t>
            </w:r>
            <w:proofErr w:type="spellEnd"/>
            <w:r w:rsidR="008F2F4D" w:rsidRPr="00586687">
              <w:rPr>
                <w:szCs w:val="17"/>
              </w:rPr>
              <w:t>/</w:t>
            </w:r>
            <w:r w:rsidR="008F2F4D" w:rsidRPr="00586687">
              <w:t xml:space="preserve"> </w:t>
            </w:r>
            <w:r w:rsidR="008F2F4D" w:rsidRPr="00586687">
              <w:rPr>
                <w:szCs w:val="17"/>
              </w:rPr>
              <w:t>Hahn</w:t>
            </w:r>
          </w:p>
        </w:tc>
        <w:tc>
          <w:tcPr>
            <w:tcW w:w="2127" w:type="dxa"/>
            <w:shd w:val="clear" w:color="auto" w:fill="auto"/>
            <w:vAlign w:val="center"/>
          </w:tcPr>
          <w:p w14:paraId="1619D32F" w14:textId="31E189E9" w:rsidR="008E3302" w:rsidRPr="00586687" w:rsidRDefault="00A41592" w:rsidP="00143694">
            <w:pPr>
              <w:jc w:val="center"/>
              <w:rPr>
                <w:szCs w:val="17"/>
                <w:highlight w:val="yellow"/>
              </w:rPr>
            </w:pPr>
            <w:r w:rsidRPr="00586687">
              <w:rPr>
                <w:bCs/>
                <w:szCs w:val="17"/>
              </w:rPr>
              <w:t>Sustainability</w:t>
            </w:r>
            <w:r w:rsidRPr="00586687">
              <w:rPr>
                <w:szCs w:val="17"/>
              </w:rPr>
              <w:t xml:space="preserve"> / </w:t>
            </w:r>
            <w:r w:rsidR="00906BF0" w:rsidRPr="00586687">
              <w:rPr>
                <w:szCs w:val="17"/>
              </w:rPr>
              <w:t>Delegated acts and regulatory technical standards</w:t>
            </w:r>
          </w:p>
        </w:tc>
        <w:tc>
          <w:tcPr>
            <w:tcW w:w="1471" w:type="dxa"/>
            <w:shd w:val="clear" w:color="auto" w:fill="auto"/>
            <w:vAlign w:val="center"/>
          </w:tcPr>
          <w:p w14:paraId="77C77DB6" w14:textId="184267CF" w:rsidR="008E3302" w:rsidRPr="00586687" w:rsidRDefault="004C03E2" w:rsidP="00143694">
            <w:pPr>
              <w:jc w:val="center"/>
              <w:rPr>
                <w:b/>
                <w:color w:val="808080" w:themeColor="background1" w:themeShade="80"/>
                <w:szCs w:val="17"/>
              </w:rPr>
            </w:pPr>
            <w:r w:rsidRPr="00586687">
              <w:rPr>
                <w:b/>
                <w:color w:val="808080" w:themeColor="background1" w:themeShade="80"/>
                <w:szCs w:val="17"/>
              </w:rPr>
              <w:t>Neutral</w:t>
            </w:r>
          </w:p>
        </w:tc>
      </w:tr>
      <w:tr w:rsidR="0001250D" w:rsidRPr="00586687" w14:paraId="5830221B" w14:textId="77777777" w:rsidTr="00A2044B">
        <w:trPr>
          <w:trHeight w:val="494"/>
        </w:trPr>
        <w:tc>
          <w:tcPr>
            <w:tcW w:w="696" w:type="dxa"/>
            <w:shd w:val="clear" w:color="auto" w:fill="auto"/>
            <w:vAlign w:val="center"/>
          </w:tcPr>
          <w:p w14:paraId="05D8A71F" w14:textId="2A6F2531" w:rsidR="0001250D" w:rsidRPr="00586687" w:rsidRDefault="0001250D" w:rsidP="00143694">
            <w:pPr>
              <w:jc w:val="center"/>
              <w:rPr>
                <w:szCs w:val="17"/>
              </w:rPr>
            </w:pPr>
            <w:r w:rsidRPr="00586687">
              <w:rPr>
                <w:szCs w:val="17"/>
              </w:rPr>
              <w:t>513</w:t>
            </w:r>
          </w:p>
        </w:tc>
        <w:tc>
          <w:tcPr>
            <w:tcW w:w="1931" w:type="dxa"/>
            <w:shd w:val="clear" w:color="auto" w:fill="auto"/>
            <w:vAlign w:val="center"/>
          </w:tcPr>
          <w:p w14:paraId="6390120C" w14:textId="12F3A445" w:rsidR="0001250D" w:rsidRPr="00586687" w:rsidRDefault="0001250D" w:rsidP="00143694">
            <w:pPr>
              <w:jc w:val="center"/>
              <w:rPr>
                <w:szCs w:val="17"/>
              </w:rPr>
            </w:pPr>
            <w:r w:rsidRPr="00586687">
              <w:rPr>
                <w:szCs w:val="17"/>
              </w:rPr>
              <w:t>Article 45b (new)</w:t>
            </w:r>
          </w:p>
        </w:tc>
        <w:tc>
          <w:tcPr>
            <w:tcW w:w="6588" w:type="dxa"/>
            <w:shd w:val="clear" w:color="auto" w:fill="auto"/>
          </w:tcPr>
          <w:p w14:paraId="291142A2" w14:textId="09D8E508" w:rsidR="0001250D" w:rsidRPr="00586687" w:rsidRDefault="0001250D" w:rsidP="00143694">
            <w:pPr>
              <w:jc w:val="left"/>
              <w:rPr>
                <w:szCs w:val="17"/>
              </w:rPr>
            </w:pPr>
            <w:r w:rsidRPr="00586687">
              <w:rPr>
                <w:szCs w:val="17"/>
              </w:rPr>
              <w:t xml:space="preserve">Added a new art. establishing that the NSAs shall carry out at least every 2 years supervisory stress tests of ESG risks on institutions they supervise. Guidelines shall be developed by </w:t>
            </w:r>
            <w:proofErr w:type="gramStart"/>
            <w:r w:rsidRPr="00586687">
              <w:rPr>
                <w:szCs w:val="17"/>
              </w:rPr>
              <w:t>EBA ,EIOPA</w:t>
            </w:r>
            <w:proofErr w:type="gramEnd"/>
            <w:r w:rsidRPr="00586687">
              <w:rPr>
                <w:szCs w:val="17"/>
              </w:rPr>
              <w:t xml:space="preserve"> and ESMA, through the Joint Committee.</w:t>
            </w:r>
          </w:p>
        </w:tc>
        <w:tc>
          <w:tcPr>
            <w:tcW w:w="1842" w:type="dxa"/>
            <w:shd w:val="clear" w:color="auto" w:fill="auto"/>
            <w:vAlign w:val="center"/>
          </w:tcPr>
          <w:p w14:paraId="16360663" w14:textId="66A3A79D" w:rsidR="0001250D" w:rsidRPr="00586687" w:rsidRDefault="0001250D" w:rsidP="00143694">
            <w:pPr>
              <w:jc w:val="center"/>
              <w:rPr>
                <w:szCs w:val="17"/>
              </w:rPr>
            </w:pPr>
            <w:proofErr w:type="spellStart"/>
            <w:r w:rsidRPr="00586687">
              <w:rPr>
                <w:szCs w:val="17"/>
              </w:rPr>
              <w:t>Stéphanie</w:t>
            </w:r>
            <w:proofErr w:type="spellEnd"/>
            <w:r w:rsidRPr="00586687">
              <w:rPr>
                <w:szCs w:val="17"/>
              </w:rPr>
              <w:t xml:space="preserve"> Yon-Courtin, Gilles Boyer, Pascal </w:t>
            </w:r>
            <w:proofErr w:type="spellStart"/>
            <w:r w:rsidRPr="00586687">
              <w:rPr>
                <w:szCs w:val="17"/>
              </w:rPr>
              <w:t>Canfin</w:t>
            </w:r>
            <w:proofErr w:type="spellEnd"/>
          </w:p>
        </w:tc>
        <w:tc>
          <w:tcPr>
            <w:tcW w:w="2127" w:type="dxa"/>
            <w:shd w:val="clear" w:color="auto" w:fill="auto"/>
            <w:vAlign w:val="center"/>
          </w:tcPr>
          <w:p w14:paraId="319FCD05" w14:textId="2BD71086" w:rsidR="0001250D" w:rsidRPr="00586687" w:rsidRDefault="0001250D" w:rsidP="00143694">
            <w:pPr>
              <w:jc w:val="center"/>
              <w:rPr>
                <w:szCs w:val="17"/>
                <w:highlight w:val="yellow"/>
              </w:rPr>
            </w:pPr>
            <w:r w:rsidRPr="00586687">
              <w:rPr>
                <w:bCs/>
                <w:szCs w:val="17"/>
              </w:rPr>
              <w:t>Sustainability/stress test</w:t>
            </w:r>
          </w:p>
        </w:tc>
        <w:tc>
          <w:tcPr>
            <w:tcW w:w="1471" w:type="dxa"/>
            <w:shd w:val="clear" w:color="auto" w:fill="auto"/>
            <w:vAlign w:val="center"/>
          </w:tcPr>
          <w:p w14:paraId="5A89167A" w14:textId="454A3E86" w:rsidR="0001250D" w:rsidRPr="00586687" w:rsidRDefault="00B55CE2" w:rsidP="00143694">
            <w:pPr>
              <w:jc w:val="center"/>
              <w:rPr>
                <w:szCs w:val="17"/>
                <w:highlight w:val="yellow"/>
              </w:rPr>
            </w:pPr>
            <w:r w:rsidRPr="00586687">
              <w:rPr>
                <w:b/>
                <w:color w:val="FF0000"/>
                <w:szCs w:val="17"/>
              </w:rPr>
              <w:t>Negative</w:t>
            </w:r>
          </w:p>
        </w:tc>
      </w:tr>
      <w:tr w:rsidR="0001250D" w:rsidRPr="00586687" w14:paraId="232D71AA" w14:textId="77777777" w:rsidTr="00A2044B">
        <w:trPr>
          <w:trHeight w:val="494"/>
        </w:trPr>
        <w:tc>
          <w:tcPr>
            <w:tcW w:w="696" w:type="dxa"/>
            <w:shd w:val="clear" w:color="auto" w:fill="auto"/>
            <w:vAlign w:val="center"/>
          </w:tcPr>
          <w:p w14:paraId="49995334" w14:textId="088847D8" w:rsidR="0001250D" w:rsidRPr="00586687" w:rsidRDefault="0001250D" w:rsidP="00143694">
            <w:pPr>
              <w:jc w:val="center"/>
              <w:rPr>
                <w:szCs w:val="17"/>
              </w:rPr>
            </w:pPr>
            <w:r w:rsidRPr="00586687">
              <w:rPr>
                <w:szCs w:val="17"/>
              </w:rPr>
              <w:t>514-515</w:t>
            </w:r>
          </w:p>
        </w:tc>
        <w:tc>
          <w:tcPr>
            <w:tcW w:w="1931" w:type="dxa"/>
            <w:shd w:val="clear" w:color="auto" w:fill="auto"/>
            <w:vAlign w:val="center"/>
          </w:tcPr>
          <w:p w14:paraId="1A19D33A" w14:textId="5900EDA4" w:rsidR="0001250D" w:rsidRPr="00412D45" w:rsidRDefault="0001250D" w:rsidP="00143694">
            <w:pPr>
              <w:jc w:val="center"/>
              <w:rPr>
                <w:szCs w:val="17"/>
                <w:lang w:val="fr-FR"/>
              </w:rPr>
            </w:pPr>
            <w:r w:rsidRPr="00412D45">
              <w:rPr>
                <w:szCs w:val="17"/>
                <w:lang w:val="fr-FR"/>
              </w:rPr>
              <w:t>Article 51 – paragraph 1a – point b</w:t>
            </w:r>
          </w:p>
        </w:tc>
        <w:tc>
          <w:tcPr>
            <w:tcW w:w="6588" w:type="dxa"/>
            <w:shd w:val="clear" w:color="auto" w:fill="auto"/>
          </w:tcPr>
          <w:p w14:paraId="6BC909AC" w14:textId="030DCEF4" w:rsidR="0001250D" w:rsidRPr="00586687" w:rsidRDefault="0001250D" w:rsidP="00143694">
            <w:pPr>
              <w:jc w:val="left"/>
              <w:rPr>
                <w:szCs w:val="17"/>
              </w:rPr>
            </w:pPr>
            <w:r w:rsidRPr="00586687">
              <w:rPr>
                <w:szCs w:val="17"/>
              </w:rPr>
              <w:t>SFCR for PH shall include sustainability risks and the principal adverse impacts sustainability factors, and reference to stewardship policy effects.</w:t>
            </w:r>
          </w:p>
        </w:tc>
        <w:tc>
          <w:tcPr>
            <w:tcW w:w="1842" w:type="dxa"/>
            <w:shd w:val="clear" w:color="auto" w:fill="auto"/>
            <w:vAlign w:val="center"/>
          </w:tcPr>
          <w:p w14:paraId="1A84EEC4" w14:textId="237CE1F0" w:rsidR="0001250D" w:rsidRPr="00586687" w:rsidRDefault="0001250D" w:rsidP="00143694">
            <w:pPr>
              <w:jc w:val="center"/>
              <w:rPr>
                <w:szCs w:val="17"/>
              </w:rPr>
            </w:pPr>
            <w:proofErr w:type="spellStart"/>
            <w:r w:rsidRPr="00586687">
              <w:rPr>
                <w:szCs w:val="17"/>
              </w:rPr>
              <w:t>Heinäluoma</w:t>
            </w:r>
            <w:proofErr w:type="spellEnd"/>
            <w:r w:rsidRPr="00586687">
              <w:rPr>
                <w:szCs w:val="17"/>
              </w:rPr>
              <w:t xml:space="preserve">, Tang, </w:t>
            </w:r>
            <w:proofErr w:type="spellStart"/>
            <w:r w:rsidRPr="00586687">
              <w:rPr>
                <w:szCs w:val="17"/>
              </w:rPr>
              <w:t>Lalucq</w:t>
            </w:r>
            <w:proofErr w:type="spellEnd"/>
            <w:proofErr w:type="gramStart"/>
            <w:r w:rsidRPr="00586687">
              <w:rPr>
                <w:szCs w:val="17"/>
              </w:rPr>
              <w:t>/</w:t>
            </w:r>
            <w:r w:rsidRPr="00586687">
              <w:t xml:space="preserve">  MacManus</w:t>
            </w:r>
            <w:proofErr w:type="gramEnd"/>
          </w:p>
        </w:tc>
        <w:tc>
          <w:tcPr>
            <w:tcW w:w="2127" w:type="dxa"/>
            <w:shd w:val="clear" w:color="auto" w:fill="auto"/>
            <w:vAlign w:val="center"/>
          </w:tcPr>
          <w:p w14:paraId="78C8A29A" w14:textId="0E331B6E" w:rsidR="0001250D" w:rsidRPr="00586687" w:rsidRDefault="0001250D" w:rsidP="00143694">
            <w:pPr>
              <w:jc w:val="center"/>
              <w:rPr>
                <w:szCs w:val="17"/>
                <w:highlight w:val="yellow"/>
              </w:rPr>
            </w:pPr>
            <w:r w:rsidRPr="00586687">
              <w:rPr>
                <w:bCs/>
                <w:szCs w:val="17"/>
              </w:rPr>
              <w:t>Reporting/ Sustainability</w:t>
            </w:r>
          </w:p>
        </w:tc>
        <w:tc>
          <w:tcPr>
            <w:tcW w:w="1471" w:type="dxa"/>
            <w:shd w:val="clear" w:color="auto" w:fill="auto"/>
            <w:vAlign w:val="center"/>
          </w:tcPr>
          <w:p w14:paraId="4412E023" w14:textId="5DA7359D" w:rsidR="0001250D" w:rsidRPr="00586687" w:rsidRDefault="00B55CE2" w:rsidP="00143694">
            <w:pPr>
              <w:jc w:val="center"/>
              <w:rPr>
                <w:szCs w:val="17"/>
                <w:highlight w:val="yellow"/>
              </w:rPr>
            </w:pPr>
            <w:r w:rsidRPr="00586687">
              <w:rPr>
                <w:b/>
                <w:color w:val="FF0000"/>
                <w:szCs w:val="17"/>
              </w:rPr>
              <w:t>Negative</w:t>
            </w:r>
          </w:p>
        </w:tc>
      </w:tr>
      <w:tr w:rsidR="0001250D" w:rsidRPr="00586687" w14:paraId="50427DDF" w14:textId="77777777" w:rsidTr="00A2044B">
        <w:trPr>
          <w:trHeight w:val="494"/>
        </w:trPr>
        <w:tc>
          <w:tcPr>
            <w:tcW w:w="696" w:type="dxa"/>
            <w:shd w:val="clear" w:color="auto" w:fill="auto"/>
            <w:vAlign w:val="center"/>
          </w:tcPr>
          <w:p w14:paraId="216E3D28" w14:textId="4EED7B14" w:rsidR="0001250D" w:rsidRPr="00586687" w:rsidRDefault="0001250D" w:rsidP="00143694">
            <w:pPr>
              <w:jc w:val="center"/>
              <w:rPr>
                <w:szCs w:val="17"/>
              </w:rPr>
            </w:pPr>
            <w:r w:rsidRPr="00586687">
              <w:rPr>
                <w:szCs w:val="17"/>
              </w:rPr>
              <w:t>516-517-518</w:t>
            </w:r>
          </w:p>
        </w:tc>
        <w:tc>
          <w:tcPr>
            <w:tcW w:w="1931" w:type="dxa"/>
            <w:shd w:val="clear" w:color="auto" w:fill="auto"/>
            <w:vAlign w:val="center"/>
          </w:tcPr>
          <w:p w14:paraId="1D2CFC6D" w14:textId="18B9E549" w:rsidR="0001250D" w:rsidRPr="00412D45" w:rsidRDefault="0001250D" w:rsidP="00143694">
            <w:pPr>
              <w:jc w:val="center"/>
              <w:rPr>
                <w:szCs w:val="17"/>
                <w:lang w:val="fr-FR"/>
              </w:rPr>
            </w:pPr>
            <w:r w:rsidRPr="00412D45">
              <w:rPr>
                <w:szCs w:val="17"/>
                <w:lang w:val="fr-FR"/>
              </w:rPr>
              <w:t>Article 51 – paragraph 1a – point b</w:t>
            </w:r>
          </w:p>
        </w:tc>
        <w:tc>
          <w:tcPr>
            <w:tcW w:w="6588" w:type="dxa"/>
            <w:shd w:val="clear" w:color="auto" w:fill="auto"/>
          </w:tcPr>
          <w:p w14:paraId="221218A6" w14:textId="77777777" w:rsidR="0001250D" w:rsidRPr="00586687" w:rsidRDefault="0001250D" w:rsidP="00143694">
            <w:pPr>
              <w:jc w:val="left"/>
              <w:rPr>
                <w:bCs/>
                <w:iCs/>
              </w:rPr>
            </w:pPr>
            <w:r w:rsidRPr="00586687">
              <w:rPr>
                <w:szCs w:val="17"/>
              </w:rPr>
              <w:t xml:space="preserve">SFCR for PH shall cover also a description of the risk profile regarding </w:t>
            </w:r>
            <w:r w:rsidRPr="00586687">
              <w:rPr>
                <w:bCs/>
                <w:iCs/>
              </w:rPr>
              <w:t>sustainability risks.</w:t>
            </w:r>
          </w:p>
          <w:p w14:paraId="111417DF" w14:textId="77777777" w:rsidR="0001250D" w:rsidRPr="00586687" w:rsidRDefault="0001250D" w:rsidP="00143694">
            <w:pPr>
              <w:jc w:val="left"/>
              <w:rPr>
                <w:bCs/>
                <w:iCs/>
              </w:rPr>
            </w:pPr>
          </w:p>
          <w:p w14:paraId="61DCB3B8" w14:textId="16F13330" w:rsidR="0001250D" w:rsidRPr="00586687" w:rsidRDefault="0001250D" w:rsidP="00143694">
            <w:pPr>
              <w:jc w:val="left"/>
              <w:rPr>
                <w:szCs w:val="17"/>
              </w:rPr>
            </w:pPr>
            <w:proofErr w:type="spellStart"/>
            <w:r w:rsidRPr="00586687">
              <w:rPr>
                <w:bCs/>
                <w:iCs/>
              </w:rPr>
              <w:t>Lalucq</w:t>
            </w:r>
            <w:proofErr w:type="spellEnd"/>
            <w:r w:rsidRPr="00586687">
              <w:rPr>
                <w:bCs/>
                <w:iCs/>
              </w:rPr>
              <w:t xml:space="preserve">: also </w:t>
            </w:r>
            <w:r w:rsidRPr="00586687">
              <w:rPr>
                <w:szCs w:val="17"/>
              </w:rPr>
              <w:t xml:space="preserve">includes </w:t>
            </w:r>
            <w:r w:rsidRPr="00586687">
              <w:t xml:space="preserve">a description of the </w:t>
            </w:r>
            <w:r w:rsidRPr="00586687">
              <w:rPr>
                <w:bCs/>
                <w:iCs/>
              </w:rPr>
              <w:t>system of governance and an assessment of its adequacy, including a description of the role of the AMSB regarding</w:t>
            </w:r>
          </w:p>
        </w:tc>
        <w:tc>
          <w:tcPr>
            <w:tcW w:w="1842" w:type="dxa"/>
            <w:shd w:val="clear" w:color="auto" w:fill="auto"/>
            <w:vAlign w:val="center"/>
          </w:tcPr>
          <w:p w14:paraId="6AE776AD" w14:textId="7277D6DF" w:rsidR="0001250D" w:rsidRPr="00586687" w:rsidRDefault="0001250D" w:rsidP="00143694">
            <w:pPr>
              <w:jc w:val="center"/>
              <w:rPr>
                <w:szCs w:val="17"/>
              </w:rPr>
            </w:pPr>
            <w:proofErr w:type="spellStart"/>
            <w:r w:rsidRPr="00586687">
              <w:rPr>
                <w:szCs w:val="17"/>
              </w:rPr>
              <w:t>Lalucq</w:t>
            </w:r>
            <w:proofErr w:type="spellEnd"/>
            <w:r w:rsidRPr="00586687">
              <w:rPr>
                <w:szCs w:val="17"/>
              </w:rPr>
              <w:t>/</w:t>
            </w:r>
            <w:r w:rsidRPr="00586687">
              <w:t xml:space="preserve"> Hahn/ Yon-Courtin, Boyer, </w:t>
            </w:r>
            <w:proofErr w:type="spellStart"/>
            <w:r w:rsidRPr="00586687">
              <w:t>Canfin</w:t>
            </w:r>
            <w:proofErr w:type="spellEnd"/>
            <w:r w:rsidRPr="00586687">
              <w:t>, Durand</w:t>
            </w:r>
          </w:p>
        </w:tc>
        <w:tc>
          <w:tcPr>
            <w:tcW w:w="2127" w:type="dxa"/>
            <w:shd w:val="clear" w:color="auto" w:fill="auto"/>
            <w:vAlign w:val="center"/>
          </w:tcPr>
          <w:p w14:paraId="4CC0CD13" w14:textId="481DA591" w:rsidR="0001250D" w:rsidRPr="00586687" w:rsidRDefault="0001250D" w:rsidP="00143694">
            <w:pPr>
              <w:jc w:val="center"/>
              <w:rPr>
                <w:szCs w:val="17"/>
                <w:highlight w:val="yellow"/>
              </w:rPr>
            </w:pPr>
            <w:r w:rsidRPr="00586687">
              <w:rPr>
                <w:bCs/>
                <w:szCs w:val="17"/>
              </w:rPr>
              <w:t>Reporting/ Sustainability</w:t>
            </w:r>
          </w:p>
        </w:tc>
        <w:tc>
          <w:tcPr>
            <w:tcW w:w="1471" w:type="dxa"/>
            <w:shd w:val="clear" w:color="auto" w:fill="auto"/>
            <w:vAlign w:val="center"/>
          </w:tcPr>
          <w:p w14:paraId="1B88200E" w14:textId="7F435974" w:rsidR="0001250D" w:rsidRPr="00586687" w:rsidRDefault="00B55CE2" w:rsidP="00143694">
            <w:pPr>
              <w:jc w:val="center"/>
              <w:rPr>
                <w:szCs w:val="17"/>
                <w:highlight w:val="yellow"/>
              </w:rPr>
            </w:pPr>
            <w:r w:rsidRPr="00586687">
              <w:rPr>
                <w:b/>
                <w:color w:val="FF0000"/>
                <w:szCs w:val="17"/>
              </w:rPr>
              <w:t>Negative</w:t>
            </w:r>
          </w:p>
        </w:tc>
      </w:tr>
      <w:tr w:rsidR="0001250D" w:rsidRPr="00586687" w14:paraId="03C1CA9C" w14:textId="77777777" w:rsidTr="00A2044B">
        <w:trPr>
          <w:trHeight w:val="494"/>
        </w:trPr>
        <w:tc>
          <w:tcPr>
            <w:tcW w:w="696" w:type="dxa"/>
            <w:shd w:val="clear" w:color="auto" w:fill="auto"/>
            <w:vAlign w:val="center"/>
          </w:tcPr>
          <w:p w14:paraId="21E3A41D" w14:textId="7E8B8E01" w:rsidR="0001250D" w:rsidRPr="00586687" w:rsidRDefault="0001250D" w:rsidP="00143694">
            <w:pPr>
              <w:jc w:val="center"/>
              <w:rPr>
                <w:szCs w:val="17"/>
              </w:rPr>
            </w:pPr>
            <w:r w:rsidRPr="00586687">
              <w:rPr>
                <w:szCs w:val="17"/>
              </w:rPr>
              <w:t>519-520-521</w:t>
            </w:r>
          </w:p>
        </w:tc>
        <w:tc>
          <w:tcPr>
            <w:tcW w:w="1931" w:type="dxa"/>
            <w:shd w:val="clear" w:color="auto" w:fill="auto"/>
            <w:vAlign w:val="center"/>
          </w:tcPr>
          <w:p w14:paraId="351BA6AE" w14:textId="494A0A90" w:rsidR="0001250D" w:rsidRPr="00586687" w:rsidRDefault="0001250D" w:rsidP="00143694">
            <w:pPr>
              <w:jc w:val="center"/>
              <w:rPr>
                <w:szCs w:val="17"/>
              </w:rPr>
            </w:pPr>
            <w:r w:rsidRPr="00586687">
              <w:rPr>
                <w:szCs w:val="17"/>
              </w:rPr>
              <w:t xml:space="preserve">Article 51 – paragraph 1a – points </w:t>
            </w:r>
            <w:proofErr w:type="spellStart"/>
            <w:r w:rsidRPr="00586687">
              <w:rPr>
                <w:szCs w:val="17"/>
              </w:rPr>
              <w:t>b</w:t>
            </w:r>
            <w:proofErr w:type="spellEnd"/>
            <w:r w:rsidRPr="00586687">
              <w:rPr>
                <w:szCs w:val="17"/>
              </w:rPr>
              <w:t xml:space="preserve"> a (new) and b </w:t>
            </w:r>
            <w:proofErr w:type="spellStart"/>
            <w:r w:rsidRPr="00586687">
              <w:rPr>
                <w:szCs w:val="17"/>
              </w:rPr>
              <w:t>b</w:t>
            </w:r>
            <w:proofErr w:type="spellEnd"/>
            <w:r w:rsidRPr="00586687">
              <w:rPr>
                <w:szCs w:val="17"/>
              </w:rPr>
              <w:t xml:space="preserve"> (new)/</w:t>
            </w:r>
            <w:r w:rsidRPr="00586687">
              <w:t xml:space="preserve"> </w:t>
            </w:r>
            <w:r w:rsidRPr="00586687">
              <w:rPr>
                <w:szCs w:val="17"/>
              </w:rPr>
              <w:t>point b a (new)</w:t>
            </w:r>
          </w:p>
        </w:tc>
        <w:tc>
          <w:tcPr>
            <w:tcW w:w="6588" w:type="dxa"/>
            <w:shd w:val="clear" w:color="auto" w:fill="auto"/>
          </w:tcPr>
          <w:p w14:paraId="00D63942" w14:textId="3D09C5B2" w:rsidR="0001250D" w:rsidRPr="00586687" w:rsidRDefault="0001250D" w:rsidP="00143694">
            <w:pPr>
              <w:jc w:val="left"/>
              <w:rPr>
                <w:szCs w:val="17"/>
              </w:rPr>
            </w:pPr>
            <w:r w:rsidRPr="00586687">
              <w:rPr>
                <w:szCs w:val="17"/>
              </w:rPr>
              <w:t>SFCR for PH includes a description of climate scenario analysis results (if applicable) and a description of the implementation of the transition plan.</w:t>
            </w:r>
          </w:p>
        </w:tc>
        <w:tc>
          <w:tcPr>
            <w:tcW w:w="1842" w:type="dxa"/>
            <w:shd w:val="clear" w:color="auto" w:fill="auto"/>
            <w:vAlign w:val="center"/>
          </w:tcPr>
          <w:p w14:paraId="355F3680" w14:textId="431C139A" w:rsidR="0001250D" w:rsidRPr="00586687" w:rsidRDefault="0001250D" w:rsidP="00143694">
            <w:pPr>
              <w:jc w:val="center"/>
              <w:rPr>
                <w:szCs w:val="17"/>
              </w:rPr>
            </w:pPr>
            <w:r w:rsidRPr="00586687">
              <w:t xml:space="preserve">Yon-Courtin, Boyer, </w:t>
            </w:r>
            <w:proofErr w:type="spellStart"/>
            <w:r w:rsidRPr="00586687">
              <w:t>Canfin</w:t>
            </w:r>
            <w:proofErr w:type="spellEnd"/>
            <w:r w:rsidRPr="00586687">
              <w:t xml:space="preserve">, Durand/ MacManus/ </w:t>
            </w:r>
            <w:proofErr w:type="spellStart"/>
            <w:r w:rsidRPr="00586687">
              <w:t>Heinäluoma</w:t>
            </w:r>
            <w:proofErr w:type="spellEnd"/>
            <w:r w:rsidRPr="00586687">
              <w:t xml:space="preserve">, Tang, </w:t>
            </w:r>
            <w:proofErr w:type="spellStart"/>
            <w:r w:rsidRPr="00586687">
              <w:t>Lalucq</w:t>
            </w:r>
            <w:proofErr w:type="spellEnd"/>
          </w:p>
        </w:tc>
        <w:tc>
          <w:tcPr>
            <w:tcW w:w="2127" w:type="dxa"/>
            <w:shd w:val="clear" w:color="auto" w:fill="auto"/>
            <w:vAlign w:val="center"/>
          </w:tcPr>
          <w:p w14:paraId="20BA95B5" w14:textId="1AFD1A0A" w:rsidR="0001250D" w:rsidRPr="00586687" w:rsidRDefault="0001250D" w:rsidP="00143694">
            <w:pPr>
              <w:jc w:val="center"/>
              <w:rPr>
                <w:szCs w:val="17"/>
                <w:highlight w:val="yellow"/>
              </w:rPr>
            </w:pPr>
            <w:r w:rsidRPr="00586687">
              <w:rPr>
                <w:bCs/>
                <w:szCs w:val="17"/>
              </w:rPr>
              <w:t>Reporting/ Sustainability</w:t>
            </w:r>
          </w:p>
        </w:tc>
        <w:tc>
          <w:tcPr>
            <w:tcW w:w="1471" w:type="dxa"/>
            <w:shd w:val="clear" w:color="auto" w:fill="auto"/>
            <w:vAlign w:val="center"/>
          </w:tcPr>
          <w:p w14:paraId="310E117E" w14:textId="51B13864" w:rsidR="0001250D" w:rsidRPr="00586687" w:rsidRDefault="00B55CE2" w:rsidP="00143694">
            <w:pPr>
              <w:jc w:val="center"/>
              <w:rPr>
                <w:szCs w:val="17"/>
                <w:highlight w:val="yellow"/>
              </w:rPr>
            </w:pPr>
            <w:r w:rsidRPr="00586687">
              <w:rPr>
                <w:b/>
                <w:color w:val="FF0000"/>
                <w:szCs w:val="17"/>
              </w:rPr>
              <w:t>Negative</w:t>
            </w:r>
          </w:p>
        </w:tc>
      </w:tr>
      <w:tr w:rsidR="0001250D" w:rsidRPr="00586687" w14:paraId="09EC9DD8" w14:textId="77777777" w:rsidTr="00A2044B">
        <w:trPr>
          <w:trHeight w:val="494"/>
        </w:trPr>
        <w:tc>
          <w:tcPr>
            <w:tcW w:w="696" w:type="dxa"/>
            <w:shd w:val="clear" w:color="auto" w:fill="auto"/>
            <w:vAlign w:val="center"/>
          </w:tcPr>
          <w:p w14:paraId="3E5B4742" w14:textId="0308FBB7" w:rsidR="0001250D" w:rsidRPr="00586687" w:rsidRDefault="0001250D" w:rsidP="00143694">
            <w:pPr>
              <w:jc w:val="center"/>
              <w:rPr>
                <w:szCs w:val="17"/>
              </w:rPr>
            </w:pPr>
            <w:r w:rsidRPr="00586687">
              <w:rPr>
                <w:szCs w:val="17"/>
              </w:rPr>
              <w:t>522-523-524</w:t>
            </w:r>
          </w:p>
        </w:tc>
        <w:tc>
          <w:tcPr>
            <w:tcW w:w="1931" w:type="dxa"/>
            <w:shd w:val="clear" w:color="auto" w:fill="auto"/>
            <w:vAlign w:val="center"/>
          </w:tcPr>
          <w:p w14:paraId="4EC980A6" w14:textId="1CD779F5" w:rsidR="0001250D" w:rsidRPr="00412D45" w:rsidRDefault="0001250D" w:rsidP="00143694">
            <w:pPr>
              <w:jc w:val="center"/>
              <w:rPr>
                <w:szCs w:val="17"/>
                <w:lang w:val="fr-FR"/>
              </w:rPr>
            </w:pPr>
            <w:r w:rsidRPr="00412D45">
              <w:rPr>
                <w:szCs w:val="17"/>
                <w:lang w:val="fr-FR"/>
              </w:rPr>
              <w:t>Article 51 – paragraph 1b – point a/ point c</w:t>
            </w:r>
          </w:p>
        </w:tc>
        <w:tc>
          <w:tcPr>
            <w:tcW w:w="6588" w:type="dxa"/>
            <w:shd w:val="clear" w:color="auto" w:fill="auto"/>
          </w:tcPr>
          <w:p w14:paraId="235939B2" w14:textId="2B2B773D" w:rsidR="0001250D" w:rsidRPr="00586687" w:rsidRDefault="0001250D" w:rsidP="00143694">
            <w:pPr>
              <w:jc w:val="left"/>
              <w:rPr>
                <w:szCs w:val="17"/>
              </w:rPr>
            </w:pPr>
            <w:r w:rsidRPr="00586687">
              <w:rPr>
                <w:szCs w:val="17"/>
              </w:rPr>
              <w:t>SFCR for other market participants includes a description of the system of governance, with the role of the AMSB with regard to sustainability risks</w:t>
            </w:r>
          </w:p>
        </w:tc>
        <w:tc>
          <w:tcPr>
            <w:tcW w:w="1842" w:type="dxa"/>
            <w:shd w:val="clear" w:color="auto" w:fill="auto"/>
            <w:vAlign w:val="center"/>
          </w:tcPr>
          <w:p w14:paraId="31072FE4" w14:textId="6C2E5387" w:rsidR="0001250D" w:rsidRPr="00586687" w:rsidRDefault="0001250D" w:rsidP="00143694">
            <w:pPr>
              <w:jc w:val="center"/>
              <w:rPr>
                <w:szCs w:val="17"/>
              </w:rPr>
            </w:pPr>
            <w:r w:rsidRPr="00586687">
              <w:rPr>
                <w:szCs w:val="17"/>
              </w:rPr>
              <w:t>MacManus/</w:t>
            </w:r>
            <w:r w:rsidRPr="00586687">
              <w:t xml:space="preserve"> </w:t>
            </w:r>
            <w:proofErr w:type="spellStart"/>
            <w:r w:rsidRPr="00586687">
              <w:t>Heinäluoma</w:t>
            </w:r>
            <w:proofErr w:type="spellEnd"/>
            <w:r w:rsidRPr="00586687">
              <w:t xml:space="preserve">, Tang, </w:t>
            </w:r>
            <w:proofErr w:type="spellStart"/>
            <w:r w:rsidRPr="00586687">
              <w:t>Lalucq</w:t>
            </w:r>
            <w:proofErr w:type="spellEnd"/>
            <w:r w:rsidRPr="00586687">
              <w:t>/ Hahn</w:t>
            </w:r>
          </w:p>
        </w:tc>
        <w:tc>
          <w:tcPr>
            <w:tcW w:w="2127" w:type="dxa"/>
            <w:shd w:val="clear" w:color="auto" w:fill="auto"/>
            <w:vAlign w:val="center"/>
          </w:tcPr>
          <w:p w14:paraId="7BC50994" w14:textId="3D1C6DA7" w:rsidR="0001250D" w:rsidRPr="00586687" w:rsidRDefault="0001250D" w:rsidP="00143694">
            <w:pPr>
              <w:jc w:val="center"/>
              <w:rPr>
                <w:szCs w:val="17"/>
              </w:rPr>
            </w:pPr>
            <w:r w:rsidRPr="00586687">
              <w:rPr>
                <w:bCs/>
                <w:szCs w:val="17"/>
              </w:rPr>
              <w:t>Reporting/ Sustainability</w:t>
            </w:r>
          </w:p>
        </w:tc>
        <w:tc>
          <w:tcPr>
            <w:tcW w:w="1471" w:type="dxa"/>
            <w:shd w:val="clear" w:color="auto" w:fill="auto"/>
            <w:vAlign w:val="center"/>
          </w:tcPr>
          <w:p w14:paraId="510D651B" w14:textId="4D815B60" w:rsidR="0001250D" w:rsidRPr="00586687" w:rsidRDefault="00B55CE2" w:rsidP="00143694">
            <w:pPr>
              <w:jc w:val="center"/>
              <w:rPr>
                <w:szCs w:val="17"/>
                <w:highlight w:val="yellow"/>
              </w:rPr>
            </w:pPr>
            <w:r w:rsidRPr="00586687">
              <w:rPr>
                <w:b/>
                <w:color w:val="FF0000"/>
                <w:szCs w:val="17"/>
              </w:rPr>
              <w:t>Negative</w:t>
            </w:r>
          </w:p>
        </w:tc>
      </w:tr>
      <w:tr w:rsidR="0001250D" w:rsidRPr="00586687" w14:paraId="3BB69BB7" w14:textId="77777777" w:rsidTr="00A2044B">
        <w:trPr>
          <w:trHeight w:val="494"/>
        </w:trPr>
        <w:tc>
          <w:tcPr>
            <w:tcW w:w="696" w:type="dxa"/>
            <w:shd w:val="clear" w:color="auto" w:fill="auto"/>
            <w:vAlign w:val="center"/>
          </w:tcPr>
          <w:p w14:paraId="5570238F" w14:textId="2229FE96" w:rsidR="0001250D" w:rsidRPr="00586687" w:rsidRDefault="0001250D" w:rsidP="00143694">
            <w:pPr>
              <w:jc w:val="center"/>
              <w:rPr>
                <w:szCs w:val="17"/>
              </w:rPr>
            </w:pPr>
            <w:r w:rsidRPr="00586687">
              <w:rPr>
                <w:szCs w:val="17"/>
              </w:rPr>
              <w:t>525</w:t>
            </w:r>
          </w:p>
        </w:tc>
        <w:tc>
          <w:tcPr>
            <w:tcW w:w="1931" w:type="dxa"/>
            <w:shd w:val="clear" w:color="auto" w:fill="auto"/>
            <w:vAlign w:val="center"/>
          </w:tcPr>
          <w:p w14:paraId="4A1118B7" w14:textId="4E3721D1" w:rsidR="0001250D" w:rsidRPr="00412D45" w:rsidRDefault="0001250D" w:rsidP="00143694">
            <w:pPr>
              <w:jc w:val="center"/>
              <w:rPr>
                <w:szCs w:val="17"/>
                <w:lang w:val="fr-FR"/>
              </w:rPr>
            </w:pPr>
            <w:r w:rsidRPr="00412D45">
              <w:rPr>
                <w:szCs w:val="17"/>
                <w:lang w:val="fr-FR"/>
              </w:rPr>
              <w:t>Article 51 – paragraph 1b a (new)</w:t>
            </w:r>
          </w:p>
        </w:tc>
        <w:tc>
          <w:tcPr>
            <w:tcW w:w="6588" w:type="dxa"/>
            <w:shd w:val="clear" w:color="auto" w:fill="auto"/>
          </w:tcPr>
          <w:p w14:paraId="0CEDF050" w14:textId="6BD203E1" w:rsidR="0001250D" w:rsidRPr="00586687" w:rsidRDefault="0001250D" w:rsidP="00143694">
            <w:pPr>
              <w:jc w:val="left"/>
              <w:rPr>
                <w:szCs w:val="17"/>
              </w:rPr>
            </w:pPr>
            <w:r w:rsidRPr="00586687">
              <w:rPr>
                <w:szCs w:val="17"/>
              </w:rPr>
              <w:t>Undertakings may describe sustainability risks and the principal adverse impacts of the undertaking on sustainability factors by clear cross-reference to sections of their management report</w:t>
            </w:r>
          </w:p>
        </w:tc>
        <w:tc>
          <w:tcPr>
            <w:tcW w:w="1842" w:type="dxa"/>
            <w:shd w:val="clear" w:color="auto" w:fill="auto"/>
            <w:vAlign w:val="center"/>
          </w:tcPr>
          <w:p w14:paraId="1F28D9A6" w14:textId="745A18C0" w:rsidR="0001250D" w:rsidRPr="00586687" w:rsidRDefault="0001250D" w:rsidP="00143694">
            <w:pPr>
              <w:jc w:val="center"/>
              <w:rPr>
                <w:szCs w:val="17"/>
              </w:rPr>
            </w:pPr>
            <w:proofErr w:type="spellStart"/>
            <w:r w:rsidRPr="00586687">
              <w:rPr>
                <w:szCs w:val="17"/>
              </w:rPr>
              <w:t>Heinäluoma</w:t>
            </w:r>
            <w:proofErr w:type="spellEnd"/>
            <w:r w:rsidRPr="00586687">
              <w:rPr>
                <w:szCs w:val="17"/>
              </w:rPr>
              <w:t xml:space="preserve">, Tang, </w:t>
            </w:r>
            <w:proofErr w:type="spellStart"/>
            <w:r w:rsidRPr="00586687">
              <w:rPr>
                <w:szCs w:val="17"/>
              </w:rPr>
              <w:t>Lalucq</w:t>
            </w:r>
            <w:proofErr w:type="spellEnd"/>
          </w:p>
        </w:tc>
        <w:tc>
          <w:tcPr>
            <w:tcW w:w="2127" w:type="dxa"/>
            <w:shd w:val="clear" w:color="auto" w:fill="auto"/>
            <w:vAlign w:val="center"/>
          </w:tcPr>
          <w:p w14:paraId="7D326BB3" w14:textId="2AA654CF" w:rsidR="0001250D" w:rsidRPr="00586687" w:rsidRDefault="0001250D" w:rsidP="00143694">
            <w:pPr>
              <w:jc w:val="center"/>
              <w:rPr>
                <w:szCs w:val="17"/>
              </w:rPr>
            </w:pPr>
            <w:r w:rsidRPr="00586687">
              <w:rPr>
                <w:bCs/>
                <w:szCs w:val="17"/>
              </w:rPr>
              <w:t>Reporting/ Sustainability</w:t>
            </w:r>
          </w:p>
        </w:tc>
        <w:tc>
          <w:tcPr>
            <w:tcW w:w="1471" w:type="dxa"/>
            <w:shd w:val="clear" w:color="auto" w:fill="auto"/>
            <w:vAlign w:val="center"/>
          </w:tcPr>
          <w:p w14:paraId="125AAD4A" w14:textId="605AB159" w:rsidR="0001250D" w:rsidRPr="00586687" w:rsidRDefault="00E73F96" w:rsidP="00143694">
            <w:pPr>
              <w:jc w:val="center"/>
              <w:rPr>
                <w:szCs w:val="17"/>
                <w:highlight w:val="yellow"/>
              </w:rPr>
            </w:pPr>
            <w:r w:rsidRPr="00586687">
              <w:rPr>
                <w:b/>
                <w:color w:val="808080" w:themeColor="background1" w:themeShade="80"/>
                <w:szCs w:val="17"/>
              </w:rPr>
              <w:t>Neutral</w:t>
            </w:r>
          </w:p>
        </w:tc>
      </w:tr>
      <w:tr w:rsidR="00D23AFC" w:rsidRPr="00586687" w14:paraId="375603F8" w14:textId="77777777" w:rsidTr="00A2044B">
        <w:trPr>
          <w:trHeight w:val="494"/>
        </w:trPr>
        <w:tc>
          <w:tcPr>
            <w:tcW w:w="696" w:type="dxa"/>
            <w:shd w:val="clear" w:color="auto" w:fill="auto"/>
            <w:vAlign w:val="center"/>
          </w:tcPr>
          <w:p w14:paraId="17CCE61F" w14:textId="63D3CD37" w:rsidR="00D23AFC" w:rsidRPr="00586687" w:rsidRDefault="00B36C86" w:rsidP="00143694">
            <w:pPr>
              <w:jc w:val="center"/>
              <w:rPr>
                <w:szCs w:val="17"/>
              </w:rPr>
            </w:pPr>
            <w:r w:rsidRPr="00586687">
              <w:rPr>
                <w:szCs w:val="17"/>
              </w:rPr>
              <w:t>526</w:t>
            </w:r>
          </w:p>
        </w:tc>
        <w:tc>
          <w:tcPr>
            <w:tcW w:w="1931" w:type="dxa"/>
            <w:shd w:val="clear" w:color="auto" w:fill="auto"/>
            <w:vAlign w:val="center"/>
          </w:tcPr>
          <w:p w14:paraId="2AA4E611" w14:textId="145DA8D2" w:rsidR="00D23AFC" w:rsidRPr="00412D45" w:rsidRDefault="00B36C86" w:rsidP="00143694">
            <w:pPr>
              <w:jc w:val="center"/>
              <w:rPr>
                <w:szCs w:val="17"/>
                <w:lang w:val="fr-FR"/>
              </w:rPr>
            </w:pPr>
            <w:r w:rsidRPr="00412D45">
              <w:rPr>
                <w:szCs w:val="17"/>
                <w:lang w:val="fr-FR"/>
              </w:rPr>
              <w:t>Article 51 – paragraph 1b – point c – point ii a (new)</w:t>
            </w:r>
          </w:p>
        </w:tc>
        <w:tc>
          <w:tcPr>
            <w:tcW w:w="6588" w:type="dxa"/>
            <w:shd w:val="clear" w:color="auto" w:fill="auto"/>
          </w:tcPr>
          <w:p w14:paraId="131AD380" w14:textId="0776B83D" w:rsidR="00D23AFC" w:rsidRPr="00586687" w:rsidRDefault="009B5B00" w:rsidP="00143694">
            <w:pPr>
              <w:jc w:val="left"/>
              <w:rPr>
                <w:szCs w:val="17"/>
              </w:rPr>
            </w:pPr>
            <w:r w:rsidRPr="00586687">
              <w:rPr>
                <w:szCs w:val="17"/>
              </w:rPr>
              <w:t xml:space="preserve">For IM users the </w:t>
            </w:r>
            <w:r w:rsidR="006459C8" w:rsidRPr="00586687">
              <w:rPr>
                <w:szCs w:val="17"/>
              </w:rPr>
              <w:t>SCR calculated based on the sta</w:t>
            </w:r>
            <w:r w:rsidR="003347A1" w:rsidRPr="00586687">
              <w:rPr>
                <w:szCs w:val="17"/>
              </w:rPr>
              <w:t>ndard formula</w:t>
            </w:r>
            <w:r w:rsidR="002C7D83" w:rsidRPr="00586687">
              <w:rPr>
                <w:szCs w:val="17"/>
              </w:rPr>
              <w:t xml:space="preserve"> to be included in the SFCR</w:t>
            </w:r>
          </w:p>
        </w:tc>
        <w:tc>
          <w:tcPr>
            <w:tcW w:w="1842" w:type="dxa"/>
            <w:shd w:val="clear" w:color="auto" w:fill="auto"/>
            <w:vAlign w:val="center"/>
          </w:tcPr>
          <w:p w14:paraId="4E1F8A04" w14:textId="1CAEB666" w:rsidR="002D24C3" w:rsidRPr="00586687" w:rsidRDefault="002D24C3" w:rsidP="00143694">
            <w:pPr>
              <w:pStyle w:val="NormalBold"/>
              <w:jc w:val="center"/>
              <w:rPr>
                <w:rFonts w:ascii="Verdana" w:hAnsi="Verdana"/>
                <w:b w:val="0"/>
                <w:sz w:val="17"/>
                <w:szCs w:val="17"/>
                <w:lang w:eastAsia="en-US"/>
              </w:rPr>
            </w:pPr>
            <w:r w:rsidRPr="00586687">
              <w:rPr>
                <w:rFonts w:ascii="Verdana" w:hAnsi="Verdana"/>
                <w:vanish/>
                <w:sz w:val="17"/>
                <w:szCs w:val="17"/>
                <w:lang w:eastAsia="en-US"/>
              </w:rPr>
              <w:t>&lt;RepeatBlock-By&gt;&lt;Members&gt;</w:t>
            </w:r>
            <w:r w:rsidRPr="00586687">
              <w:rPr>
                <w:rFonts w:ascii="Verdana" w:hAnsi="Verdana"/>
                <w:b w:val="0"/>
                <w:sz w:val="17"/>
                <w:szCs w:val="17"/>
                <w:lang w:eastAsia="en-US"/>
              </w:rPr>
              <w:t>Hahn</w:t>
            </w:r>
            <w:r w:rsidRPr="00586687">
              <w:rPr>
                <w:rFonts w:ascii="Verdana" w:hAnsi="Verdana"/>
                <w:vanish/>
                <w:sz w:val="17"/>
                <w:szCs w:val="17"/>
                <w:lang w:eastAsia="en-US"/>
              </w:rPr>
              <w:t>&lt;/Members&gt;</w:t>
            </w:r>
          </w:p>
          <w:p w14:paraId="07308742" w14:textId="566725BC" w:rsidR="00D23AFC" w:rsidRPr="00586687" w:rsidRDefault="00D23AFC" w:rsidP="00143694">
            <w:pPr>
              <w:jc w:val="center"/>
              <w:rPr>
                <w:szCs w:val="17"/>
              </w:rPr>
            </w:pPr>
          </w:p>
        </w:tc>
        <w:tc>
          <w:tcPr>
            <w:tcW w:w="2127" w:type="dxa"/>
            <w:shd w:val="clear" w:color="auto" w:fill="auto"/>
            <w:vAlign w:val="center"/>
          </w:tcPr>
          <w:p w14:paraId="6BC19377" w14:textId="22EF5D6D" w:rsidR="00D23AFC" w:rsidRPr="00586687" w:rsidRDefault="003347A1" w:rsidP="00143694">
            <w:pPr>
              <w:jc w:val="center"/>
              <w:rPr>
                <w:szCs w:val="17"/>
              </w:rPr>
            </w:pPr>
            <w:r w:rsidRPr="00586687">
              <w:rPr>
                <w:bCs/>
                <w:szCs w:val="17"/>
              </w:rPr>
              <w:t>Reporting</w:t>
            </w:r>
          </w:p>
        </w:tc>
        <w:tc>
          <w:tcPr>
            <w:tcW w:w="1471" w:type="dxa"/>
            <w:shd w:val="clear" w:color="auto" w:fill="auto"/>
            <w:vAlign w:val="center"/>
          </w:tcPr>
          <w:p w14:paraId="7C4327AD" w14:textId="43693FF5" w:rsidR="00D23AFC" w:rsidRPr="00586687" w:rsidRDefault="00B55CE2" w:rsidP="00143694">
            <w:pPr>
              <w:jc w:val="center"/>
              <w:rPr>
                <w:szCs w:val="17"/>
              </w:rPr>
            </w:pPr>
            <w:r w:rsidRPr="00586687">
              <w:rPr>
                <w:b/>
                <w:color w:val="FF0000"/>
                <w:szCs w:val="17"/>
              </w:rPr>
              <w:t>Negative</w:t>
            </w:r>
          </w:p>
        </w:tc>
      </w:tr>
      <w:tr w:rsidR="0001250D" w:rsidRPr="00586687" w14:paraId="04D990FA" w14:textId="77777777" w:rsidTr="00A2044B">
        <w:trPr>
          <w:trHeight w:val="494"/>
        </w:trPr>
        <w:tc>
          <w:tcPr>
            <w:tcW w:w="696" w:type="dxa"/>
            <w:shd w:val="clear" w:color="auto" w:fill="auto"/>
            <w:vAlign w:val="center"/>
          </w:tcPr>
          <w:p w14:paraId="79E31F20" w14:textId="4AB72405" w:rsidR="0001250D" w:rsidRPr="00586687" w:rsidRDefault="0001250D" w:rsidP="00143694">
            <w:pPr>
              <w:jc w:val="center"/>
              <w:rPr>
                <w:szCs w:val="17"/>
              </w:rPr>
            </w:pPr>
            <w:r w:rsidRPr="00586687">
              <w:rPr>
                <w:szCs w:val="17"/>
              </w:rPr>
              <w:t>527</w:t>
            </w:r>
          </w:p>
        </w:tc>
        <w:tc>
          <w:tcPr>
            <w:tcW w:w="1931" w:type="dxa"/>
            <w:shd w:val="clear" w:color="auto" w:fill="auto"/>
            <w:vAlign w:val="center"/>
          </w:tcPr>
          <w:p w14:paraId="192E0D42" w14:textId="683AEA71" w:rsidR="0001250D" w:rsidRPr="00412D45" w:rsidRDefault="0001250D" w:rsidP="00143694">
            <w:pPr>
              <w:jc w:val="center"/>
              <w:rPr>
                <w:szCs w:val="17"/>
                <w:lang w:val="fr-FR"/>
              </w:rPr>
            </w:pPr>
            <w:r w:rsidRPr="00412D45">
              <w:rPr>
                <w:szCs w:val="17"/>
                <w:lang w:val="fr-FR"/>
              </w:rPr>
              <w:t xml:space="preserve">Article 51 – paragraph 1b – </w:t>
            </w:r>
            <w:r w:rsidRPr="00412D45">
              <w:rPr>
                <w:szCs w:val="17"/>
                <w:lang w:val="fr-FR"/>
              </w:rPr>
              <w:lastRenderedPageBreak/>
              <w:t>point c – point iii</w:t>
            </w:r>
          </w:p>
        </w:tc>
        <w:tc>
          <w:tcPr>
            <w:tcW w:w="6588" w:type="dxa"/>
            <w:shd w:val="clear" w:color="auto" w:fill="auto"/>
          </w:tcPr>
          <w:p w14:paraId="16BF4F8E" w14:textId="4F2BE67F" w:rsidR="0001250D" w:rsidRPr="00586687" w:rsidRDefault="002146CA" w:rsidP="00143694">
            <w:pPr>
              <w:jc w:val="left"/>
              <w:rPr>
                <w:szCs w:val="17"/>
              </w:rPr>
            </w:pPr>
            <w:r w:rsidRPr="00586687">
              <w:rPr>
                <w:szCs w:val="17"/>
              </w:rPr>
              <w:lastRenderedPageBreak/>
              <w:t>I</w:t>
            </w:r>
            <w:r w:rsidR="0001250D" w:rsidRPr="00586687">
              <w:rPr>
                <w:szCs w:val="17"/>
              </w:rPr>
              <w:t xml:space="preserve">nformation on risk sensitivity, including in relation to sustainability risks to be included in the description of the capital management and the risk </w:t>
            </w:r>
            <w:r w:rsidR="0001250D" w:rsidRPr="00586687">
              <w:rPr>
                <w:szCs w:val="17"/>
              </w:rPr>
              <w:lastRenderedPageBreak/>
              <w:t>profile, for undertakings relevant for the financial stability of the financial systems in the Union</w:t>
            </w:r>
            <w:r w:rsidR="002C7D83" w:rsidRPr="00586687">
              <w:rPr>
                <w:szCs w:val="17"/>
              </w:rPr>
              <w:t>.</w:t>
            </w:r>
          </w:p>
        </w:tc>
        <w:tc>
          <w:tcPr>
            <w:tcW w:w="1842" w:type="dxa"/>
            <w:shd w:val="clear" w:color="auto" w:fill="auto"/>
            <w:vAlign w:val="center"/>
          </w:tcPr>
          <w:p w14:paraId="16E08179" w14:textId="55FDDB20" w:rsidR="0001250D" w:rsidRPr="00586687" w:rsidRDefault="0001250D" w:rsidP="00143694">
            <w:pPr>
              <w:pStyle w:val="NormalBold"/>
              <w:jc w:val="center"/>
              <w:rPr>
                <w:rFonts w:ascii="Verdana" w:hAnsi="Verdana"/>
                <w:b w:val="0"/>
                <w:sz w:val="17"/>
                <w:szCs w:val="17"/>
                <w:lang w:eastAsia="en-US"/>
              </w:rPr>
            </w:pPr>
            <w:r w:rsidRPr="00586687">
              <w:rPr>
                <w:rFonts w:ascii="Verdana" w:hAnsi="Verdana"/>
                <w:vanish/>
                <w:sz w:val="17"/>
                <w:szCs w:val="17"/>
                <w:lang w:eastAsia="en-US"/>
              </w:rPr>
              <w:lastRenderedPageBreak/>
              <w:t>&lt;RepeatBlock-By&gt;&lt;Members&gt;</w:t>
            </w:r>
            <w:r w:rsidRPr="00586687">
              <w:rPr>
                <w:rFonts w:ascii="Verdana" w:hAnsi="Verdana"/>
                <w:b w:val="0"/>
                <w:sz w:val="17"/>
                <w:szCs w:val="17"/>
                <w:lang w:eastAsia="en-US"/>
              </w:rPr>
              <w:t>MacManus</w:t>
            </w:r>
            <w:r w:rsidRPr="00586687">
              <w:rPr>
                <w:rFonts w:ascii="Verdana" w:hAnsi="Verdana"/>
                <w:vanish/>
                <w:sz w:val="17"/>
                <w:szCs w:val="17"/>
                <w:lang w:eastAsia="en-US"/>
              </w:rPr>
              <w:t>&lt;/Members&gt;</w:t>
            </w:r>
          </w:p>
          <w:p w14:paraId="445BC55D" w14:textId="77777777" w:rsidR="0001250D" w:rsidRPr="00586687" w:rsidRDefault="0001250D" w:rsidP="00143694">
            <w:pPr>
              <w:jc w:val="center"/>
              <w:rPr>
                <w:szCs w:val="17"/>
              </w:rPr>
            </w:pPr>
          </w:p>
        </w:tc>
        <w:tc>
          <w:tcPr>
            <w:tcW w:w="2127" w:type="dxa"/>
            <w:shd w:val="clear" w:color="auto" w:fill="auto"/>
            <w:vAlign w:val="center"/>
          </w:tcPr>
          <w:p w14:paraId="0FAF6544" w14:textId="39EEEF75" w:rsidR="0001250D" w:rsidRPr="00586687" w:rsidRDefault="0001250D" w:rsidP="00143694">
            <w:pPr>
              <w:jc w:val="center"/>
              <w:rPr>
                <w:szCs w:val="17"/>
              </w:rPr>
            </w:pPr>
            <w:r w:rsidRPr="00586687">
              <w:rPr>
                <w:bCs/>
                <w:szCs w:val="17"/>
              </w:rPr>
              <w:t>Reporting/ Sustainability</w:t>
            </w:r>
          </w:p>
        </w:tc>
        <w:tc>
          <w:tcPr>
            <w:tcW w:w="1471" w:type="dxa"/>
            <w:shd w:val="clear" w:color="auto" w:fill="auto"/>
            <w:vAlign w:val="center"/>
          </w:tcPr>
          <w:p w14:paraId="56CCAB6E" w14:textId="0E615E20" w:rsidR="0001250D" w:rsidRPr="00586687" w:rsidRDefault="00B55CE2" w:rsidP="00143694">
            <w:pPr>
              <w:jc w:val="center"/>
              <w:rPr>
                <w:szCs w:val="17"/>
              </w:rPr>
            </w:pPr>
            <w:r w:rsidRPr="00586687">
              <w:rPr>
                <w:b/>
                <w:color w:val="FF0000"/>
                <w:szCs w:val="17"/>
              </w:rPr>
              <w:t>Negative</w:t>
            </w:r>
          </w:p>
        </w:tc>
      </w:tr>
      <w:tr w:rsidR="0001250D" w:rsidRPr="00586687" w14:paraId="5558004F" w14:textId="77777777" w:rsidTr="00A2044B">
        <w:trPr>
          <w:trHeight w:val="494"/>
        </w:trPr>
        <w:tc>
          <w:tcPr>
            <w:tcW w:w="696" w:type="dxa"/>
            <w:shd w:val="clear" w:color="auto" w:fill="auto"/>
            <w:vAlign w:val="center"/>
          </w:tcPr>
          <w:p w14:paraId="299B7D85" w14:textId="703A536B" w:rsidR="0001250D" w:rsidRPr="00586687" w:rsidRDefault="0001250D" w:rsidP="00143694">
            <w:pPr>
              <w:jc w:val="center"/>
              <w:rPr>
                <w:szCs w:val="17"/>
              </w:rPr>
            </w:pPr>
            <w:r w:rsidRPr="00586687">
              <w:rPr>
                <w:szCs w:val="17"/>
              </w:rPr>
              <w:t>528-529-530</w:t>
            </w:r>
          </w:p>
        </w:tc>
        <w:tc>
          <w:tcPr>
            <w:tcW w:w="1931" w:type="dxa"/>
            <w:shd w:val="clear" w:color="auto" w:fill="auto"/>
            <w:vAlign w:val="center"/>
          </w:tcPr>
          <w:p w14:paraId="4D2B21B8" w14:textId="2B5637E8" w:rsidR="0001250D" w:rsidRPr="00412D45" w:rsidRDefault="0001250D" w:rsidP="00143694">
            <w:pPr>
              <w:jc w:val="center"/>
              <w:rPr>
                <w:szCs w:val="17"/>
                <w:lang w:val="fr-FR"/>
              </w:rPr>
            </w:pPr>
            <w:r w:rsidRPr="00412D45">
              <w:rPr>
                <w:szCs w:val="17"/>
                <w:lang w:val="fr-FR"/>
              </w:rPr>
              <w:t>Article 51 – paragraph 1b – point c – point vi a (new)</w:t>
            </w:r>
          </w:p>
        </w:tc>
        <w:tc>
          <w:tcPr>
            <w:tcW w:w="6588" w:type="dxa"/>
            <w:shd w:val="clear" w:color="auto" w:fill="auto"/>
          </w:tcPr>
          <w:p w14:paraId="60EA39C3" w14:textId="5BA842B6" w:rsidR="0001250D" w:rsidRPr="00586687" w:rsidRDefault="0001250D" w:rsidP="00143694">
            <w:pPr>
              <w:jc w:val="left"/>
              <w:rPr>
                <w:szCs w:val="17"/>
              </w:rPr>
            </w:pPr>
            <w:r w:rsidRPr="00586687">
              <w:rPr>
                <w:szCs w:val="17"/>
              </w:rPr>
              <w:t>The description of the capital management and the risk profile,</w:t>
            </w:r>
          </w:p>
          <w:p w14:paraId="0AB977D9" w14:textId="244E0E2C" w:rsidR="0001250D" w:rsidRPr="00586687" w:rsidRDefault="0001250D" w:rsidP="00143694">
            <w:pPr>
              <w:jc w:val="left"/>
              <w:rPr>
                <w:szCs w:val="17"/>
              </w:rPr>
            </w:pPr>
            <w:r w:rsidRPr="00586687">
              <w:rPr>
                <w:szCs w:val="17"/>
              </w:rPr>
              <w:t>shall include also the climate and other sustainability targets and transition plan targets of the undertaking, including absolute carbon emission reduction targets for its underwriting and investment portfolios, and the progress made towards implementing them</w:t>
            </w:r>
          </w:p>
        </w:tc>
        <w:tc>
          <w:tcPr>
            <w:tcW w:w="1842" w:type="dxa"/>
            <w:shd w:val="clear" w:color="auto" w:fill="auto"/>
            <w:vAlign w:val="center"/>
          </w:tcPr>
          <w:p w14:paraId="083777CF" w14:textId="60D9944E" w:rsidR="0001250D" w:rsidRPr="00586687" w:rsidRDefault="0001250D" w:rsidP="00143694">
            <w:pPr>
              <w:jc w:val="center"/>
              <w:rPr>
                <w:szCs w:val="17"/>
              </w:rPr>
            </w:pPr>
            <w:proofErr w:type="spellStart"/>
            <w:r w:rsidRPr="00586687">
              <w:rPr>
                <w:szCs w:val="17"/>
              </w:rPr>
              <w:t>Heinäluoma</w:t>
            </w:r>
            <w:proofErr w:type="spellEnd"/>
            <w:r w:rsidRPr="00586687">
              <w:rPr>
                <w:szCs w:val="17"/>
              </w:rPr>
              <w:t xml:space="preserve">, </w:t>
            </w:r>
            <w:proofErr w:type="gramStart"/>
            <w:r w:rsidRPr="00586687">
              <w:rPr>
                <w:szCs w:val="17"/>
              </w:rPr>
              <w:t xml:space="preserve">Tang,  </w:t>
            </w:r>
            <w:proofErr w:type="spellStart"/>
            <w:r w:rsidRPr="00586687">
              <w:rPr>
                <w:szCs w:val="17"/>
              </w:rPr>
              <w:t>Lalucq</w:t>
            </w:r>
            <w:proofErr w:type="spellEnd"/>
            <w:proofErr w:type="gramEnd"/>
            <w:r w:rsidR="00C5383E" w:rsidRPr="00586687">
              <w:rPr>
                <w:szCs w:val="17"/>
              </w:rPr>
              <w:t>,</w:t>
            </w:r>
            <w:r w:rsidRPr="00586687">
              <w:t xml:space="preserve"> MacManus</w:t>
            </w:r>
          </w:p>
        </w:tc>
        <w:tc>
          <w:tcPr>
            <w:tcW w:w="2127" w:type="dxa"/>
            <w:shd w:val="clear" w:color="auto" w:fill="auto"/>
            <w:vAlign w:val="center"/>
          </w:tcPr>
          <w:p w14:paraId="52FBE79C" w14:textId="698FE94D" w:rsidR="0001250D" w:rsidRPr="00586687" w:rsidRDefault="0001250D" w:rsidP="00143694">
            <w:pPr>
              <w:jc w:val="center"/>
              <w:rPr>
                <w:szCs w:val="17"/>
              </w:rPr>
            </w:pPr>
            <w:r w:rsidRPr="00586687">
              <w:rPr>
                <w:bCs/>
                <w:szCs w:val="17"/>
              </w:rPr>
              <w:t>Reporting/ Sustainability</w:t>
            </w:r>
          </w:p>
        </w:tc>
        <w:tc>
          <w:tcPr>
            <w:tcW w:w="1471" w:type="dxa"/>
            <w:shd w:val="clear" w:color="auto" w:fill="auto"/>
            <w:vAlign w:val="center"/>
          </w:tcPr>
          <w:p w14:paraId="24F13A58" w14:textId="11F02C4C" w:rsidR="0001250D" w:rsidRPr="00586687" w:rsidRDefault="00B55CE2" w:rsidP="00143694">
            <w:pPr>
              <w:jc w:val="center"/>
              <w:rPr>
                <w:szCs w:val="17"/>
              </w:rPr>
            </w:pPr>
            <w:r w:rsidRPr="00586687">
              <w:rPr>
                <w:b/>
                <w:color w:val="FF0000"/>
                <w:szCs w:val="17"/>
              </w:rPr>
              <w:t>Negative</w:t>
            </w:r>
          </w:p>
        </w:tc>
      </w:tr>
      <w:tr w:rsidR="0001250D" w:rsidRPr="00586687" w14:paraId="7DC66F9B" w14:textId="77777777" w:rsidTr="00A2044B">
        <w:trPr>
          <w:trHeight w:val="494"/>
        </w:trPr>
        <w:tc>
          <w:tcPr>
            <w:tcW w:w="696" w:type="dxa"/>
            <w:shd w:val="clear" w:color="auto" w:fill="auto"/>
            <w:vAlign w:val="center"/>
          </w:tcPr>
          <w:p w14:paraId="2C10B556" w14:textId="4CF18AD3" w:rsidR="0001250D" w:rsidRPr="00586687" w:rsidRDefault="0001250D" w:rsidP="00143694">
            <w:pPr>
              <w:jc w:val="center"/>
              <w:rPr>
                <w:szCs w:val="17"/>
              </w:rPr>
            </w:pPr>
            <w:r w:rsidRPr="00586687">
              <w:rPr>
                <w:szCs w:val="17"/>
              </w:rPr>
              <w:t>531</w:t>
            </w:r>
          </w:p>
        </w:tc>
        <w:tc>
          <w:tcPr>
            <w:tcW w:w="1931" w:type="dxa"/>
            <w:shd w:val="clear" w:color="auto" w:fill="auto"/>
            <w:vAlign w:val="center"/>
          </w:tcPr>
          <w:p w14:paraId="18096788" w14:textId="7ADFA350" w:rsidR="0001250D" w:rsidRPr="00412D45" w:rsidRDefault="0001250D" w:rsidP="00143694">
            <w:pPr>
              <w:jc w:val="center"/>
              <w:rPr>
                <w:szCs w:val="17"/>
                <w:lang w:val="fr-FR"/>
              </w:rPr>
            </w:pPr>
            <w:r w:rsidRPr="00412D45">
              <w:rPr>
                <w:szCs w:val="17"/>
                <w:lang w:val="fr-FR"/>
              </w:rPr>
              <w:t>Article 51 – paragraph 1b – point c – point vi a (new)</w:t>
            </w:r>
          </w:p>
        </w:tc>
        <w:tc>
          <w:tcPr>
            <w:tcW w:w="6588" w:type="dxa"/>
            <w:shd w:val="clear" w:color="auto" w:fill="auto"/>
          </w:tcPr>
          <w:p w14:paraId="37A277E5" w14:textId="61141ADB" w:rsidR="0001250D" w:rsidRPr="00586687" w:rsidRDefault="0001250D" w:rsidP="00143694">
            <w:pPr>
              <w:jc w:val="left"/>
              <w:rPr>
                <w:szCs w:val="17"/>
              </w:rPr>
            </w:pPr>
            <w:r w:rsidRPr="00586687">
              <w:rPr>
                <w:szCs w:val="17"/>
              </w:rPr>
              <w:t>The description of the capital management and the risk profile,</w:t>
            </w:r>
          </w:p>
          <w:p w14:paraId="3BD5843A" w14:textId="028CCB9A" w:rsidR="0001250D" w:rsidRPr="00586687" w:rsidRDefault="0001250D" w:rsidP="00143694">
            <w:pPr>
              <w:jc w:val="left"/>
              <w:rPr>
                <w:szCs w:val="17"/>
              </w:rPr>
            </w:pPr>
            <w:r w:rsidRPr="00586687">
              <w:rPr>
                <w:szCs w:val="17"/>
              </w:rPr>
              <w:t>shall include also the targets and milestones defined in the undertaking’s transition plan</w:t>
            </w:r>
          </w:p>
        </w:tc>
        <w:tc>
          <w:tcPr>
            <w:tcW w:w="1842" w:type="dxa"/>
            <w:shd w:val="clear" w:color="auto" w:fill="auto"/>
            <w:vAlign w:val="center"/>
          </w:tcPr>
          <w:p w14:paraId="093E8B47" w14:textId="07DBA636" w:rsidR="0001250D" w:rsidRPr="00586687" w:rsidRDefault="0001250D" w:rsidP="00143694">
            <w:pPr>
              <w:jc w:val="center"/>
              <w:rPr>
                <w:szCs w:val="17"/>
              </w:rPr>
            </w:pPr>
            <w:r w:rsidRPr="00586687">
              <w:rPr>
                <w:szCs w:val="17"/>
              </w:rPr>
              <w:t>Hahn</w:t>
            </w:r>
          </w:p>
        </w:tc>
        <w:tc>
          <w:tcPr>
            <w:tcW w:w="2127" w:type="dxa"/>
            <w:shd w:val="clear" w:color="auto" w:fill="auto"/>
            <w:vAlign w:val="center"/>
          </w:tcPr>
          <w:p w14:paraId="3F71CCFA" w14:textId="711D0458" w:rsidR="0001250D" w:rsidRPr="00586687" w:rsidRDefault="0001250D" w:rsidP="00143694">
            <w:pPr>
              <w:jc w:val="center"/>
              <w:rPr>
                <w:szCs w:val="17"/>
              </w:rPr>
            </w:pPr>
            <w:r w:rsidRPr="00586687">
              <w:rPr>
                <w:bCs/>
                <w:szCs w:val="17"/>
              </w:rPr>
              <w:t>Reporting/ Sustainability</w:t>
            </w:r>
          </w:p>
        </w:tc>
        <w:tc>
          <w:tcPr>
            <w:tcW w:w="1471" w:type="dxa"/>
            <w:shd w:val="clear" w:color="auto" w:fill="auto"/>
            <w:vAlign w:val="center"/>
          </w:tcPr>
          <w:p w14:paraId="0BD176C7" w14:textId="5D7C9785" w:rsidR="0001250D" w:rsidRPr="00586687" w:rsidRDefault="00B55CE2" w:rsidP="00143694">
            <w:pPr>
              <w:jc w:val="center"/>
              <w:rPr>
                <w:szCs w:val="17"/>
              </w:rPr>
            </w:pPr>
            <w:r w:rsidRPr="00586687">
              <w:rPr>
                <w:b/>
                <w:color w:val="FF0000"/>
                <w:szCs w:val="17"/>
              </w:rPr>
              <w:t>Negative</w:t>
            </w:r>
          </w:p>
        </w:tc>
      </w:tr>
      <w:tr w:rsidR="0001250D" w:rsidRPr="00586687" w14:paraId="272CE16C" w14:textId="77777777" w:rsidTr="00A2044B">
        <w:trPr>
          <w:trHeight w:val="494"/>
        </w:trPr>
        <w:tc>
          <w:tcPr>
            <w:tcW w:w="696" w:type="dxa"/>
            <w:shd w:val="clear" w:color="auto" w:fill="auto"/>
            <w:vAlign w:val="center"/>
          </w:tcPr>
          <w:p w14:paraId="40B479CE" w14:textId="482DF64E" w:rsidR="0001250D" w:rsidRPr="00586687" w:rsidRDefault="0001250D" w:rsidP="00143694">
            <w:pPr>
              <w:jc w:val="center"/>
              <w:rPr>
                <w:szCs w:val="17"/>
              </w:rPr>
            </w:pPr>
            <w:r w:rsidRPr="00586687">
              <w:rPr>
                <w:szCs w:val="17"/>
              </w:rPr>
              <w:t>532</w:t>
            </w:r>
          </w:p>
        </w:tc>
        <w:tc>
          <w:tcPr>
            <w:tcW w:w="1931" w:type="dxa"/>
            <w:shd w:val="clear" w:color="auto" w:fill="auto"/>
            <w:vAlign w:val="center"/>
          </w:tcPr>
          <w:p w14:paraId="66B1AE46" w14:textId="799D84AD" w:rsidR="0001250D" w:rsidRPr="00412D45" w:rsidRDefault="0001250D" w:rsidP="00143694">
            <w:pPr>
              <w:jc w:val="center"/>
              <w:rPr>
                <w:szCs w:val="17"/>
                <w:lang w:val="fr-FR"/>
              </w:rPr>
            </w:pPr>
            <w:r w:rsidRPr="00412D45">
              <w:rPr>
                <w:szCs w:val="17"/>
                <w:lang w:val="fr-FR"/>
              </w:rPr>
              <w:t>Article 51 – paragraph 1b – point c – point vi b (new)</w:t>
            </w:r>
          </w:p>
        </w:tc>
        <w:tc>
          <w:tcPr>
            <w:tcW w:w="6588" w:type="dxa"/>
            <w:shd w:val="clear" w:color="auto" w:fill="auto"/>
          </w:tcPr>
          <w:p w14:paraId="7CE4A9BA" w14:textId="5B571C1F" w:rsidR="0001250D" w:rsidRPr="00586687" w:rsidRDefault="0001250D" w:rsidP="00143694">
            <w:pPr>
              <w:jc w:val="left"/>
              <w:rPr>
                <w:szCs w:val="17"/>
              </w:rPr>
            </w:pPr>
            <w:r w:rsidRPr="00586687">
              <w:rPr>
                <w:szCs w:val="17"/>
              </w:rPr>
              <w:t>The description of the capital management and the risk profile,</w:t>
            </w:r>
          </w:p>
          <w:p w14:paraId="4977967C" w14:textId="6E6B8046" w:rsidR="0001250D" w:rsidRPr="00586687" w:rsidRDefault="0001250D" w:rsidP="00143694">
            <w:pPr>
              <w:jc w:val="left"/>
              <w:rPr>
                <w:szCs w:val="17"/>
              </w:rPr>
            </w:pPr>
            <w:r w:rsidRPr="00586687">
              <w:rPr>
                <w:szCs w:val="17"/>
              </w:rPr>
              <w:t>shall include also the adaptation of business model and strategy decided by the undertaking to cope with the sustainability risks it faces.</w:t>
            </w:r>
          </w:p>
        </w:tc>
        <w:tc>
          <w:tcPr>
            <w:tcW w:w="1842" w:type="dxa"/>
            <w:shd w:val="clear" w:color="auto" w:fill="auto"/>
            <w:vAlign w:val="center"/>
          </w:tcPr>
          <w:p w14:paraId="0BD4F1D6" w14:textId="3934A28D" w:rsidR="0001250D" w:rsidRPr="00586687" w:rsidRDefault="0001250D" w:rsidP="00143694">
            <w:pPr>
              <w:jc w:val="center"/>
              <w:rPr>
                <w:szCs w:val="17"/>
              </w:rPr>
            </w:pPr>
            <w:proofErr w:type="spellStart"/>
            <w:r w:rsidRPr="00586687">
              <w:rPr>
                <w:szCs w:val="17"/>
              </w:rPr>
              <w:t>Henrike</w:t>
            </w:r>
            <w:proofErr w:type="spellEnd"/>
            <w:r w:rsidRPr="00586687">
              <w:rPr>
                <w:szCs w:val="17"/>
              </w:rPr>
              <w:t xml:space="preserve"> Hahn</w:t>
            </w:r>
          </w:p>
        </w:tc>
        <w:tc>
          <w:tcPr>
            <w:tcW w:w="2127" w:type="dxa"/>
            <w:shd w:val="clear" w:color="auto" w:fill="auto"/>
            <w:vAlign w:val="center"/>
          </w:tcPr>
          <w:p w14:paraId="034E499B" w14:textId="593728D8" w:rsidR="0001250D" w:rsidRPr="00586687" w:rsidRDefault="0001250D" w:rsidP="00143694">
            <w:pPr>
              <w:jc w:val="center"/>
              <w:rPr>
                <w:bCs/>
                <w:szCs w:val="17"/>
              </w:rPr>
            </w:pPr>
            <w:r w:rsidRPr="00586687">
              <w:rPr>
                <w:bCs/>
                <w:szCs w:val="17"/>
              </w:rPr>
              <w:t>Reporting/ Sustainability</w:t>
            </w:r>
          </w:p>
        </w:tc>
        <w:tc>
          <w:tcPr>
            <w:tcW w:w="1471" w:type="dxa"/>
            <w:shd w:val="clear" w:color="auto" w:fill="auto"/>
            <w:vAlign w:val="center"/>
          </w:tcPr>
          <w:p w14:paraId="6D6A6EE3" w14:textId="6D88E73E" w:rsidR="0001250D" w:rsidRPr="00586687" w:rsidRDefault="00B55CE2" w:rsidP="00143694">
            <w:pPr>
              <w:jc w:val="center"/>
              <w:rPr>
                <w:szCs w:val="17"/>
              </w:rPr>
            </w:pPr>
            <w:r w:rsidRPr="00586687">
              <w:rPr>
                <w:b/>
                <w:color w:val="FF0000"/>
                <w:szCs w:val="17"/>
              </w:rPr>
              <w:t>Negative</w:t>
            </w:r>
          </w:p>
        </w:tc>
      </w:tr>
      <w:tr w:rsidR="008E3302" w:rsidRPr="00586687" w14:paraId="6AB0644D" w14:textId="77777777" w:rsidTr="00A2044B">
        <w:trPr>
          <w:trHeight w:val="494"/>
        </w:trPr>
        <w:tc>
          <w:tcPr>
            <w:tcW w:w="696" w:type="dxa"/>
            <w:shd w:val="clear" w:color="auto" w:fill="auto"/>
            <w:vAlign w:val="center"/>
          </w:tcPr>
          <w:p w14:paraId="4BC7BA6B" w14:textId="353388AF" w:rsidR="008E3302" w:rsidRPr="00586687" w:rsidRDefault="008E3302" w:rsidP="00143694">
            <w:pPr>
              <w:jc w:val="center"/>
              <w:rPr>
                <w:bCs/>
                <w:szCs w:val="17"/>
              </w:rPr>
            </w:pPr>
            <w:r w:rsidRPr="00586687">
              <w:rPr>
                <w:bCs/>
                <w:szCs w:val="17"/>
              </w:rPr>
              <w:t>533</w:t>
            </w:r>
          </w:p>
        </w:tc>
        <w:tc>
          <w:tcPr>
            <w:tcW w:w="1931" w:type="dxa"/>
            <w:shd w:val="clear" w:color="auto" w:fill="auto"/>
            <w:vAlign w:val="center"/>
          </w:tcPr>
          <w:p w14:paraId="484783FF" w14:textId="1CE4A9AE" w:rsidR="008E3302" w:rsidRPr="00412D45" w:rsidRDefault="008E3302" w:rsidP="00143694">
            <w:pPr>
              <w:jc w:val="center"/>
              <w:rPr>
                <w:b/>
                <w:szCs w:val="17"/>
                <w:lang w:val="fr-FR"/>
              </w:rPr>
            </w:pPr>
            <w:r w:rsidRPr="00412D45">
              <w:rPr>
                <w:lang w:val="fr-FR"/>
              </w:rPr>
              <w:t>Article 51 – paragraph 1b – point c – point vi b (new)</w:t>
            </w:r>
          </w:p>
        </w:tc>
        <w:tc>
          <w:tcPr>
            <w:tcW w:w="6588" w:type="dxa"/>
            <w:shd w:val="clear" w:color="auto" w:fill="auto"/>
          </w:tcPr>
          <w:p w14:paraId="7A9FA167" w14:textId="59F80470" w:rsidR="008E3302" w:rsidRPr="00586687" w:rsidRDefault="008E3302" w:rsidP="00143694">
            <w:pPr>
              <w:jc w:val="left"/>
              <w:rPr>
                <w:bCs/>
                <w:szCs w:val="17"/>
              </w:rPr>
            </w:pPr>
            <w:r w:rsidRPr="00586687">
              <w:rPr>
                <w:bCs/>
                <w:szCs w:val="17"/>
              </w:rPr>
              <w:t>Additional requirement for undertakings to include their strategy in respect of the sustainability risks they face in the part of the SFCR which addressed to other market participants.</w:t>
            </w:r>
          </w:p>
        </w:tc>
        <w:tc>
          <w:tcPr>
            <w:tcW w:w="1842" w:type="dxa"/>
            <w:shd w:val="clear" w:color="auto" w:fill="auto"/>
            <w:vAlign w:val="center"/>
          </w:tcPr>
          <w:p w14:paraId="58FFEF77" w14:textId="0FAAFFC2" w:rsidR="008E3302" w:rsidRPr="00586687" w:rsidRDefault="00DA7B6C" w:rsidP="00143694">
            <w:pPr>
              <w:jc w:val="center"/>
              <w:rPr>
                <w:b/>
                <w:szCs w:val="17"/>
              </w:rPr>
            </w:pPr>
            <w:proofErr w:type="spellStart"/>
            <w:r w:rsidRPr="00586687">
              <w:t>L</w:t>
            </w:r>
            <w:r w:rsidR="008E3302" w:rsidRPr="00586687">
              <w:t>alucq</w:t>
            </w:r>
            <w:proofErr w:type="spellEnd"/>
          </w:p>
        </w:tc>
        <w:tc>
          <w:tcPr>
            <w:tcW w:w="2127" w:type="dxa"/>
            <w:shd w:val="clear" w:color="auto" w:fill="auto"/>
            <w:vAlign w:val="center"/>
          </w:tcPr>
          <w:p w14:paraId="6D929C97" w14:textId="6EC67788" w:rsidR="008E3302" w:rsidRPr="00586687" w:rsidRDefault="008E3302" w:rsidP="00143694">
            <w:pPr>
              <w:jc w:val="center"/>
              <w:rPr>
                <w:bCs/>
                <w:szCs w:val="17"/>
              </w:rPr>
            </w:pPr>
            <w:r w:rsidRPr="00586687">
              <w:rPr>
                <w:bCs/>
                <w:szCs w:val="17"/>
              </w:rPr>
              <w:t>Reporting/Sustainable finance</w:t>
            </w:r>
          </w:p>
        </w:tc>
        <w:tc>
          <w:tcPr>
            <w:tcW w:w="1471" w:type="dxa"/>
            <w:shd w:val="clear" w:color="auto" w:fill="auto"/>
            <w:vAlign w:val="center"/>
          </w:tcPr>
          <w:p w14:paraId="2C8E506E" w14:textId="7B02CB05" w:rsidR="008E3302" w:rsidRPr="00586687" w:rsidRDefault="008E3302" w:rsidP="00143694">
            <w:pPr>
              <w:jc w:val="center"/>
              <w:rPr>
                <w:b/>
                <w:color w:val="FF0000"/>
                <w:szCs w:val="17"/>
              </w:rPr>
            </w:pPr>
            <w:r w:rsidRPr="00586687">
              <w:rPr>
                <w:b/>
                <w:color w:val="FF0000"/>
                <w:szCs w:val="17"/>
              </w:rPr>
              <w:t>Negative</w:t>
            </w:r>
          </w:p>
        </w:tc>
      </w:tr>
      <w:tr w:rsidR="008E3302" w:rsidRPr="00586687" w14:paraId="565FB1A6" w14:textId="77777777" w:rsidTr="00A2044B">
        <w:trPr>
          <w:trHeight w:val="494"/>
        </w:trPr>
        <w:tc>
          <w:tcPr>
            <w:tcW w:w="696" w:type="dxa"/>
            <w:shd w:val="clear" w:color="auto" w:fill="auto"/>
            <w:vAlign w:val="center"/>
          </w:tcPr>
          <w:p w14:paraId="0C04BDBC" w14:textId="0FE26329" w:rsidR="008E3302" w:rsidRPr="00586687" w:rsidRDefault="008E3302" w:rsidP="00143694">
            <w:pPr>
              <w:jc w:val="center"/>
              <w:rPr>
                <w:bCs/>
                <w:szCs w:val="17"/>
              </w:rPr>
            </w:pPr>
            <w:r w:rsidRPr="00586687">
              <w:rPr>
                <w:bCs/>
                <w:szCs w:val="17"/>
              </w:rPr>
              <w:t>534</w:t>
            </w:r>
          </w:p>
        </w:tc>
        <w:tc>
          <w:tcPr>
            <w:tcW w:w="1931" w:type="dxa"/>
            <w:shd w:val="clear" w:color="auto" w:fill="auto"/>
            <w:vAlign w:val="center"/>
          </w:tcPr>
          <w:p w14:paraId="2CEF8E05" w14:textId="36C90BC1" w:rsidR="008E3302" w:rsidRPr="00412D45" w:rsidRDefault="008E3302" w:rsidP="00143694">
            <w:pPr>
              <w:jc w:val="center"/>
              <w:rPr>
                <w:bCs/>
                <w:szCs w:val="17"/>
                <w:lang w:val="fr-FR"/>
              </w:rPr>
            </w:pPr>
            <w:r w:rsidRPr="00412D45">
              <w:rPr>
                <w:lang w:val="fr-FR"/>
              </w:rPr>
              <w:t>Article 51 – paragraph 1b – point c – point vi b (new)</w:t>
            </w:r>
          </w:p>
        </w:tc>
        <w:tc>
          <w:tcPr>
            <w:tcW w:w="6588" w:type="dxa"/>
            <w:shd w:val="clear" w:color="auto" w:fill="auto"/>
          </w:tcPr>
          <w:p w14:paraId="7D281C8C" w14:textId="6C3FC858" w:rsidR="008E3302" w:rsidRPr="00586687" w:rsidRDefault="008E3302" w:rsidP="00143694">
            <w:pPr>
              <w:jc w:val="left"/>
              <w:rPr>
                <w:bCs/>
                <w:szCs w:val="17"/>
              </w:rPr>
            </w:pPr>
            <w:r w:rsidRPr="00586687">
              <w:rPr>
                <w:bCs/>
                <w:szCs w:val="17"/>
              </w:rPr>
              <w:t>Additional requirement for undertakings to include their strategy in respect of the sustainability risks they face in the part of the SFCR which addressed to other market participants.</w:t>
            </w:r>
          </w:p>
        </w:tc>
        <w:tc>
          <w:tcPr>
            <w:tcW w:w="1842" w:type="dxa"/>
            <w:shd w:val="clear" w:color="auto" w:fill="auto"/>
            <w:vAlign w:val="center"/>
          </w:tcPr>
          <w:p w14:paraId="06DC12AF" w14:textId="7BFD9BD8" w:rsidR="008E3302" w:rsidRPr="00586687" w:rsidRDefault="008E3302" w:rsidP="00143694">
            <w:pPr>
              <w:jc w:val="center"/>
              <w:rPr>
                <w:bCs/>
                <w:szCs w:val="17"/>
              </w:rPr>
            </w:pPr>
            <w:r w:rsidRPr="00586687">
              <w:t>MacManus</w:t>
            </w:r>
          </w:p>
        </w:tc>
        <w:tc>
          <w:tcPr>
            <w:tcW w:w="2127" w:type="dxa"/>
            <w:shd w:val="clear" w:color="auto" w:fill="auto"/>
            <w:vAlign w:val="center"/>
          </w:tcPr>
          <w:p w14:paraId="43C585BC" w14:textId="6CA3053C" w:rsidR="008E3302" w:rsidRPr="00586687" w:rsidRDefault="009B4EE2" w:rsidP="00143694">
            <w:pPr>
              <w:jc w:val="center"/>
              <w:rPr>
                <w:bCs/>
                <w:szCs w:val="17"/>
              </w:rPr>
            </w:pPr>
            <w:r w:rsidRPr="00586687">
              <w:rPr>
                <w:bCs/>
                <w:szCs w:val="17"/>
              </w:rPr>
              <w:t>Reporting/ Sustainability</w:t>
            </w:r>
          </w:p>
        </w:tc>
        <w:tc>
          <w:tcPr>
            <w:tcW w:w="1471" w:type="dxa"/>
            <w:shd w:val="clear" w:color="auto" w:fill="auto"/>
            <w:vAlign w:val="center"/>
          </w:tcPr>
          <w:p w14:paraId="0BA8660D" w14:textId="79496631" w:rsidR="008E3302" w:rsidRPr="00586687" w:rsidRDefault="008E3302" w:rsidP="00143694">
            <w:pPr>
              <w:jc w:val="center"/>
              <w:rPr>
                <w:b/>
                <w:color w:val="FF0000"/>
                <w:szCs w:val="17"/>
              </w:rPr>
            </w:pPr>
            <w:r w:rsidRPr="00586687">
              <w:rPr>
                <w:b/>
                <w:color w:val="FF0000"/>
                <w:szCs w:val="17"/>
              </w:rPr>
              <w:t>Negative</w:t>
            </w:r>
          </w:p>
        </w:tc>
      </w:tr>
      <w:tr w:rsidR="008E3302" w:rsidRPr="00586687" w14:paraId="44D0BB47" w14:textId="77777777" w:rsidTr="00A2044B">
        <w:trPr>
          <w:trHeight w:val="494"/>
        </w:trPr>
        <w:tc>
          <w:tcPr>
            <w:tcW w:w="696" w:type="dxa"/>
            <w:shd w:val="clear" w:color="auto" w:fill="auto"/>
            <w:vAlign w:val="center"/>
          </w:tcPr>
          <w:p w14:paraId="302F1E99" w14:textId="6F8FC36F" w:rsidR="008E3302" w:rsidRPr="00586687" w:rsidRDefault="008E3302" w:rsidP="00143694">
            <w:pPr>
              <w:jc w:val="center"/>
              <w:rPr>
                <w:bCs/>
                <w:szCs w:val="17"/>
              </w:rPr>
            </w:pPr>
            <w:r w:rsidRPr="00586687">
              <w:rPr>
                <w:bCs/>
                <w:szCs w:val="17"/>
              </w:rPr>
              <w:t>535</w:t>
            </w:r>
          </w:p>
        </w:tc>
        <w:tc>
          <w:tcPr>
            <w:tcW w:w="1931" w:type="dxa"/>
            <w:shd w:val="clear" w:color="auto" w:fill="auto"/>
            <w:vAlign w:val="center"/>
          </w:tcPr>
          <w:p w14:paraId="1AB59FA3" w14:textId="48982E44" w:rsidR="008E3302" w:rsidRPr="00412D45" w:rsidRDefault="008E3302" w:rsidP="00143694">
            <w:pPr>
              <w:jc w:val="center"/>
              <w:rPr>
                <w:bCs/>
                <w:szCs w:val="17"/>
                <w:lang w:val="fr-FR"/>
              </w:rPr>
            </w:pPr>
            <w:r w:rsidRPr="00412D45">
              <w:rPr>
                <w:lang w:val="fr-FR"/>
              </w:rPr>
              <w:t>Article 51 – paragraph 1b – point c – point vi b (new)</w:t>
            </w:r>
          </w:p>
        </w:tc>
        <w:tc>
          <w:tcPr>
            <w:tcW w:w="6588" w:type="dxa"/>
            <w:shd w:val="clear" w:color="auto" w:fill="auto"/>
          </w:tcPr>
          <w:p w14:paraId="44B9F1B4" w14:textId="1133CD5C" w:rsidR="008E3302" w:rsidRPr="00586687" w:rsidRDefault="008E3302" w:rsidP="00143694">
            <w:pPr>
              <w:jc w:val="left"/>
              <w:rPr>
                <w:bCs/>
                <w:szCs w:val="17"/>
              </w:rPr>
            </w:pPr>
            <w:r w:rsidRPr="00586687">
              <w:rPr>
                <w:bCs/>
                <w:szCs w:val="17"/>
              </w:rPr>
              <w:t>Additional requirement for undertakings to include their strategy in respect of the sustainability risks they face in the part of the SFCR which addressed to other market participants.</w:t>
            </w:r>
          </w:p>
        </w:tc>
        <w:tc>
          <w:tcPr>
            <w:tcW w:w="1842" w:type="dxa"/>
            <w:shd w:val="clear" w:color="auto" w:fill="auto"/>
            <w:vAlign w:val="center"/>
          </w:tcPr>
          <w:p w14:paraId="2C7A56CA" w14:textId="1A3E76DC" w:rsidR="008E3302" w:rsidRPr="00586687" w:rsidRDefault="008E3302" w:rsidP="00143694">
            <w:pPr>
              <w:jc w:val="center"/>
              <w:rPr>
                <w:szCs w:val="17"/>
              </w:rPr>
            </w:pPr>
            <w:proofErr w:type="spellStart"/>
            <w:r w:rsidRPr="00586687">
              <w:t>Heinäluoma</w:t>
            </w:r>
            <w:proofErr w:type="spellEnd"/>
            <w:r w:rsidRPr="00586687">
              <w:t xml:space="preserve">, Tang, </w:t>
            </w:r>
            <w:proofErr w:type="spellStart"/>
            <w:r w:rsidRPr="00586687">
              <w:t>Lalucq</w:t>
            </w:r>
            <w:proofErr w:type="spellEnd"/>
          </w:p>
        </w:tc>
        <w:tc>
          <w:tcPr>
            <w:tcW w:w="2127" w:type="dxa"/>
            <w:shd w:val="clear" w:color="auto" w:fill="auto"/>
            <w:vAlign w:val="center"/>
          </w:tcPr>
          <w:p w14:paraId="6C605966" w14:textId="3C787A0A" w:rsidR="008E3302" w:rsidRPr="00586687" w:rsidRDefault="00B06153" w:rsidP="00143694">
            <w:pPr>
              <w:jc w:val="center"/>
              <w:rPr>
                <w:bCs/>
                <w:szCs w:val="17"/>
              </w:rPr>
            </w:pPr>
            <w:r w:rsidRPr="00586687">
              <w:rPr>
                <w:bCs/>
                <w:szCs w:val="17"/>
              </w:rPr>
              <w:t>Reporting/ Sustainability</w:t>
            </w:r>
          </w:p>
        </w:tc>
        <w:tc>
          <w:tcPr>
            <w:tcW w:w="1471" w:type="dxa"/>
            <w:shd w:val="clear" w:color="auto" w:fill="auto"/>
            <w:vAlign w:val="center"/>
          </w:tcPr>
          <w:p w14:paraId="47528BF9" w14:textId="58026955" w:rsidR="008E3302" w:rsidRPr="00586687" w:rsidRDefault="008E3302" w:rsidP="00143694">
            <w:pPr>
              <w:jc w:val="center"/>
              <w:rPr>
                <w:b/>
                <w:color w:val="FF0000"/>
                <w:szCs w:val="17"/>
              </w:rPr>
            </w:pPr>
            <w:r w:rsidRPr="00586687">
              <w:rPr>
                <w:b/>
                <w:color w:val="FF0000"/>
                <w:szCs w:val="17"/>
              </w:rPr>
              <w:t>Negative</w:t>
            </w:r>
          </w:p>
        </w:tc>
      </w:tr>
      <w:tr w:rsidR="008E3302" w:rsidRPr="00586687" w14:paraId="13FEA230" w14:textId="77777777" w:rsidTr="00A2044B">
        <w:trPr>
          <w:trHeight w:val="494"/>
        </w:trPr>
        <w:tc>
          <w:tcPr>
            <w:tcW w:w="696" w:type="dxa"/>
            <w:shd w:val="clear" w:color="auto" w:fill="auto"/>
            <w:vAlign w:val="center"/>
          </w:tcPr>
          <w:p w14:paraId="16AD7B3F" w14:textId="6A5B9F7D" w:rsidR="008E3302" w:rsidRPr="00586687" w:rsidRDefault="008E3302" w:rsidP="00143694">
            <w:pPr>
              <w:jc w:val="center"/>
              <w:rPr>
                <w:bCs/>
                <w:szCs w:val="17"/>
              </w:rPr>
            </w:pPr>
            <w:r w:rsidRPr="00586687">
              <w:rPr>
                <w:bCs/>
                <w:szCs w:val="17"/>
              </w:rPr>
              <w:t>536</w:t>
            </w:r>
          </w:p>
        </w:tc>
        <w:tc>
          <w:tcPr>
            <w:tcW w:w="1931" w:type="dxa"/>
            <w:shd w:val="clear" w:color="auto" w:fill="auto"/>
            <w:vAlign w:val="center"/>
          </w:tcPr>
          <w:p w14:paraId="185DDB4F" w14:textId="263D5AD6" w:rsidR="008E3302" w:rsidRPr="00412D45" w:rsidRDefault="008E3302" w:rsidP="00143694">
            <w:pPr>
              <w:jc w:val="center"/>
              <w:rPr>
                <w:bCs/>
                <w:szCs w:val="17"/>
                <w:lang w:val="fr-FR"/>
              </w:rPr>
            </w:pPr>
            <w:r w:rsidRPr="00412D45">
              <w:rPr>
                <w:lang w:val="fr-FR"/>
              </w:rPr>
              <w:t>Article 51 – paragraph 1b – point c – point vi c (new)</w:t>
            </w:r>
          </w:p>
        </w:tc>
        <w:tc>
          <w:tcPr>
            <w:tcW w:w="6588" w:type="dxa"/>
            <w:shd w:val="clear" w:color="auto" w:fill="auto"/>
          </w:tcPr>
          <w:p w14:paraId="63B31ABF" w14:textId="2219B880" w:rsidR="008E3302" w:rsidRPr="00586687" w:rsidRDefault="008E3302" w:rsidP="00143694">
            <w:pPr>
              <w:jc w:val="left"/>
              <w:rPr>
                <w:bCs/>
                <w:szCs w:val="17"/>
              </w:rPr>
            </w:pPr>
            <w:r w:rsidRPr="00586687">
              <w:rPr>
                <w:bCs/>
                <w:szCs w:val="17"/>
              </w:rPr>
              <w:t xml:space="preserve">Additional requirement to report in the market section of the SFCR the role of the </w:t>
            </w:r>
            <w:r w:rsidR="00713F05" w:rsidRPr="00586687">
              <w:rPr>
                <w:bCs/>
                <w:szCs w:val="17"/>
              </w:rPr>
              <w:t>AMSB</w:t>
            </w:r>
            <w:r w:rsidRPr="00586687">
              <w:rPr>
                <w:bCs/>
                <w:szCs w:val="17"/>
              </w:rPr>
              <w:t xml:space="preserve"> with regard to sustainability risks.</w:t>
            </w:r>
          </w:p>
        </w:tc>
        <w:tc>
          <w:tcPr>
            <w:tcW w:w="1842" w:type="dxa"/>
            <w:shd w:val="clear" w:color="auto" w:fill="auto"/>
            <w:vAlign w:val="center"/>
          </w:tcPr>
          <w:p w14:paraId="6916024D" w14:textId="1CB5594D" w:rsidR="008E3302" w:rsidRPr="00586687" w:rsidRDefault="008E3302" w:rsidP="00143694">
            <w:pPr>
              <w:jc w:val="center"/>
              <w:rPr>
                <w:szCs w:val="17"/>
              </w:rPr>
            </w:pPr>
            <w:proofErr w:type="spellStart"/>
            <w:r w:rsidRPr="00586687">
              <w:t>Heinäluoma</w:t>
            </w:r>
            <w:proofErr w:type="spellEnd"/>
            <w:r w:rsidRPr="00586687">
              <w:t xml:space="preserve">, Tang, </w:t>
            </w:r>
            <w:proofErr w:type="spellStart"/>
            <w:r w:rsidRPr="00586687">
              <w:t>Lalucq</w:t>
            </w:r>
            <w:proofErr w:type="spellEnd"/>
          </w:p>
        </w:tc>
        <w:tc>
          <w:tcPr>
            <w:tcW w:w="2127" w:type="dxa"/>
            <w:shd w:val="clear" w:color="auto" w:fill="auto"/>
            <w:vAlign w:val="center"/>
          </w:tcPr>
          <w:p w14:paraId="0C6339EA" w14:textId="171EFE2F" w:rsidR="008E3302" w:rsidRPr="00586687" w:rsidRDefault="00B06153" w:rsidP="00143694">
            <w:pPr>
              <w:jc w:val="center"/>
              <w:rPr>
                <w:bCs/>
                <w:szCs w:val="17"/>
              </w:rPr>
            </w:pPr>
            <w:r w:rsidRPr="00586687">
              <w:rPr>
                <w:bCs/>
                <w:szCs w:val="17"/>
              </w:rPr>
              <w:t>Reporting/ Sustainability</w:t>
            </w:r>
          </w:p>
        </w:tc>
        <w:tc>
          <w:tcPr>
            <w:tcW w:w="1471" w:type="dxa"/>
            <w:shd w:val="clear" w:color="auto" w:fill="auto"/>
            <w:vAlign w:val="center"/>
          </w:tcPr>
          <w:p w14:paraId="55B175BC" w14:textId="3A1FA076" w:rsidR="008E3302" w:rsidRPr="00586687" w:rsidRDefault="008E3302" w:rsidP="00143694">
            <w:pPr>
              <w:jc w:val="center"/>
              <w:rPr>
                <w:b/>
                <w:color w:val="FF0000"/>
                <w:szCs w:val="17"/>
              </w:rPr>
            </w:pPr>
            <w:r w:rsidRPr="00586687">
              <w:rPr>
                <w:b/>
                <w:color w:val="FF0000"/>
                <w:szCs w:val="17"/>
              </w:rPr>
              <w:t>Negative</w:t>
            </w:r>
          </w:p>
        </w:tc>
      </w:tr>
      <w:tr w:rsidR="008E3302" w:rsidRPr="00586687" w14:paraId="2822FEDD" w14:textId="77777777" w:rsidTr="00A2044B">
        <w:trPr>
          <w:trHeight w:val="494"/>
        </w:trPr>
        <w:tc>
          <w:tcPr>
            <w:tcW w:w="696" w:type="dxa"/>
            <w:shd w:val="clear" w:color="auto" w:fill="auto"/>
            <w:vAlign w:val="center"/>
          </w:tcPr>
          <w:p w14:paraId="126C39B9" w14:textId="24E32C1A" w:rsidR="008E3302" w:rsidRPr="00586687" w:rsidRDefault="008E3302" w:rsidP="00143694">
            <w:pPr>
              <w:jc w:val="center"/>
              <w:rPr>
                <w:szCs w:val="17"/>
              </w:rPr>
            </w:pPr>
            <w:r w:rsidRPr="00586687">
              <w:rPr>
                <w:szCs w:val="17"/>
              </w:rPr>
              <w:t>537</w:t>
            </w:r>
          </w:p>
        </w:tc>
        <w:tc>
          <w:tcPr>
            <w:tcW w:w="1931" w:type="dxa"/>
            <w:shd w:val="clear" w:color="auto" w:fill="auto"/>
            <w:vAlign w:val="center"/>
          </w:tcPr>
          <w:p w14:paraId="5CEF2DD2" w14:textId="545F2386" w:rsidR="008E3302" w:rsidRPr="00412D45" w:rsidRDefault="008E3302" w:rsidP="00143694">
            <w:pPr>
              <w:jc w:val="center"/>
              <w:rPr>
                <w:bCs/>
                <w:szCs w:val="17"/>
                <w:lang w:val="fr-FR"/>
              </w:rPr>
            </w:pPr>
            <w:r w:rsidRPr="00412D45">
              <w:rPr>
                <w:lang w:val="fr-FR"/>
              </w:rPr>
              <w:t>Article 51 – paragraph 1b – point c a (new)</w:t>
            </w:r>
          </w:p>
        </w:tc>
        <w:tc>
          <w:tcPr>
            <w:tcW w:w="6588" w:type="dxa"/>
            <w:shd w:val="clear" w:color="auto" w:fill="auto"/>
          </w:tcPr>
          <w:p w14:paraId="5EBDB34B" w14:textId="508D03B4" w:rsidR="008E3302" w:rsidRPr="00586687" w:rsidRDefault="008E3302" w:rsidP="00143694">
            <w:pPr>
              <w:jc w:val="left"/>
              <w:rPr>
                <w:szCs w:val="17"/>
              </w:rPr>
            </w:pPr>
            <w:r w:rsidRPr="00586687">
              <w:rPr>
                <w:bCs/>
                <w:szCs w:val="17"/>
              </w:rPr>
              <w:t>Additional requirement to include in market section of the SFCR the results of a climate change scenario analysis as well as how the transition plan addresses the exposure to climate change.</w:t>
            </w:r>
          </w:p>
        </w:tc>
        <w:tc>
          <w:tcPr>
            <w:tcW w:w="1842" w:type="dxa"/>
            <w:shd w:val="clear" w:color="auto" w:fill="auto"/>
            <w:vAlign w:val="center"/>
          </w:tcPr>
          <w:p w14:paraId="2E943491" w14:textId="29CF8F92" w:rsidR="008E3302" w:rsidRPr="00586687" w:rsidRDefault="008E3302" w:rsidP="00143694">
            <w:pPr>
              <w:jc w:val="center"/>
              <w:rPr>
                <w:bCs/>
                <w:szCs w:val="17"/>
              </w:rPr>
            </w:pPr>
            <w:r w:rsidRPr="00586687">
              <w:t>MacManus</w:t>
            </w:r>
          </w:p>
        </w:tc>
        <w:tc>
          <w:tcPr>
            <w:tcW w:w="2127" w:type="dxa"/>
            <w:shd w:val="clear" w:color="auto" w:fill="auto"/>
            <w:vAlign w:val="center"/>
          </w:tcPr>
          <w:p w14:paraId="06B15CDF" w14:textId="5D214624" w:rsidR="008E3302" w:rsidRPr="00586687" w:rsidRDefault="008E3302" w:rsidP="00143694">
            <w:pPr>
              <w:jc w:val="center"/>
              <w:rPr>
                <w:bCs/>
                <w:szCs w:val="17"/>
              </w:rPr>
            </w:pPr>
            <w:r w:rsidRPr="00586687">
              <w:rPr>
                <w:bCs/>
                <w:szCs w:val="17"/>
              </w:rPr>
              <w:t>Reporting/Sustainable finance</w:t>
            </w:r>
          </w:p>
        </w:tc>
        <w:tc>
          <w:tcPr>
            <w:tcW w:w="1471" w:type="dxa"/>
            <w:shd w:val="clear" w:color="auto" w:fill="auto"/>
            <w:vAlign w:val="center"/>
          </w:tcPr>
          <w:p w14:paraId="5D448158" w14:textId="28692B03" w:rsidR="008E3302" w:rsidRPr="00586687" w:rsidRDefault="008E3302" w:rsidP="00143694">
            <w:pPr>
              <w:jc w:val="center"/>
              <w:rPr>
                <w:b/>
                <w:color w:val="FF0000"/>
                <w:szCs w:val="17"/>
              </w:rPr>
            </w:pPr>
            <w:r w:rsidRPr="00586687">
              <w:rPr>
                <w:b/>
                <w:color w:val="FF0000"/>
                <w:szCs w:val="17"/>
              </w:rPr>
              <w:t>Negative</w:t>
            </w:r>
          </w:p>
        </w:tc>
      </w:tr>
      <w:tr w:rsidR="008E3302" w:rsidRPr="00586687" w14:paraId="172ED1B5" w14:textId="77777777" w:rsidTr="00A2044B">
        <w:trPr>
          <w:trHeight w:val="494"/>
        </w:trPr>
        <w:tc>
          <w:tcPr>
            <w:tcW w:w="696" w:type="dxa"/>
            <w:shd w:val="clear" w:color="auto" w:fill="auto"/>
            <w:vAlign w:val="center"/>
          </w:tcPr>
          <w:p w14:paraId="61981B5B" w14:textId="43A58DA8" w:rsidR="008E3302" w:rsidRPr="00586687" w:rsidRDefault="008E3302" w:rsidP="00143694">
            <w:pPr>
              <w:jc w:val="center"/>
              <w:rPr>
                <w:szCs w:val="17"/>
              </w:rPr>
            </w:pPr>
            <w:r w:rsidRPr="00586687">
              <w:rPr>
                <w:szCs w:val="17"/>
              </w:rPr>
              <w:lastRenderedPageBreak/>
              <w:t>538</w:t>
            </w:r>
          </w:p>
        </w:tc>
        <w:tc>
          <w:tcPr>
            <w:tcW w:w="1931" w:type="dxa"/>
            <w:shd w:val="clear" w:color="auto" w:fill="auto"/>
            <w:vAlign w:val="center"/>
          </w:tcPr>
          <w:p w14:paraId="235E5F4E" w14:textId="1E0FC04C" w:rsidR="008E3302" w:rsidRPr="00412D45" w:rsidRDefault="008E3302" w:rsidP="00143694">
            <w:pPr>
              <w:jc w:val="center"/>
              <w:rPr>
                <w:bCs/>
                <w:szCs w:val="17"/>
                <w:lang w:val="fr-FR"/>
              </w:rPr>
            </w:pPr>
            <w:r w:rsidRPr="00412D45">
              <w:rPr>
                <w:lang w:val="fr-FR"/>
              </w:rPr>
              <w:t>Article 51 – paragraph 1b – point c a (new)</w:t>
            </w:r>
          </w:p>
        </w:tc>
        <w:tc>
          <w:tcPr>
            <w:tcW w:w="6588" w:type="dxa"/>
            <w:shd w:val="clear" w:color="auto" w:fill="auto"/>
          </w:tcPr>
          <w:p w14:paraId="767B06BA" w14:textId="722DEC46" w:rsidR="008E3302" w:rsidRPr="00586687" w:rsidRDefault="008E3302" w:rsidP="00143694">
            <w:pPr>
              <w:jc w:val="left"/>
              <w:rPr>
                <w:szCs w:val="17"/>
              </w:rPr>
            </w:pPr>
            <w:r w:rsidRPr="00586687">
              <w:rPr>
                <w:bCs/>
                <w:szCs w:val="17"/>
              </w:rPr>
              <w:t>Additional requirement to include in market section of the SFCR the result of the latest Union-wide assessment of the resilience of financial institutions.</w:t>
            </w:r>
          </w:p>
        </w:tc>
        <w:tc>
          <w:tcPr>
            <w:tcW w:w="1842" w:type="dxa"/>
            <w:shd w:val="clear" w:color="auto" w:fill="auto"/>
            <w:vAlign w:val="center"/>
          </w:tcPr>
          <w:p w14:paraId="68BE1424" w14:textId="3319A8EC" w:rsidR="008E3302" w:rsidRPr="00586687" w:rsidRDefault="008E3302" w:rsidP="00143694">
            <w:pPr>
              <w:jc w:val="center"/>
              <w:rPr>
                <w:szCs w:val="17"/>
              </w:rPr>
            </w:pPr>
            <w:r w:rsidRPr="00586687">
              <w:t xml:space="preserve">Hahn </w:t>
            </w:r>
          </w:p>
        </w:tc>
        <w:tc>
          <w:tcPr>
            <w:tcW w:w="2127" w:type="dxa"/>
            <w:shd w:val="clear" w:color="auto" w:fill="auto"/>
            <w:vAlign w:val="center"/>
          </w:tcPr>
          <w:p w14:paraId="5F178B9B" w14:textId="3010D189" w:rsidR="008E3302" w:rsidRPr="00586687" w:rsidRDefault="008E3302" w:rsidP="00143694">
            <w:pPr>
              <w:jc w:val="center"/>
              <w:rPr>
                <w:szCs w:val="17"/>
              </w:rPr>
            </w:pPr>
            <w:r w:rsidRPr="00586687">
              <w:rPr>
                <w:bCs/>
                <w:szCs w:val="17"/>
              </w:rPr>
              <w:t>Reporting</w:t>
            </w:r>
            <w:r w:rsidR="00A57AD0" w:rsidRPr="00586687">
              <w:rPr>
                <w:bCs/>
                <w:szCs w:val="17"/>
              </w:rPr>
              <w:t>/stress test</w:t>
            </w:r>
          </w:p>
        </w:tc>
        <w:tc>
          <w:tcPr>
            <w:tcW w:w="1471" w:type="dxa"/>
            <w:shd w:val="clear" w:color="auto" w:fill="auto"/>
            <w:vAlign w:val="center"/>
          </w:tcPr>
          <w:p w14:paraId="2553B40B" w14:textId="534B3AF8" w:rsidR="008E3302" w:rsidRPr="00586687" w:rsidRDefault="008E3302" w:rsidP="00143694">
            <w:pPr>
              <w:jc w:val="center"/>
              <w:rPr>
                <w:b/>
                <w:color w:val="FF0000"/>
                <w:szCs w:val="17"/>
              </w:rPr>
            </w:pPr>
            <w:r w:rsidRPr="00586687">
              <w:rPr>
                <w:b/>
                <w:color w:val="FF0000"/>
                <w:szCs w:val="17"/>
              </w:rPr>
              <w:t>Negative</w:t>
            </w:r>
          </w:p>
        </w:tc>
      </w:tr>
      <w:tr w:rsidR="008E3302" w:rsidRPr="00586687" w14:paraId="7BE747EF" w14:textId="77777777" w:rsidTr="00A2044B">
        <w:trPr>
          <w:trHeight w:val="494"/>
        </w:trPr>
        <w:tc>
          <w:tcPr>
            <w:tcW w:w="696" w:type="dxa"/>
            <w:shd w:val="clear" w:color="auto" w:fill="auto"/>
            <w:vAlign w:val="center"/>
          </w:tcPr>
          <w:p w14:paraId="7A2FB9B5" w14:textId="5158513F" w:rsidR="008E3302" w:rsidRPr="00586687" w:rsidRDefault="008E3302" w:rsidP="00143694">
            <w:pPr>
              <w:jc w:val="center"/>
              <w:rPr>
                <w:bCs/>
                <w:szCs w:val="17"/>
              </w:rPr>
            </w:pPr>
            <w:r w:rsidRPr="00586687">
              <w:rPr>
                <w:bCs/>
                <w:szCs w:val="17"/>
              </w:rPr>
              <w:t>539,543</w:t>
            </w:r>
          </w:p>
        </w:tc>
        <w:tc>
          <w:tcPr>
            <w:tcW w:w="1931" w:type="dxa"/>
            <w:shd w:val="clear" w:color="auto" w:fill="auto"/>
            <w:vAlign w:val="center"/>
          </w:tcPr>
          <w:p w14:paraId="13F4545C" w14:textId="54E17BA1" w:rsidR="008E3302" w:rsidRPr="00586687" w:rsidRDefault="008E3302" w:rsidP="00143694">
            <w:pPr>
              <w:jc w:val="center"/>
              <w:rPr>
                <w:bCs/>
                <w:szCs w:val="17"/>
              </w:rPr>
            </w:pPr>
            <w:r w:rsidRPr="00586687">
              <w:t>Article 51a – paragraph 1, paragraph 2</w:t>
            </w:r>
          </w:p>
        </w:tc>
        <w:tc>
          <w:tcPr>
            <w:tcW w:w="6588" w:type="dxa"/>
            <w:shd w:val="clear" w:color="auto" w:fill="auto"/>
          </w:tcPr>
          <w:p w14:paraId="1F550DCA" w14:textId="7002C476" w:rsidR="008E3302" w:rsidRPr="00586687" w:rsidRDefault="008E3302" w:rsidP="00143694">
            <w:pPr>
              <w:jc w:val="left"/>
              <w:rPr>
                <w:bCs/>
                <w:szCs w:val="17"/>
              </w:rPr>
            </w:pPr>
            <w:r w:rsidRPr="00586687">
              <w:rPr>
                <w:bCs/>
                <w:szCs w:val="17"/>
              </w:rPr>
              <w:t xml:space="preserve">Retains audit requirements on balance sheet SFCR </w:t>
            </w:r>
            <w:r w:rsidRPr="00586687">
              <w:rPr>
                <w:bCs/>
                <w:szCs w:val="17"/>
                <w:u w:val="single"/>
              </w:rPr>
              <w:t>for all</w:t>
            </w:r>
            <w:r w:rsidRPr="00586687">
              <w:rPr>
                <w:bCs/>
                <w:szCs w:val="17"/>
              </w:rPr>
              <w:t xml:space="preserve"> insurance undertakings (AM 539)-LRPU and captives are exempted, unless decided otherwise (AM 543)</w:t>
            </w:r>
          </w:p>
        </w:tc>
        <w:tc>
          <w:tcPr>
            <w:tcW w:w="1842" w:type="dxa"/>
            <w:shd w:val="clear" w:color="auto" w:fill="auto"/>
            <w:vAlign w:val="center"/>
          </w:tcPr>
          <w:p w14:paraId="1CFEB2FC" w14:textId="7A72389A" w:rsidR="008E3302" w:rsidRPr="00586687" w:rsidRDefault="008E3302" w:rsidP="00143694">
            <w:pPr>
              <w:jc w:val="center"/>
              <w:rPr>
                <w:bCs/>
                <w:szCs w:val="17"/>
              </w:rPr>
            </w:pPr>
            <w:r w:rsidRPr="00586687">
              <w:t xml:space="preserve">Hahn </w:t>
            </w:r>
          </w:p>
        </w:tc>
        <w:tc>
          <w:tcPr>
            <w:tcW w:w="2127" w:type="dxa"/>
            <w:shd w:val="clear" w:color="auto" w:fill="auto"/>
            <w:vAlign w:val="center"/>
          </w:tcPr>
          <w:p w14:paraId="722534A7" w14:textId="3279BBBD" w:rsidR="008E3302" w:rsidRPr="00586687" w:rsidRDefault="008E3302" w:rsidP="00143694">
            <w:pPr>
              <w:jc w:val="center"/>
              <w:rPr>
                <w:bCs/>
                <w:szCs w:val="17"/>
              </w:rPr>
            </w:pPr>
            <w:r w:rsidRPr="00586687">
              <w:rPr>
                <w:bCs/>
                <w:szCs w:val="17"/>
              </w:rPr>
              <w:t>Audit requirements/Proportionality</w:t>
            </w:r>
          </w:p>
        </w:tc>
        <w:tc>
          <w:tcPr>
            <w:tcW w:w="1471" w:type="dxa"/>
            <w:shd w:val="clear" w:color="auto" w:fill="auto"/>
            <w:vAlign w:val="center"/>
          </w:tcPr>
          <w:p w14:paraId="1861D2F9" w14:textId="1DDA0E03" w:rsidR="008E3302" w:rsidRPr="00586687" w:rsidRDefault="008E3302" w:rsidP="00143694">
            <w:pPr>
              <w:jc w:val="center"/>
              <w:rPr>
                <w:b/>
                <w:color w:val="FF0000"/>
                <w:szCs w:val="17"/>
              </w:rPr>
            </w:pPr>
            <w:r w:rsidRPr="00586687">
              <w:rPr>
                <w:b/>
                <w:color w:val="FF0000"/>
                <w:szCs w:val="17"/>
              </w:rPr>
              <w:t>Negative</w:t>
            </w:r>
          </w:p>
        </w:tc>
      </w:tr>
      <w:tr w:rsidR="008E3302" w:rsidRPr="00586687" w14:paraId="45FDA658" w14:textId="77777777" w:rsidTr="00A2044B">
        <w:trPr>
          <w:trHeight w:val="494"/>
        </w:trPr>
        <w:tc>
          <w:tcPr>
            <w:tcW w:w="696" w:type="dxa"/>
            <w:shd w:val="clear" w:color="auto" w:fill="auto"/>
            <w:vAlign w:val="center"/>
          </w:tcPr>
          <w:p w14:paraId="72BFA5D7" w14:textId="014A638F" w:rsidR="008E3302" w:rsidRPr="00586687" w:rsidRDefault="008E3302" w:rsidP="00143694">
            <w:pPr>
              <w:jc w:val="center"/>
              <w:rPr>
                <w:bCs/>
                <w:szCs w:val="17"/>
              </w:rPr>
            </w:pPr>
            <w:r w:rsidRPr="00586687">
              <w:rPr>
                <w:bCs/>
                <w:szCs w:val="17"/>
              </w:rPr>
              <w:t>540, 542</w:t>
            </w:r>
          </w:p>
        </w:tc>
        <w:tc>
          <w:tcPr>
            <w:tcW w:w="1931" w:type="dxa"/>
            <w:shd w:val="clear" w:color="auto" w:fill="auto"/>
            <w:vAlign w:val="center"/>
          </w:tcPr>
          <w:p w14:paraId="3D4A196C" w14:textId="7F82F7A3" w:rsidR="008E3302" w:rsidRPr="00586687" w:rsidRDefault="008E3302" w:rsidP="00143694">
            <w:pPr>
              <w:jc w:val="center"/>
              <w:rPr>
                <w:bCs/>
                <w:szCs w:val="17"/>
              </w:rPr>
            </w:pPr>
            <w:r w:rsidRPr="00586687">
              <w:t>Article 51a – paragraph 1, paragraph 2</w:t>
            </w:r>
          </w:p>
        </w:tc>
        <w:tc>
          <w:tcPr>
            <w:tcW w:w="6588" w:type="dxa"/>
            <w:shd w:val="clear" w:color="auto" w:fill="auto"/>
          </w:tcPr>
          <w:p w14:paraId="5EBE28DD" w14:textId="734EA8FF" w:rsidR="008E3302" w:rsidRPr="00586687" w:rsidRDefault="008E3302" w:rsidP="00143694">
            <w:pPr>
              <w:jc w:val="left"/>
              <w:rPr>
                <w:bCs/>
                <w:szCs w:val="17"/>
              </w:rPr>
            </w:pPr>
            <w:r w:rsidRPr="00586687">
              <w:rPr>
                <w:bCs/>
                <w:szCs w:val="17"/>
              </w:rPr>
              <w:t xml:space="preserve">Retains audit requirements on balance sheet SFCR </w:t>
            </w:r>
            <w:r w:rsidRPr="00586687">
              <w:rPr>
                <w:bCs/>
                <w:szCs w:val="17"/>
                <w:u w:val="single"/>
              </w:rPr>
              <w:t xml:space="preserve">for all </w:t>
            </w:r>
            <w:r w:rsidRPr="00586687">
              <w:rPr>
                <w:bCs/>
                <w:szCs w:val="17"/>
              </w:rPr>
              <w:t>insurance undertakings (AM 540). The audit requirement is also expanded to LRPU and captives which were excluded by the EC proposal (AM 542).</w:t>
            </w:r>
          </w:p>
        </w:tc>
        <w:tc>
          <w:tcPr>
            <w:tcW w:w="1842" w:type="dxa"/>
            <w:shd w:val="clear" w:color="auto" w:fill="auto"/>
            <w:vAlign w:val="center"/>
          </w:tcPr>
          <w:p w14:paraId="40327DF4" w14:textId="712D9724" w:rsidR="008E3302" w:rsidRPr="00586687" w:rsidRDefault="008E3302" w:rsidP="00143694">
            <w:pPr>
              <w:jc w:val="center"/>
              <w:rPr>
                <w:bCs/>
                <w:szCs w:val="17"/>
              </w:rPr>
            </w:pPr>
            <w:proofErr w:type="spellStart"/>
            <w:r w:rsidRPr="00586687">
              <w:t>Heinäluoma</w:t>
            </w:r>
            <w:proofErr w:type="spellEnd"/>
            <w:r w:rsidRPr="00586687">
              <w:t xml:space="preserve">, </w:t>
            </w:r>
            <w:proofErr w:type="spellStart"/>
            <w:r w:rsidRPr="00586687">
              <w:t>Lalucq</w:t>
            </w:r>
            <w:proofErr w:type="spellEnd"/>
          </w:p>
        </w:tc>
        <w:tc>
          <w:tcPr>
            <w:tcW w:w="2127" w:type="dxa"/>
            <w:shd w:val="clear" w:color="auto" w:fill="auto"/>
            <w:vAlign w:val="center"/>
          </w:tcPr>
          <w:p w14:paraId="6C16C10C" w14:textId="6CE707B5" w:rsidR="008E3302" w:rsidRPr="00586687" w:rsidRDefault="008E3302" w:rsidP="00143694">
            <w:pPr>
              <w:jc w:val="center"/>
              <w:rPr>
                <w:bCs/>
                <w:szCs w:val="17"/>
              </w:rPr>
            </w:pPr>
            <w:r w:rsidRPr="00586687">
              <w:rPr>
                <w:bCs/>
                <w:szCs w:val="17"/>
              </w:rPr>
              <w:t>Audit requirements/Proportionality</w:t>
            </w:r>
          </w:p>
        </w:tc>
        <w:tc>
          <w:tcPr>
            <w:tcW w:w="1471" w:type="dxa"/>
            <w:shd w:val="clear" w:color="auto" w:fill="auto"/>
            <w:vAlign w:val="center"/>
          </w:tcPr>
          <w:p w14:paraId="3FF8C72C" w14:textId="0D689C8C" w:rsidR="008E3302" w:rsidRPr="00586687" w:rsidRDefault="008E3302" w:rsidP="00143694">
            <w:pPr>
              <w:jc w:val="center"/>
              <w:rPr>
                <w:b/>
                <w:color w:val="FF0000"/>
                <w:szCs w:val="17"/>
              </w:rPr>
            </w:pPr>
            <w:r w:rsidRPr="00586687">
              <w:rPr>
                <w:b/>
                <w:color w:val="FF0000"/>
                <w:szCs w:val="17"/>
              </w:rPr>
              <w:t>Negative</w:t>
            </w:r>
          </w:p>
        </w:tc>
      </w:tr>
      <w:tr w:rsidR="008E3302" w:rsidRPr="00586687" w14:paraId="2C11DCAB" w14:textId="77777777" w:rsidTr="00A2044B">
        <w:trPr>
          <w:trHeight w:val="494"/>
        </w:trPr>
        <w:tc>
          <w:tcPr>
            <w:tcW w:w="696" w:type="dxa"/>
            <w:shd w:val="clear" w:color="auto" w:fill="auto"/>
            <w:vAlign w:val="center"/>
          </w:tcPr>
          <w:p w14:paraId="74AB6B4A" w14:textId="031D12D8" w:rsidR="008E3302" w:rsidRPr="00586687" w:rsidRDefault="008E3302" w:rsidP="00143694">
            <w:pPr>
              <w:jc w:val="center"/>
              <w:rPr>
                <w:bCs/>
                <w:szCs w:val="17"/>
              </w:rPr>
            </w:pPr>
            <w:r w:rsidRPr="00586687">
              <w:rPr>
                <w:bCs/>
                <w:szCs w:val="17"/>
              </w:rPr>
              <w:t>541</w:t>
            </w:r>
          </w:p>
        </w:tc>
        <w:tc>
          <w:tcPr>
            <w:tcW w:w="1931" w:type="dxa"/>
            <w:shd w:val="clear" w:color="auto" w:fill="auto"/>
            <w:vAlign w:val="center"/>
          </w:tcPr>
          <w:p w14:paraId="6F3FE1ED" w14:textId="590D2401" w:rsidR="008E3302" w:rsidRPr="00586687" w:rsidRDefault="008E3302" w:rsidP="00143694">
            <w:pPr>
              <w:jc w:val="center"/>
            </w:pPr>
            <w:r w:rsidRPr="00586687">
              <w:t>Article 51a – paragraph 1</w:t>
            </w:r>
          </w:p>
        </w:tc>
        <w:tc>
          <w:tcPr>
            <w:tcW w:w="6588" w:type="dxa"/>
            <w:shd w:val="clear" w:color="auto" w:fill="auto"/>
          </w:tcPr>
          <w:p w14:paraId="00CB3E9B" w14:textId="170646A3" w:rsidR="008E3302" w:rsidRPr="00586687" w:rsidRDefault="008E3302" w:rsidP="00143694">
            <w:pPr>
              <w:jc w:val="left"/>
              <w:rPr>
                <w:bCs/>
                <w:szCs w:val="17"/>
              </w:rPr>
            </w:pPr>
            <w:r w:rsidRPr="00586687">
              <w:rPr>
                <w:bCs/>
                <w:szCs w:val="17"/>
              </w:rPr>
              <w:t>Minor editorial amendment-the audit requirement on balance sheet SFCR for all insurance undertakings other than LRPU and captives is maintained.</w:t>
            </w:r>
          </w:p>
        </w:tc>
        <w:tc>
          <w:tcPr>
            <w:tcW w:w="1842" w:type="dxa"/>
            <w:shd w:val="clear" w:color="auto" w:fill="auto"/>
            <w:vAlign w:val="center"/>
          </w:tcPr>
          <w:p w14:paraId="102D7D61" w14:textId="254B9CCB" w:rsidR="008E3302" w:rsidRPr="00586687" w:rsidRDefault="008E3302" w:rsidP="00143694">
            <w:pPr>
              <w:jc w:val="center"/>
              <w:rPr>
                <w:b/>
                <w:bCs/>
              </w:rPr>
            </w:pPr>
            <w:r w:rsidRPr="00586687">
              <w:t>Yon-Courtin, Boyer, Durand</w:t>
            </w:r>
          </w:p>
        </w:tc>
        <w:tc>
          <w:tcPr>
            <w:tcW w:w="2127" w:type="dxa"/>
            <w:shd w:val="clear" w:color="auto" w:fill="auto"/>
            <w:vAlign w:val="center"/>
          </w:tcPr>
          <w:p w14:paraId="3C2FA724" w14:textId="1C2395FB" w:rsidR="008E3302" w:rsidRPr="00586687" w:rsidRDefault="006D6A26" w:rsidP="00143694">
            <w:pPr>
              <w:jc w:val="center"/>
              <w:rPr>
                <w:bCs/>
                <w:szCs w:val="17"/>
              </w:rPr>
            </w:pPr>
            <w:r w:rsidRPr="00586687">
              <w:rPr>
                <w:bCs/>
                <w:szCs w:val="17"/>
              </w:rPr>
              <w:t>Editorial</w:t>
            </w:r>
          </w:p>
        </w:tc>
        <w:tc>
          <w:tcPr>
            <w:tcW w:w="1471" w:type="dxa"/>
            <w:shd w:val="clear" w:color="auto" w:fill="auto"/>
            <w:vAlign w:val="center"/>
          </w:tcPr>
          <w:p w14:paraId="0B2BD833" w14:textId="1C3D77CE" w:rsidR="008E3302" w:rsidRPr="00586687" w:rsidRDefault="008E3302" w:rsidP="00143694">
            <w:pPr>
              <w:jc w:val="center"/>
              <w:rPr>
                <w:bCs/>
                <w:szCs w:val="17"/>
              </w:rPr>
            </w:pPr>
          </w:p>
        </w:tc>
      </w:tr>
      <w:tr w:rsidR="008E3302" w:rsidRPr="00586687" w14:paraId="6E032FC3" w14:textId="77777777" w:rsidTr="00A2044B">
        <w:trPr>
          <w:trHeight w:val="494"/>
        </w:trPr>
        <w:tc>
          <w:tcPr>
            <w:tcW w:w="696" w:type="dxa"/>
            <w:shd w:val="clear" w:color="auto" w:fill="auto"/>
            <w:vAlign w:val="center"/>
          </w:tcPr>
          <w:p w14:paraId="2E2FD6A2" w14:textId="66401807" w:rsidR="008E3302" w:rsidRPr="00586687" w:rsidRDefault="008E3302" w:rsidP="00143694">
            <w:pPr>
              <w:jc w:val="center"/>
              <w:rPr>
                <w:bCs/>
                <w:szCs w:val="17"/>
              </w:rPr>
            </w:pPr>
            <w:r w:rsidRPr="00586687">
              <w:rPr>
                <w:bCs/>
                <w:szCs w:val="17"/>
              </w:rPr>
              <w:t>542</w:t>
            </w:r>
          </w:p>
        </w:tc>
        <w:tc>
          <w:tcPr>
            <w:tcW w:w="1931" w:type="dxa"/>
            <w:shd w:val="clear" w:color="auto" w:fill="auto"/>
            <w:vAlign w:val="center"/>
          </w:tcPr>
          <w:p w14:paraId="7C49DB17" w14:textId="3DB1176E" w:rsidR="008E3302" w:rsidRPr="00586687" w:rsidRDefault="008E3302" w:rsidP="00143694">
            <w:pPr>
              <w:jc w:val="center"/>
            </w:pPr>
            <w:r w:rsidRPr="00586687">
              <w:t>Article 51a – paragraph 2</w:t>
            </w:r>
          </w:p>
        </w:tc>
        <w:tc>
          <w:tcPr>
            <w:tcW w:w="6588" w:type="dxa"/>
            <w:shd w:val="clear" w:color="auto" w:fill="auto"/>
          </w:tcPr>
          <w:p w14:paraId="3867042E" w14:textId="47EDFE89" w:rsidR="008E3302" w:rsidRPr="00586687" w:rsidRDefault="008E3302" w:rsidP="00143694">
            <w:pPr>
              <w:jc w:val="left"/>
              <w:rPr>
                <w:bCs/>
                <w:szCs w:val="17"/>
              </w:rPr>
            </w:pPr>
            <w:r w:rsidRPr="00586687">
              <w:rPr>
                <w:bCs/>
                <w:szCs w:val="17"/>
              </w:rPr>
              <w:t>Deletion to ensure consistency with the inclusion of captives in the audit requirement on their balance sheet SFCR-see AM 540.</w:t>
            </w:r>
          </w:p>
        </w:tc>
        <w:tc>
          <w:tcPr>
            <w:tcW w:w="1842" w:type="dxa"/>
            <w:shd w:val="clear" w:color="auto" w:fill="auto"/>
            <w:vAlign w:val="center"/>
          </w:tcPr>
          <w:p w14:paraId="6318383E" w14:textId="76FBCC73" w:rsidR="008E3302" w:rsidRPr="00586687" w:rsidRDefault="008E3302" w:rsidP="00143694">
            <w:pPr>
              <w:jc w:val="center"/>
            </w:pPr>
            <w:proofErr w:type="spellStart"/>
            <w:r w:rsidRPr="00586687">
              <w:t>Heinäluoma</w:t>
            </w:r>
            <w:proofErr w:type="spellEnd"/>
            <w:r w:rsidRPr="00586687">
              <w:t xml:space="preserve">, </w:t>
            </w:r>
            <w:proofErr w:type="spellStart"/>
            <w:r w:rsidRPr="00586687">
              <w:t>Lalucq</w:t>
            </w:r>
            <w:proofErr w:type="spellEnd"/>
          </w:p>
        </w:tc>
        <w:tc>
          <w:tcPr>
            <w:tcW w:w="2127" w:type="dxa"/>
            <w:shd w:val="clear" w:color="auto" w:fill="auto"/>
            <w:vAlign w:val="center"/>
          </w:tcPr>
          <w:p w14:paraId="33329311" w14:textId="4BBCBADC" w:rsidR="008E3302" w:rsidRPr="00586687" w:rsidRDefault="008E3302" w:rsidP="00143694">
            <w:pPr>
              <w:jc w:val="center"/>
              <w:rPr>
                <w:bCs/>
                <w:szCs w:val="17"/>
              </w:rPr>
            </w:pPr>
            <w:r w:rsidRPr="00586687">
              <w:rPr>
                <w:bCs/>
                <w:szCs w:val="17"/>
              </w:rPr>
              <w:t>Audit requirements/Proportionality</w:t>
            </w:r>
          </w:p>
        </w:tc>
        <w:tc>
          <w:tcPr>
            <w:tcW w:w="1471" w:type="dxa"/>
            <w:shd w:val="clear" w:color="auto" w:fill="auto"/>
            <w:vAlign w:val="center"/>
          </w:tcPr>
          <w:p w14:paraId="3640C646" w14:textId="767E4C40" w:rsidR="008E3302" w:rsidRPr="00586687" w:rsidRDefault="008E3302" w:rsidP="00143694">
            <w:pPr>
              <w:jc w:val="center"/>
              <w:rPr>
                <w:b/>
                <w:color w:val="FF0000"/>
                <w:szCs w:val="17"/>
              </w:rPr>
            </w:pPr>
            <w:r w:rsidRPr="00586687">
              <w:rPr>
                <w:b/>
                <w:color w:val="FF0000"/>
                <w:szCs w:val="17"/>
              </w:rPr>
              <w:t>Negative</w:t>
            </w:r>
          </w:p>
        </w:tc>
      </w:tr>
      <w:tr w:rsidR="008E3302" w:rsidRPr="00586687" w14:paraId="33E88D0B" w14:textId="77777777" w:rsidTr="00A2044B">
        <w:trPr>
          <w:trHeight w:val="494"/>
        </w:trPr>
        <w:tc>
          <w:tcPr>
            <w:tcW w:w="696" w:type="dxa"/>
            <w:shd w:val="clear" w:color="auto" w:fill="auto"/>
            <w:vAlign w:val="center"/>
          </w:tcPr>
          <w:p w14:paraId="0B4C3EDC" w14:textId="703D3099" w:rsidR="008E3302" w:rsidRPr="00586687" w:rsidRDefault="008E3302" w:rsidP="00143694">
            <w:pPr>
              <w:jc w:val="center"/>
              <w:rPr>
                <w:bCs/>
                <w:szCs w:val="17"/>
              </w:rPr>
            </w:pPr>
            <w:r w:rsidRPr="00586687">
              <w:rPr>
                <w:bCs/>
                <w:szCs w:val="17"/>
              </w:rPr>
              <w:t>543</w:t>
            </w:r>
          </w:p>
        </w:tc>
        <w:tc>
          <w:tcPr>
            <w:tcW w:w="1931" w:type="dxa"/>
            <w:shd w:val="clear" w:color="auto" w:fill="auto"/>
            <w:vAlign w:val="center"/>
          </w:tcPr>
          <w:p w14:paraId="07142A82" w14:textId="36345A1D" w:rsidR="008E3302" w:rsidRPr="00586687" w:rsidRDefault="008E3302" w:rsidP="00143694">
            <w:pPr>
              <w:jc w:val="center"/>
            </w:pPr>
            <w:r w:rsidRPr="00586687">
              <w:t>Article 51a – paragraph 2</w:t>
            </w:r>
          </w:p>
        </w:tc>
        <w:tc>
          <w:tcPr>
            <w:tcW w:w="6588" w:type="dxa"/>
            <w:shd w:val="clear" w:color="auto" w:fill="auto"/>
          </w:tcPr>
          <w:p w14:paraId="2BAF73A0" w14:textId="6C03D102" w:rsidR="008E3302" w:rsidRPr="00586687" w:rsidRDefault="008E3302" w:rsidP="00143694">
            <w:pPr>
              <w:jc w:val="left"/>
              <w:rPr>
                <w:bCs/>
                <w:szCs w:val="17"/>
              </w:rPr>
            </w:pPr>
            <w:r w:rsidRPr="00586687">
              <w:rPr>
                <w:bCs/>
                <w:szCs w:val="17"/>
              </w:rPr>
              <w:t>See 539.</w:t>
            </w:r>
          </w:p>
        </w:tc>
        <w:tc>
          <w:tcPr>
            <w:tcW w:w="1842" w:type="dxa"/>
            <w:shd w:val="clear" w:color="auto" w:fill="auto"/>
            <w:vAlign w:val="center"/>
          </w:tcPr>
          <w:p w14:paraId="04F39606" w14:textId="0AF2681B" w:rsidR="008E3302" w:rsidRPr="00586687" w:rsidRDefault="006A67BF" w:rsidP="00143694">
            <w:pPr>
              <w:jc w:val="center"/>
            </w:pPr>
            <w:r w:rsidRPr="00586687">
              <w:t>H</w:t>
            </w:r>
            <w:r w:rsidR="008E3302" w:rsidRPr="00586687">
              <w:t xml:space="preserve">ahn </w:t>
            </w:r>
          </w:p>
        </w:tc>
        <w:tc>
          <w:tcPr>
            <w:tcW w:w="2127" w:type="dxa"/>
            <w:shd w:val="clear" w:color="auto" w:fill="auto"/>
            <w:vAlign w:val="center"/>
          </w:tcPr>
          <w:p w14:paraId="0FCF0FF1" w14:textId="6EA880DC" w:rsidR="008E3302" w:rsidRPr="00586687" w:rsidRDefault="008E3302" w:rsidP="00143694">
            <w:pPr>
              <w:jc w:val="center"/>
              <w:rPr>
                <w:bCs/>
                <w:szCs w:val="17"/>
              </w:rPr>
            </w:pPr>
            <w:r w:rsidRPr="00586687">
              <w:rPr>
                <w:bCs/>
                <w:szCs w:val="17"/>
              </w:rPr>
              <w:t>Audit requirements/Proportionality</w:t>
            </w:r>
          </w:p>
        </w:tc>
        <w:tc>
          <w:tcPr>
            <w:tcW w:w="1471" w:type="dxa"/>
            <w:shd w:val="clear" w:color="auto" w:fill="auto"/>
            <w:vAlign w:val="center"/>
          </w:tcPr>
          <w:p w14:paraId="15A34707" w14:textId="6DE7C9FF" w:rsidR="008E3302" w:rsidRPr="00586687" w:rsidRDefault="008E3302" w:rsidP="00143694">
            <w:pPr>
              <w:jc w:val="center"/>
              <w:rPr>
                <w:b/>
                <w:color w:val="FF0000"/>
                <w:szCs w:val="17"/>
              </w:rPr>
            </w:pPr>
            <w:r w:rsidRPr="00586687">
              <w:rPr>
                <w:b/>
                <w:color w:val="FF0000"/>
                <w:szCs w:val="17"/>
              </w:rPr>
              <w:t>Negative</w:t>
            </w:r>
          </w:p>
        </w:tc>
      </w:tr>
      <w:tr w:rsidR="008E3302" w:rsidRPr="00586687" w14:paraId="19115CBE" w14:textId="77777777" w:rsidTr="00A2044B">
        <w:trPr>
          <w:trHeight w:val="494"/>
        </w:trPr>
        <w:tc>
          <w:tcPr>
            <w:tcW w:w="696" w:type="dxa"/>
            <w:shd w:val="clear" w:color="auto" w:fill="auto"/>
            <w:vAlign w:val="center"/>
          </w:tcPr>
          <w:p w14:paraId="7B77ACFE" w14:textId="0A2CA5F8" w:rsidR="008E3302" w:rsidRPr="00586687" w:rsidRDefault="008E3302" w:rsidP="00143694">
            <w:pPr>
              <w:jc w:val="center"/>
              <w:rPr>
                <w:bCs/>
                <w:szCs w:val="17"/>
              </w:rPr>
            </w:pPr>
            <w:r w:rsidRPr="00586687">
              <w:rPr>
                <w:bCs/>
                <w:szCs w:val="17"/>
              </w:rPr>
              <w:t>544</w:t>
            </w:r>
          </w:p>
        </w:tc>
        <w:tc>
          <w:tcPr>
            <w:tcW w:w="1931" w:type="dxa"/>
            <w:shd w:val="clear" w:color="auto" w:fill="auto"/>
            <w:vAlign w:val="center"/>
          </w:tcPr>
          <w:p w14:paraId="39348FD9" w14:textId="6D355FEC" w:rsidR="008E3302" w:rsidRPr="00586687" w:rsidRDefault="008E3302" w:rsidP="00143694">
            <w:pPr>
              <w:jc w:val="center"/>
            </w:pPr>
            <w:r w:rsidRPr="00586687">
              <w:t>Article 51a – paragraph 2</w:t>
            </w:r>
          </w:p>
        </w:tc>
        <w:tc>
          <w:tcPr>
            <w:tcW w:w="6588" w:type="dxa"/>
            <w:shd w:val="clear" w:color="auto" w:fill="auto"/>
          </w:tcPr>
          <w:p w14:paraId="6D7BEBB4" w14:textId="6BFAEFE6" w:rsidR="008E3302" w:rsidRPr="00586687" w:rsidRDefault="008E3302" w:rsidP="00143694">
            <w:pPr>
              <w:jc w:val="left"/>
              <w:rPr>
                <w:bCs/>
                <w:szCs w:val="17"/>
              </w:rPr>
            </w:pPr>
            <w:r w:rsidRPr="00586687">
              <w:rPr>
                <w:bCs/>
                <w:szCs w:val="17"/>
              </w:rPr>
              <w:t>Audit obligation of balance sheet SFCR can be extended to LRPU at the discretion of MS, similar to captives as proposed by EC.</w:t>
            </w:r>
          </w:p>
          <w:p w14:paraId="2FA30E61" w14:textId="77777777" w:rsidR="008E3302" w:rsidRPr="00586687" w:rsidRDefault="008E3302" w:rsidP="00143694">
            <w:pPr>
              <w:jc w:val="left"/>
              <w:rPr>
                <w:bCs/>
                <w:szCs w:val="17"/>
              </w:rPr>
            </w:pPr>
          </w:p>
          <w:p w14:paraId="307F502C" w14:textId="5A37E280" w:rsidR="008E3302" w:rsidRPr="00586687" w:rsidRDefault="008E3302" w:rsidP="00143694">
            <w:pPr>
              <w:jc w:val="left"/>
              <w:rPr>
                <w:bCs/>
                <w:i/>
                <w:iCs/>
                <w:szCs w:val="17"/>
              </w:rPr>
            </w:pPr>
            <w:r w:rsidRPr="00586687">
              <w:rPr>
                <w:i/>
                <w:iCs/>
              </w:rPr>
              <w:t>Justification: It is not justified to exempt low profile risk undertakings from audit requirements.</w:t>
            </w:r>
          </w:p>
        </w:tc>
        <w:tc>
          <w:tcPr>
            <w:tcW w:w="1842" w:type="dxa"/>
            <w:shd w:val="clear" w:color="auto" w:fill="auto"/>
            <w:vAlign w:val="center"/>
          </w:tcPr>
          <w:p w14:paraId="1F3387BF" w14:textId="1090868A" w:rsidR="008E3302" w:rsidRPr="00586687" w:rsidRDefault="008E3302" w:rsidP="00143694">
            <w:pPr>
              <w:jc w:val="center"/>
            </w:pPr>
            <w:r w:rsidRPr="00586687">
              <w:t xml:space="preserve">MacManus </w:t>
            </w:r>
          </w:p>
        </w:tc>
        <w:tc>
          <w:tcPr>
            <w:tcW w:w="2127" w:type="dxa"/>
            <w:shd w:val="clear" w:color="auto" w:fill="auto"/>
            <w:vAlign w:val="center"/>
          </w:tcPr>
          <w:p w14:paraId="16EB631C" w14:textId="4002C025" w:rsidR="008E3302" w:rsidRPr="00586687" w:rsidRDefault="008E3302" w:rsidP="00143694">
            <w:pPr>
              <w:jc w:val="center"/>
              <w:rPr>
                <w:bCs/>
                <w:szCs w:val="17"/>
              </w:rPr>
            </w:pPr>
            <w:r w:rsidRPr="00586687">
              <w:rPr>
                <w:bCs/>
                <w:szCs w:val="17"/>
              </w:rPr>
              <w:t>Audit requirements/Proportionality</w:t>
            </w:r>
          </w:p>
        </w:tc>
        <w:tc>
          <w:tcPr>
            <w:tcW w:w="1471" w:type="dxa"/>
            <w:shd w:val="clear" w:color="auto" w:fill="auto"/>
            <w:vAlign w:val="center"/>
          </w:tcPr>
          <w:p w14:paraId="5F45EFE7" w14:textId="2CA3276F" w:rsidR="008E3302" w:rsidRPr="00586687" w:rsidRDefault="008E3302" w:rsidP="00143694">
            <w:pPr>
              <w:jc w:val="center"/>
              <w:rPr>
                <w:b/>
                <w:color w:val="FF0000"/>
                <w:szCs w:val="17"/>
              </w:rPr>
            </w:pPr>
            <w:r w:rsidRPr="00586687">
              <w:rPr>
                <w:b/>
                <w:color w:val="FF0000"/>
                <w:szCs w:val="17"/>
              </w:rPr>
              <w:t>Negative</w:t>
            </w:r>
          </w:p>
        </w:tc>
      </w:tr>
      <w:tr w:rsidR="008E3302" w:rsidRPr="00586687" w14:paraId="101F4ADE" w14:textId="77777777" w:rsidTr="00A2044B">
        <w:trPr>
          <w:trHeight w:val="494"/>
        </w:trPr>
        <w:tc>
          <w:tcPr>
            <w:tcW w:w="696" w:type="dxa"/>
            <w:shd w:val="clear" w:color="auto" w:fill="auto"/>
            <w:vAlign w:val="center"/>
          </w:tcPr>
          <w:p w14:paraId="4A1FA71C" w14:textId="56A90149" w:rsidR="008E3302" w:rsidRPr="00586687" w:rsidRDefault="008E3302" w:rsidP="00143694">
            <w:pPr>
              <w:jc w:val="center"/>
              <w:rPr>
                <w:bCs/>
                <w:szCs w:val="17"/>
              </w:rPr>
            </w:pPr>
            <w:r w:rsidRPr="00586687">
              <w:rPr>
                <w:bCs/>
                <w:szCs w:val="17"/>
              </w:rPr>
              <w:t>545</w:t>
            </w:r>
          </w:p>
        </w:tc>
        <w:tc>
          <w:tcPr>
            <w:tcW w:w="1931" w:type="dxa"/>
            <w:shd w:val="clear" w:color="auto" w:fill="auto"/>
            <w:vAlign w:val="center"/>
          </w:tcPr>
          <w:p w14:paraId="3B5ABEF4" w14:textId="3E9BE41E" w:rsidR="008E3302" w:rsidRPr="00586687" w:rsidRDefault="008E3302" w:rsidP="00143694">
            <w:pPr>
              <w:jc w:val="center"/>
            </w:pPr>
            <w:r w:rsidRPr="00586687">
              <w:t>Article 51a – paragraph 3</w:t>
            </w:r>
          </w:p>
        </w:tc>
        <w:tc>
          <w:tcPr>
            <w:tcW w:w="6588" w:type="dxa"/>
            <w:shd w:val="clear" w:color="auto" w:fill="auto"/>
          </w:tcPr>
          <w:p w14:paraId="2DE61ABF" w14:textId="37DEC5ED" w:rsidR="008E3302" w:rsidRPr="00586687" w:rsidRDefault="008E3302" w:rsidP="00143694">
            <w:pPr>
              <w:jc w:val="left"/>
              <w:rPr>
                <w:bCs/>
                <w:i/>
                <w:iCs/>
                <w:szCs w:val="17"/>
              </w:rPr>
            </w:pPr>
            <w:r w:rsidRPr="00586687">
              <w:rPr>
                <w:bCs/>
                <w:szCs w:val="17"/>
              </w:rPr>
              <w:t xml:space="preserve">Requirement for statutory auditors and audit firms to </w:t>
            </w:r>
            <w:r w:rsidRPr="00586687">
              <w:rPr>
                <w:bCs/>
                <w:i/>
                <w:iCs/>
                <w:szCs w:val="17"/>
              </w:rPr>
              <w:t>not provide any service as foreseen under Article 5 of Regulation (EU) No 537/2014,</w:t>
            </w:r>
          </w:p>
          <w:p w14:paraId="235C720E" w14:textId="5069D4E2" w:rsidR="008E3302" w:rsidRPr="00586687" w:rsidRDefault="008E3302" w:rsidP="00143694">
            <w:pPr>
              <w:jc w:val="left"/>
              <w:rPr>
                <w:bCs/>
                <w:szCs w:val="17"/>
              </w:rPr>
            </w:pPr>
            <w:r w:rsidRPr="00586687">
              <w:rPr>
                <w:bCs/>
                <w:i/>
                <w:iCs/>
                <w:szCs w:val="17"/>
              </w:rPr>
              <w:t>during the period the audit services are provided.</w:t>
            </w:r>
          </w:p>
        </w:tc>
        <w:tc>
          <w:tcPr>
            <w:tcW w:w="1842" w:type="dxa"/>
            <w:shd w:val="clear" w:color="auto" w:fill="auto"/>
            <w:vAlign w:val="center"/>
          </w:tcPr>
          <w:p w14:paraId="2C904DA4" w14:textId="002A42BB" w:rsidR="008E3302" w:rsidRPr="00586687" w:rsidRDefault="008E3302" w:rsidP="00143694">
            <w:pPr>
              <w:jc w:val="center"/>
            </w:pPr>
            <w:proofErr w:type="spellStart"/>
            <w:r w:rsidRPr="00586687">
              <w:t>Heinäluoma</w:t>
            </w:r>
            <w:proofErr w:type="spellEnd"/>
            <w:r w:rsidRPr="00586687">
              <w:t xml:space="preserve">, </w:t>
            </w:r>
            <w:proofErr w:type="spellStart"/>
            <w:r w:rsidRPr="00586687">
              <w:t>Lalucq</w:t>
            </w:r>
            <w:proofErr w:type="spellEnd"/>
          </w:p>
        </w:tc>
        <w:tc>
          <w:tcPr>
            <w:tcW w:w="2127" w:type="dxa"/>
            <w:shd w:val="clear" w:color="auto" w:fill="auto"/>
            <w:vAlign w:val="center"/>
          </w:tcPr>
          <w:p w14:paraId="36FF5C27" w14:textId="36B8E12A" w:rsidR="008E3302" w:rsidRPr="00586687" w:rsidRDefault="008E3302" w:rsidP="00143694">
            <w:pPr>
              <w:jc w:val="center"/>
              <w:rPr>
                <w:bCs/>
                <w:szCs w:val="17"/>
              </w:rPr>
            </w:pPr>
            <w:r w:rsidRPr="00586687">
              <w:rPr>
                <w:bCs/>
                <w:szCs w:val="17"/>
              </w:rPr>
              <w:t>Audit requirements</w:t>
            </w:r>
          </w:p>
        </w:tc>
        <w:tc>
          <w:tcPr>
            <w:tcW w:w="1471" w:type="dxa"/>
            <w:shd w:val="clear" w:color="auto" w:fill="auto"/>
            <w:vAlign w:val="center"/>
          </w:tcPr>
          <w:p w14:paraId="7D7F1A42" w14:textId="6DAD5CF2" w:rsidR="008E3302" w:rsidRPr="00586687" w:rsidRDefault="00E73F96" w:rsidP="00143694">
            <w:pPr>
              <w:jc w:val="center"/>
              <w:rPr>
                <w:bCs/>
                <w:szCs w:val="17"/>
              </w:rPr>
            </w:pPr>
            <w:r w:rsidRPr="00586687">
              <w:rPr>
                <w:b/>
                <w:color w:val="808080" w:themeColor="background1" w:themeShade="80"/>
                <w:szCs w:val="17"/>
              </w:rPr>
              <w:t>Neutral</w:t>
            </w:r>
          </w:p>
        </w:tc>
      </w:tr>
      <w:tr w:rsidR="008E3302" w:rsidRPr="00586687" w14:paraId="06DB71CB" w14:textId="77777777" w:rsidTr="00A2044B">
        <w:trPr>
          <w:trHeight w:val="494"/>
        </w:trPr>
        <w:tc>
          <w:tcPr>
            <w:tcW w:w="696" w:type="dxa"/>
            <w:shd w:val="clear" w:color="auto" w:fill="auto"/>
            <w:vAlign w:val="center"/>
          </w:tcPr>
          <w:p w14:paraId="1B87E7EA" w14:textId="0E1005AF" w:rsidR="008E3302" w:rsidRPr="00586687" w:rsidRDefault="008E3302" w:rsidP="00143694">
            <w:pPr>
              <w:jc w:val="center"/>
              <w:rPr>
                <w:bCs/>
                <w:szCs w:val="17"/>
              </w:rPr>
            </w:pPr>
            <w:r w:rsidRPr="00586687">
              <w:rPr>
                <w:bCs/>
                <w:szCs w:val="17"/>
              </w:rPr>
              <w:t>546</w:t>
            </w:r>
          </w:p>
        </w:tc>
        <w:tc>
          <w:tcPr>
            <w:tcW w:w="1931" w:type="dxa"/>
            <w:shd w:val="clear" w:color="auto" w:fill="auto"/>
            <w:vAlign w:val="center"/>
          </w:tcPr>
          <w:p w14:paraId="47D8B780" w14:textId="06DC09BD" w:rsidR="008E3302" w:rsidRPr="00586687" w:rsidRDefault="008E3302" w:rsidP="00143694">
            <w:pPr>
              <w:jc w:val="center"/>
            </w:pPr>
            <w:r w:rsidRPr="00586687">
              <w:t>Article 51a – paragraph 3 a (new)</w:t>
            </w:r>
          </w:p>
        </w:tc>
        <w:tc>
          <w:tcPr>
            <w:tcW w:w="6588" w:type="dxa"/>
            <w:shd w:val="clear" w:color="auto" w:fill="auto"/>
          </w:tcPr>
          <w:p w14:paraId="7875CA59" w14:textId="77777777" w:rsidR="008E3302" w:rsidRPr="00586687" w:rsidRDefault="008E3302" w:rsidP="00143694">
            <w:pPr>
              <w:jc w:val="left"/>
              <w:rPr>
                <w:bCs/>
                <w:szCs w:val="17"/>
              </w:rPr>
            </w:pPr>
            <w:r w:rsidRPr="00586687">
              <w:rPr>
                <w:bCs/>
                <w:szCs w:val="17"/>
              </w:rPr>
              <w:t>New paragraph allowing MS to extend the scope of the audit requirement to other elements of the SFCR.</w:t>
            </w:r>
          </w:p>
          <w:p w14:paraId="1E75C1B0" w14:textId="77777777" w:rsidR="008E3302" w:rsidRPr="00586687" w:rsidRDefault="008E3302" w:rsidP="00143694">
            <w:pPr>
              <w:jc w:val="left"/>
              <w:rPr>
                <w:bCs/>
                <w:szCs w:val="17"/>
              </w:rPr>
            </w:pPr>
          </w:p>
          <w:p w14:paraId="60048BE1" w14:textId="4733DEF5" w:rsidR="008E3302" w:rsidRPr="00586687" w:rsidRDefault="008E3302" w:rsidP="00143694">
            <w:pPr>
              <w:jc w:val="left"/>
              <w:rPr>
                <w:bCs/>
                <w:i/>
                <w:iCs/>
                <w:szCs w:val="17"/>
              </w:rPr>
            </w:pPr>
            <w:r w:rsidRPr="00586687">
              <w:rPr>
                <w:bCs/>
                <w:i/>
                <w:iCs/>
                <w:szCs w:val="17"/>
              </w:rPr>
              <w:t xml:space="preserve">Justification: </w:t>
            </w:r>
            <w:r w:rsidRPr="00586687">
              <w:rPr>
                <w:i/>
                <w:iCs/>
              </w:rPr>
              <w:t>Member States may continue to implement existing audit requirements.</w:t>
            </w:r>
          </w:p>
        </w:tc>
        <w:tc>
          <w:tcPr>
            <w:tcW w:w="1842" w:type="dxa"/>
            <w:shd w:val="clear" w:color="auto" w:fill="auto"/>
            <w:vAlign w:val="center"/>
          </w:tcPr>
          <w:p w14:paraId="29772389" w14:textId="1E50C27B" w:rsidR="008E3302" w:rsidRPr="00586687" w:rsidRDefault="008E3302" w:rsidP="00143694">
            <w:pPr>
              <w:jc w:val="center"/>
            </w:pPr>
            <w:r w:rsidRPr="00586687">
              <w:t>MacManus on behalf of The Left Group</w:t>
            </w:r>
          </w:p>
        </w:tc>
        <w:tc>
          <w:tcPr>
            <w:tcW w:w="2127" w:type="dxa"/>
            <w:shd w:val="clear" w:color="auto" w:fill="auto"/>
            <w:vAlign w:val="center"/>
          </w:tcPr>
          <w:p w14:paraId="5A9B0EB7" w14:textId="780F0030" w:rsidR="008E3302" w:rsidRPr="00586687" w:rsidRDefault="008E3302" w:rsidP="00143694">
            <w:pPr>
              <w:jc w:val="center"/>
              <w:rPr>
                <w:bCs/>
                <w:szCs w:val="17"/>
              </w:rPr>
            </w:pPr>
            <w:r w:rsidRPr="00586687">
              <w:rPr>
                <w:bCs/>
                <w:szCs w:val="17"/>
              </w:rPr>
              <w:t>Audit requirements</w:t>
            </w:r>
          </w:p>
        </w:tc>
        <w:tc>
          <w:tcPr>
            <w:tcW w:w="1471" w:type="dxa"/>
            <w:shd w:val="clear" w:color="auto" w:fill="auto"/>
            <w:vAlign w:val="center"/>
          </w:tcPr>
          <w:p w14:paraId="09907B6B" w14:textId="34B49049" w:rsidR="008E3302" w:rsidRPr="00586687" w:rsidRDefault="008E3302" w:rsidP="00143694">
            <w:pPr>
              <w:jc w:val="center"/>
              <w:rPr>
                <w:bCs/>
                <w:szCs w:val="17"/>
              </w:rPr>
            </w:pPr>
            <w:r w:rsidRPr="00586687">
              <w:rPr>
                <w:b/>
                <w:color w:val="FF0000"/>
                <w:szCs w:val="17"/>
              </w:rPr>
              <w:t>Negative</w:t>
            </w:r>
          </w:p>
        </w:tc>
      </w:tr>
      <w:tr w:rsidR="008E3302" w:rsidRPr="00586687" w14:paraId="67F28EF4" w14:textId="77777777" w:rsidTr="00A2044B">
        <w:trPr>
          <w:trHeight w:val="494"/>
        </w:trPr>
        <w:tc>
          <w:tcPr>
            <w:tcW w:w="696" w:type="dxa"/>
            <w:shd w:val="clear" w:color="auto" w:fill="auto"/>
            <w:vAlign w:val="center"/>
          </w:tcPr>
          <w:p w14:paraId="1C31ED82" w14:textId="6F83F756" w:rsidR="008E3302" w:rsidRPr="00586687" w:rsidRDefault="008E3302" w:rsidP="00143694">
            <w:pPr>
              <w:jc w:val="center"/>
              <w:rPr>
                <w:bCs/>
                <w:szCs w:val="17"/>
              </w:rPr>
            </w:pPr>
            <w:r w:rsidRPr="00586687">
              <w:rPr>
                <w:bCs/>
                <w:szCs w:val="17"/>
              </w:rPr>
              <w:t>547</w:t>
            </w:r>
          </w:p>
        </w:tc>
        <w:tc>
          <w:tcPr>
            <w:tcW w:w="1931" w:type="dxa"/>
            <w:shd w:val="clear" w:color="auto" w:fill="auto"/>
            <w:vAlign w:val="center"/>
          </w:tcPr>
          <w:p w14:paraId="42715377" w14:textId="01E49185" w:rsidR="008E3302" w:rsidRPr="00586687" w:rsidRDefault="008E3302" w:rsidP="00143694">
            <w:pPr>
              <w:jc w:val="center"/>
            </w:pPr>
            <w:r w:rsidRPr="00586687">
              <w:t>Article 52 – paragraph 3 a (new)</w:t>
            </w:r>
          </w:p>
        </w:tc>
        <w:tc>
          <w:tcPr>
            <w:tcW w:w="6588" w:type="dxa"/>
            <w:shd w:val="clear" w:color="auto" w:fill="auto"/>
          </w:tcPr>
          <w:p w14:paraId="72C24378" w14:textId="77777777" w:rsidR="008E3302" w:rsidRPr="00586687" w:rsidRDefault="008E3302" w:rsidP="00143694">
            <w:pPr>
              <w:jc w:val="left"/>
              <w:rPr>
                <w:bCs/>
                <w:szCs w:val="17"/>
              </w:rPr>
            </w:pPr>
            <w:r w:rsidRPr="00586687">
              <w:rPr>
                <w:bCs/>
                <w:szCs w:val="17"/>
              </w:rPr>
              <w:t>New paragraph introducing power to EIOPA to monitor the appropriateness of the criteria for identifying LRPU and groups and produce a report with its findings.</w:t>
            </w:r>
          </w:p>
          <w:p w14:paraId="0EAF9043" w14:textId="77777777" w:rsidR="008E3302" w:rsidRPr="00586687" w:rsidRDefault="008E3302" w:rsidP="00143694">
            <w:pPr>
              <w:jc w:val="left"/>
              <w:rPr>
                <w:bCs/>
                <w:szCs w:val="17"/>
              </w:rPr>
            </w:pPr>
          </w:p>
          <w:p w14:paraId="109BE1C3" w14:textId="2F8D0C58" w:rsidR="008E3302" w:rsidRPr="00586687" w:rsidRDefault="008E3302" w:rsidP="00143694">
            <w:pPr>
              <w:jc w:val="left"/>
              <w:rPr>
                <w:bCs/>
                <w:i/>
                <w:iCs/>
                <w:szCs w:val="17"/>
              </w:rPr>
            </w:pPr>
            <w:r w:rsidRPr="00586687">
              <w:rPr>
                <w:i/>
                <w:iCs/>
              </w:rPr>
              <w:t>Justification: EIOPA should be empowered to monitor the effectiveness of the criteria for LRUs bearing in mind consumers and financial stability.</w:t>
            </w:r>
          </w:p>
        </w:tc>
        <w:tc>
          <w:tcPr>
            <w:tcW w:w="1842" w:type="dxa"/>
            <w:shd w:val="clear" w:color="auto" w:fill="auto"/>
            <w:vAlign w:val="center"/>
          </w:tcPr>
          <w:p w14:paraId="4730AE09" w14:textId="77D62632" w:rsidR="008E3302" w:rsidRPr="00586687" w:rsidRDefault="008E3302" w:rsidP="00143694">
            <w:pPr>
              <w:jc w:val="center"/>
            </w:pPr>
            <w:r w:rsidRPr="00586687">
              <w:lastRenderedPageBreak/>
              <w:t>MacManus on behalf of The Left Group</w:t>
            </w:r>
          </w:p>
        </w:tc>
        <w:tc>
          <w:tcPr>
            <w:tcW w:w="2127" w:type="dxa"/>
            <w:shd w:val="clear" w:color="auto" w:fill="auto"/>
            <w:vAlign w:val="center"/>
          </w:tcPr>
          <w:p w14:paraId="319171F4" w14:textId="3CC6D895" w:rsidR="008E3302" w:rsidRPr="00586687" w:rsidRDefault="008E3302" w:rsidP="00143694">
            <w:pPr>
              <w:jc w:val="center"/>
              <w:rPr>
                <w:bCs/>
                <w:szCs w:val="17"/>
              </w:rPr>
            </w:pPr>
            <w:r w:rsidRPr="00586687">
              <w:rPr>
                <w:bCs/>
                <w:szCs w:val="17"/>
              </w:rPr>
              <w:t>Proportionality/EIOPA powers</w:t>
            </w:r>
          </w:p>
        </w:tc>
        <w:tc>
          <w:tcPr>
            <w:tcW w:w="1471" w:type="dxa"/>
            <w:shd w:val="clear" w:color="auto" w:fill="auto"/>
            <w:vAlign w:val="center"/>
          </w:tcPr>
          <w:p w14:paraId="33CD5996" w14:textId="24F4C4B7" w:rsidR="008E3302" w:rsidRPr="00586687" w:rsidRDefault="00B55CE2" w:rsidP="00143694">
            <w:pPr>
              <w:jc w:val="center"/>
              <w:rPr>
                <w:bCs/>
                <w:szCs w:val="17"/>
              </w:rPr>
            </w:pPr>
            <w:r w:rsidRPr="00586687">
              <w:rPr>
                <w:b/>
                <w:color w:val="FF0000"/>
                <w:szCs w:val="17"/>
              </w:rPr>
              <w:t>Negative</w:t>
            </w:r>
          </w:p>
        </w:tc>
      </w:tr>
      <w:tr w:rsidR="008E3302" w:rsidRPr="00586687" w14:paraId="223C3677" w14:textId="77777777" w:rsidTr="00A2044B">
        <w:trPr>
          <w:trHeight w:val="494"/>
        </w:trPr>
        <w:tc>
          <w:tcPr>
            <w:tcW w:w="696" w:type="dxa"/>
            <w:shd w:val="clear" w:color="auto" w:fill="auto"/>
            <w:vAlign w:val="center"/>
          </w:tcPr>
          <w:p w14:paraId="4351F17D" w14:textId="6DEC3C8A" w:rsidR="008E3302" w:rsidRPr="00586687" w:rsidRDefault="008E3302" w:rsidP="00143694">
            <w:pPr>
              <w:jc w:val="center"/>
              <w:rPr>
                <w:bCs/>
                <w:szCs w:val="17"/>
              </w:rPr>
            </w:pPr>
            <w:r w:rsidRPr="00586687">
              <w:rPr>
                <w:szCs w:val="17"/>
              </w:rPr>
              <w:t>548</w:t>
            </w:r>
          </w:p>
        </w:tc>
        <w:tc>
          <w:tcPr>
            <w:tcW w:w="1931" w:type="dxa"/>
            <w:shd w:val="clear" w:color="auto" w:fill="auto"/>
            <w:vAlign w:val="center"/>
          </w:tcPr>
          <w:p w14:paraId="39AA1211" w14:textId="15E69586" w:rsidR="008E3302" w:rsidRPr="00586687" w:rsidRDefault="008E3302" w:rsidP="00143694">
            <w:pPr>
              <w:jc w:val="center"/>
            </w:pPr>
            <w:r w:rsidRPr="00586687">
              <w:t xml:space="preserve">Article 59 – paragraph 1 – subparagraph 1 a (new) and paragraph 2 – </w:t>
            </w:r>
            <w:proofErr w:type="spellStart"/>
            <w:r w:rsidRPr="00586687">
              <w:t>subparagraps</w:t>
            </w:r>
            <w:proofErr w:type="spellEnd"/>
            <w:r w:rsidRPr="00586687">
              <w:t xml:space="preserve"> 1 a (new) and 1 b (new)</w:t>
            </w:r>
          </w:p>
        </w:tc>
        <w:tc>
          <w:tcPr>
            <w:tcW w:w="6588" w:type="dxa"/>
            <w:shd w:val="clear" w:color="auto" w:fill="auto"/>
          </w:tcPr>
          <w:p w14:paraId="4C83DEDB" w14:textId="1A1D5598" w:rsidR="008E3302" w:rsidRPr="00586687" w:rsidRDefault="008E3302" w:rsidP="00143694">
            <w:pPr>
              <w:jc w:val="left"/>
              <w:rPr>
                <w:bCs/>
                <w:szCs w:val="17"/>
              </w:rPr>
            </w:pPr>
            <w:r w:rsidRPr="00586687">
              <w:rPr>
                <w:bCs/>
                <w:szCs w:val="17"/>
              </w:rPr>
              <w:t xml:space="preserve">In case of suspicions of money laundering or terrorist financing, it is added that </w:t>
            </w:r>
            <w:r w:rsidRPr="00586687">
              <w:rPr>
                <w:bCs/>
                <w:i/>
                <w:iCs/>
                <w:szCs w:val="17"/>
              </w:rPr>
              <w:t>“supervisory authorities shall consult the authorities competent for the supervision of the obliged entities in accordance with Directive (EU) 2015/849”</w:t>
            </w:r>
            <w:r w:rsidRPr="00586687">
              <w:rPr>
                <w:bCs/>
                <w:szCs w:val="17"/>
              </w:rPr>
              <w:t xml:space="preserve">. In case of an objection to the acquisition, this should be made in </w:t>
            </w:r>
            <w:r w:rsidRPr="00586687">
              <w:rPr>
                <w:bCs/>
                <w:i/>
                <w:iCs/>
                <w:szCs w:val="17"/>
              </w:rPr>
              <w:t>“writing by the authorities competent for the supervision of the obliged entities in accordance with Directive (EU) 2015/849”</w:t>
            </w:r>
            <w:r w:rsidRPr="00586687">
              <w:rPr>
                <w:bCs/>
                <w:szCs w:val="17"/>
              </w:rPr>
              <w:t xml:space="preserve">. Moreover, </w:t>
            </w:r>
            <w:r w:rsidRPr="00586687">
              <w:rPr>
                <w:bCs/>
                <w:i/>
                <w:iCs/>
                <w:szCs w:val="17"/>
              </w:rPr>
              <w:t>“</w:t>
            </w:r>
            <w:r w:rsidRPr="00586687">
              <w:rPr>
                <w:i/>
                <w:iCs/>
              </w:rPr>
              <w:t>competent authorities shall be able to object to the acquisition when the proposed acquirer is located in a country on the EU list of third-countries with strategic deficiencies or compliance weaknesses in their AML/CFT regime or in a country subject to EU restrictive measures”.</w:t>
            </w:r>
          </w:p>
        </w:tc>
        <w:tc>
          <w:tcPr>
            <w:tcW w:w="1842" w:type="dxa"/>
            <w:shd w:val="clear" w:color="auto" w:fill="auto"/>
            <w:vAlign w:val="center"/>
          </w:tcPr>
          <w:p w14:paraId="7A0958BD" w14:textId="003A6C9A" w:rsidR="008E3302" w:rsidRPr="00586687" w:rsidRDefault="008E3302" w:rsidP="00143694">
            <w:pPr>
              <w:jc w:val="center"/>
            </w:pPr>
            <w:r w:rsidRPr="00586687">
              <w:t>Hahn on behalf of the Verts/ALE Group</w:t>
            </w:r>
          </w:p>
        </w:tc>
        <w:tc>
          <w:tcPr>
            <w:tcW w:w="2127" w:type="dxa"/>
            <w:shd w:val="clear" w:color="auto" w:fill="auto"/>
            <w:vAlign w:val="center"/>
          </w:tcPr>
          <w:p w14:paraId="539E3B0D" w14:textId="542F802C" w:rsidR="008E3302" w:rsidRPr="00586687" w:rsidRDefault="008E3302" w:rsidP="00143694">
            <w:pPr>
              <w:jc w:val="center"/>
              <w:rPr>
                <w:bCs/>
                <w:szCs w:val="17"/>
              </w:rPr>
            </w:pPr>
            <w:r w:rsidRPr="00586687">
              <w:rPr>
                <w:bCs/>
                <w:szCs w:val="17"/>
              </w:rPr>
              <w:t>Qualifying holdings</w:t>
            </w:r>
          </w:p>
        </w:tc>
        <w:tc>
          <w:tcPr>
            <w:tcW w:w="1471" w:type="dxa"/>
            <w:shd w:val="clear" w:color="auto" w:fill="auto"/>
            <w:vAlign w:val="center"/>
          </w:tcPr>
          <w:p w14:paraId="784C4D3E" w14:textId="454C5637" w:rsidR="008E3302" w:rsidRPr="00586687" w:rsidRDefault="00E73F96" w:rsidP="00143694">
            <w:pPr>
              <w:jc w:val="center"/>
              <w:rPr>
                <w:bCs/>
                <w:szCs w:val="17"/>
              </w:rPr>
            </w:pPr>
            <w:r w:rsidRPr="00586687">
              <w:rPr>
                <w:b/>
                <w:color w:val="808080" w:themeColor="background1" w:themeShade="80"/>
                <w:szCs w:val="17"/>
              </w:rPr>
              <w:t>Neutral</w:t>
            </w:r>
          </w:p>
        </w:tc>
      </w:tr>
      <w:tr w:rsidR="008E3302" w:rsidRPr="00586687" w14:paraId="065CC153" w14:textId="77777777" w:rsidTr="00A2044B">
        <w:trPr>
          <w:trHeight w:val="494"/>
        </w:trPr>
        <w:tc>
          <w:tcPr>
            <w:tcW w:w="696" w:type="dxa"/>
            <w:shd w:val="clear" w:color="auto" w:fill="auto"/>
            <w:vAlign w:val="center"/>
          </w:tcPr>
          <w:p w14:paraId="7B023F48" w14:textId="286524C2" w:rsidR="008E3302" w:rsidRPr="00586687" w:rsidRDefault="008E3302" w:rsidP="00143694">
            <w:pPr>
              <w:jc w:val="center"/>
              <w:rPr>
                <w:bCs/>
                <w:szCs w:val="17"/>
              </w:rPr>
            </w:pPr>
            <w:r w:rsidRPr="00586687">
              <w:rPr>
                <w:bCs/>
                <w:szCs w:val="17"/>
              </w:rPr>
              <w:t>549-550</w:t>
            </w:r>
          </w:p>
        </w:tc>
        <w:tc>
          <w:tcPr>
            <w:tcW w:w="1931" w:type="dxa"/>
            <w:shd w:val="clear" w:color="auto" w:fill="auto"/>
            <w:vAlign w:val="center"/>
          </w:tcPr>
          <w:p w14:paraId="20429502" w14:textId="6F9F08AF" w:rsidR="008E3302" w:rsidRPr="00586687" w:rsidRDefault="008E3302" w:rsidP="00143694">
            <w:pPr>
              <w:jc w:val="center"/>
            </w:pPr>
            <w:r w:rsidRPr="00586687">
              <w:t>Article 64 – paragraph 3 a (new)</w:t>
            </w:r>
          </w:p>
        </w:tc>
        <w:tc>
          <w:tcPr>
            <w:tcW w:w="6588" w:type="dxa"/>
            <w:shd w:val="clear" w:color="auto" w:fill="auto"/>
          </w:tcPr>
          <w:p w14:paraId="355B3E47" w14:textId="1420FACE" w:rsidR="008E3302" w:rsidRPr="00586687" w:rsidRDefault="008E3302" w:rsidP="00143694">
            <w:pPr>
              <w:jc w:val="left"/>
              <w:rPr>
                <w:bCs/>
                <w:szCs w:val="17"/>
              </w:rPr>
            </w:pPr>
            <w:r w:rsidRPr="00586687">
              <w:rPr>
                <w:bCs/>
                <w:szCs w:val="17"/>
              </w:rPr>
              <w:t>New paragraph to allow authorities to publish the outcome of stress tests carried out as per Article 24(4) of the directive or Article 32 of Regulation No 1094/2010 or from transmitting the outcome of stress tests to EIOPA for the purpose of the publication by EIOPA of the results of Union-wide stress tests.</w:t>
            </w:r>
          </w:p>
        </w:tc>
        <w:tc>
          <w:tcPr>
            <w:tcW w:w="1842" w:type="dxa"/>
            <w:shd w:val="clear" w:color="auto" w:fill="auto"/>
            <w:vAlign w:val="center"/>
          </w:tcPr>
          <w:p w14:paraId="0870E763" w14:textId="6797A9EE" w:rsidR="008E3302" w:rsidRPr="00586687" w:rsidRDefault="008E3302" w:rsidP="00143694">
            <w:pPr>
              <w:jc w:val="center"/>
            </w:pPr>
            <w:r w:rsidRPr="00586687">
              <w:t xml:space="preserve">Hahn on behalf of the Verts/ALE Group (549) and </w:t>
            </w:r>
            <w:proofErr w:type="spellStart"/>
            <w:r w:rsidRPr="00586687">
              <w:t>Heinäluoma</w:t>
            </w:r>
            <w:proofErr w:type="spellEnd"/>
            <w:r w:rsidRPr="00586687">
              <w:t xml:space="preserve">, Tang, Fernández, </w:t>
            </w:r>
            <w:proofErr w:type="spellStart"/>
            <w:r w:rsidRPr="00586687">
              <w:t>Lalucq</w:t>
            </w:r>
            <w:proofErr w:type="spellEnd"/>
            <w:r w:rsidRPr="00586687">
              <w:t xml:space="preserve"> (550)</w:t>
            </w:r>
          </w:p>
        </w:tc>
        <w:tc>
          <w:tcPr>
            <w:tcW w:w="2127" w:type="dxa"/>
            <w:shd w:val="clear" w:color="auto" w:fill="auto"/>
            <w:vAlign w:val="center"/>
          </w:tcPr>
          <w:p w14:paraId="6E698047" w14:textId="21C977CD" w:rsidR="008E3302" w:rsidRPr="00586687" w:rsidRDefault="008E3302" w:rsidP="00143694">
            <w:pPr>
              <w:jc w:val="center"/>
              <w:rPr>
                <w:bCs/>
                <w:szCs w:val="17"/>
              </w:rPr>
            </w:pPr>
            <w:r w:rsidRPr="00586687">
              <w:rPr>
                <w:bCs/>
                <w:szCs w:val="17"/>
              </w:rPr>
              <w:t>Reporting/Stress tests/EIOPA powers</w:t>
            </w:r>
          </w:p>
        </w:tc>
        <w:tc>
          <w:tcPr>
            <w:tcW w:w="1471" w:type="dxa"/>
            <w:shd w:val="clear" w:color="auto" w:fill="auto"/>
            <w:vAlign w:val="center"/>
          </w:tcPr>
          <w:p w14:paraId="606B104A" w14:textId="293B753C" w:rsidR="008E3302" w:rsidRPr="00586687" w:rsidRDefault="00B55CE2" w:rsidP="00143694">
            <w:pPr>
              <w:jc w:val="center"/>
              <w:rPr>
                <w:bCs/>
                <w:szCs w:val="17"/>
              </w:rPr>
            </w:pPr>
            <w:r w:rsidRPr="00586687">
              <w:rPr>
                <w:b/>
                <w:color w:val="FF0000"/>
                <w:szCs w:val="17"/>
              </w:rPr>
              <w:t>Negative</w:t>
            </w:r>
          </w:p>
        </w:tc>
      </w:tr>
      <w:tr w:rsidR="008E3302" w:rsidRPr="00586687" w14:paraId="55027AF7" w14:textId="77777777" w:rsidTr="00A2044B">
        <w:trPr>
          <w:trHeight w:val="494"/>
        </w:trPr>
        <w:tc>
          <w:tcPr>
            <w:tcW w:w="696" w:type="dxa"/>
            <w:shd w:val="clear" w:color="auto" w:fill="auto"/>
            <w:vAlign w:val="center"/>
          </w:tcPr>
          <w:p w14:paraId="2F7149D8" w14:textId="22FB3E8B" w:rsidR="008E3302" w:rsidRPr="00586687" w:rsidRDefault="008E3302" w:rsidP="00143694">
            <w:pPr>
              <w:jc w:val="center"/>
              <w:rPr>
                <w:bCs/>
                <w:szCs w:val="17"/>
              </w:rPr>
            </w:pPr>
            <w:r w:rsidRPr="00586687">
              <w:rPr>
                <w:bCs/>
                <w:szCs w:val="17"/>
              </w:rPr>
              <w:t>551</w:t>
            </w:r>
          </w:p>
        </w:tc>
        <w:tc>
          <w:tcPr>
            <w:tcW w:w="1931" w:type="dxa"/>
            <w:shd w:val="clear" w:color="auto" w:fill="auto"/>
            <w:vAlign w:val="center"/>
          </w:tcPr>
          <w:p w14:paraId="282AC241" w14:textId="2DA158E8" w:rsidR="008E3302" w:rsidRPr="00586687" w:rsidRDefault="008E3302" w:rsidP="00143694">
            <w:pPr>
              <w:jc w:val="center"/>
            </w:pPr>
            <w:r w:rsidRPr="00586687">
              <w:t>Article 77 – paragraph 3 a (new)</w:t>
            </w:r>
          </w:p>
        </w:tc>
        <w:tc>
          <w:tcPr>
            <w:tcW w:w="6588" w:type="dxa"/>
            <w:shd w:val="clear" w:color="auto" w:fill="auto"/>
          </w:tcPr>
          <w:p w14:paraId="0A926547" w14:textId="77777777" w:rsidR="008E3302" w:rsidRPr="00586687" w:rsidRDefault="008E3302" w:rsidP="00143694">
            <w:pPr>
              <w:jc w:val="left"/>
              <w:rPr>
                <w:szCs w:val="17"/>
              </w:rPr>
            </w:pPr>
            <w:r w:rsidRPr="00586687">
              <w:rPr>
                <w:szCs w:val="17"/>
              </w:rPr>
              <w:t>Key aspects of risk margin provisions proposed to be included in Level 1 and proposal for a lambda of 0.9:</w:t>
            </w:r>
          </w:p>
          <w:p w14:paraId="0B6B08D7" w14:textId="0EE93C2E" w:rsidR="008E3302" w:rsidRPr="00586687" w:rsidRDefault="008E3302" w:rsidP="00143694">
            <w:pPr>
              <w:jc w:val="left"/>
              <w:rPr>
                <w:bCs/>
                <w:szCs w:val="17"/>
              </w:rPr>
            </w:pPr>
          </w:p>
        </w:tc>
        <w:tc>
          <w:tcPr>
            <w:tcW w:w="1842" w:type="dxa"/>
            <w:shd w:val="clear" w:color="auto" w:fill="auto"/>
            <w:vAlign w:val="center"/>
          </w:tcPr>
          <w:p w14:paraId="243ECFB0" w14:textId="2F5375AC" w:rsidR="008E3302" w:rsidRPr="00586687" w:rsidRDefault="003910DC" w:rsidP="00143694">
            <w:pPr>
              <w:jc w:val="center"/>
            </w:pPr>
            <w:proofErr w:type="spellStart"/>
            <w:r w:rsidRPr="00586687">
              <w:t>Z</w:t>
            </w:r>
            <w:r w:rsidR="008E3302" w:rsidRPr="00586687">
              <w:t>anni</w:t>
            </w:r>
            <w:proofErr w:type="spellEnd"/>
            <w:r w:rsidR="008E3302" w:rsidRPr="00586687">
              <w:t>, Grant, Rinaldi</w:t>
            </w:r>
          </w:p>
        </w:tc>
        <w:tc>
          <w:tcPr>
            <w:tcW w:w="2127" w:type="dxa"/>
            <w:shd w:val="clear" w:color="auto" w:fill="auto"/>
            <w:vAlign w:val="center"/>
          </w:tcPr>
          <w:p w14:paraId="18B25387" w14:textId="1299CABB" w:rsidR="008E3302" w:rsidRPr="00586687" w:rsidRDefault="008E3302" w:rsidP="00143694">
            <w:pPr>
              <w:jc w:val="center"/>
              <w:rPr>
                <w:bCs/>
                <w:szCs w:val="17"/>
              </w:rPr>
            </w:pPr>
            <w:r w:rsidRPr="00586687">
              <w:rPr>
                <w:bCs/>
                <w:szCs w:val="17"/>
              </w:rPr>
              <w:t>Risk Margin</w:t>
            </w:r>
          </w:p>
        </w:tc>
        <w:tc>
          <w:tcPr>
            <w:tcW w:w="1471" w:type="dxa"/>
            <w:shd w:val="clear" w:color="auto" w:fill="auto"/>
            <w:vAlign w:val="center"/>
          </w:tcPr>
          <w:p w14:paraId="0C3B2B8D" w14:textId="061FBC08" w:rsidR="008E3302" w:rsidRPr="00586687" w:rsidRDefault="001F6A2A" w:rsidP="00143694">
            <w:pPr>
              <w:jc w:val="center"/>
              <w:rPr>
                <w:bCs/>
                <w:szCs w:val="17"/>
              </w:rPr>
            </w:pPr>
            <w:r w:rsidRPr="00586687">
              <w:rPr>
                <w:b/>
                <w:color w:val="00B050"/>
                <w:szCs w:val="17"/>
              </w:rPr>
              <w:t>Positive</w:t>
            </w:r>
          </w:p>
        </w:tc>
      </w:tr>
      <w:tr w:rsidR="008E3302" w:rsidRPr="00586687" w14:paraId="0D94BDD6" w14:textId="77777777" w:rsidTr="00A2044B">
        <w:trPr>
          <w:trHeight w:val="494"/>
        </w:trPr>
        <w:tc>
          <w:tcPr>
            <w:tcW w:w="696" w:type="dxa"/>
            <w:shd w:val="clear" w:color="auto" w:fill="auto"/>
            <w:vAlign w:val="center"/>
          </w:tcPr>
          <w:p w14:paraId="5B343F27" w14:textId="70B9FFE8" w:rsidR="008E3302" w:rsidRPr="00586687" w:rsidRDefault="008E3302" w:rsidP="00143694">
            <w:pPr>
              <w:jc w:val="center"/>
              <w:rPr>
                <w:bCs/>
                <w:szCs w:val="17"/>
              </w:rPr>
            </w:pPr>
            <w:r w:rsidRPr="00586687">
              <w:rPr>
                <w:bCs/>
                <w:szCs w:val="17"/>
              </w:rPr>
              <w:t>552</w:t>
            </w:r>
          </w:p>
        </w:tc>
        <w:tc>
          <w:tcPr>
            <w:tcW w:w="1931" w:type="dxa"/>
            <w:shd w:val="clear" w:color="auto" w:fill="auto"/>
            <w:vAlign w:val="center"/>
          </w:tcPr>
          <w:p w14:paraId="7E67AACF" w14:textId="7B2A7451" w:rsidR="008E3302" w:rsidRPr="00586687" w:rsidRDefault="008E3302" w:rsidP="00143694">
            <w:pPr>
              <w:jc w:val="center"/>
            </w:pPr>
            <w:r w:rsidRPr="00586687">
              <w:t>Article 77 – paragraph 3 a (new)</w:t>
            </w:r>
          </w:p>
        </w:tc>
        <w:tc>
          <w:tcPr>
            <w:tcW w:w="6588" w:type="dxa"/>
            <w:shd w:val="clear" w:color="auto" w:fill="auto"/>
          </w:tcPr>
          <w:p w14:paraId="6A10B9C3" w14:textId="785BE7D1" w:rsidR="008E3302" w:rsidRPr="00586687" w:rsidRDefault="008E3302" w:rsidP="00143694">
            <w:pPr>
              <w:jc w:val="left"/>
              <w:rPr>
                <w:bCs/>
                <w:szCs w:val="17"/>
              </w:rPr>
            </w:pPr>
            <w:r w:rsidRPr="00586687">
              <w:rPr>
                <w:bCs/>
                <w:szCs w:val="17"/>
              </w:rPr>
              <w:t xml:space="preserve">Amended calculation of Risk Margin to be included in Level 1, </w:t>
            </w:r>
            <w:r w:rsidR="004C69A2" w:rsidRPr="00586687">
              <w:rPr>
                <w:bCs/>
                <w:szCs w:val="17"/>
              </w:rPr>
              <w:t xml:space="preserve">with </w:t>
            </w:r>
            <w:r w:rsidR="00A05697" w:rsidRPr="00586687">
              <w:rPr>
                <w:bCs/>
                <w:szCs w:val="17"/>
              </w:rPr>
              <w:t>lambda of 0.975 and floor of 50%</w:t>
            </w:r>
          </w:p>
        </w:tc>
        <w:tc>
          <w:tcPr>
            <w:tcW w:w="1842" w:type="dxa"/>
            <w:shd w:val="clear" w:color="auto" w:fill="auto"/>
            <w:vAlign w:val="center"/>
          </w:tcPr>
          <w:p w14:paraId="1EB363B4" w14:textId="2DD9B5CC" w:rsidR="008E3302" w:rsidRPr="00586687" w:rsidRDefault="008E3302" w:rsidP="00143694">
            <w:pPr>
              <w:jc w:val="center"/>
            </w:pPr>
            <w:r w:rsidRPr="00586687">
              <w:t>MacManus</w:t>
            </w:r>
          </w:p>
        </w:tc>
        <w:tc>
          <w:tcPr>
            <w:tcW w:w="2127" w:type="dxa"/>
            <w:shd w:val="clear" w:color="auto" w:fill="auto"/>
            <w:vAlign w:val="center"/>
          </w:tcPr>
          <w:p w14:paraId="6304BF83" w14:textId="761A1735" w:rsidR="008E3302" w:rsidRPr="00586687" w:rsidRDefault="008E3302" w:rsidP="00143694">
            <w:pPr>
              <w:jc w:val="center"/>
              <w:rPr>
                <w:bCs/>
                <w:szCs w:val="17"/>
              </w:rPr>
            </w:pPr>
            <w:r w:rsidRPr="00586687">
              <w:rPr>
                <w:bCs/>
                <w:szCs w:val="17"/>
              </w:rPr>
              <w:t>Risk Margin</w:t>
            </w:r>
          </w:p>
        </w:tc>
        <w:tc>
          <w:tcPr>
            <w:tcW w:w="1471" w:type="dxa"/>
            <w:shd w:val="clear" w:color="auto" w:fill="auto"/>
            <w:vAlign w:val="center"/>
          </w:tcPr>
          <w:p w14:paraId="4833FD99" w14:textId="3690EBFC" w:rsidR="008E3302" w:rsidRPr="00586687" w:rsidRDefault="008E3302" w:rsidP="00143694">
            <w:pPr>
              <w:jc w:val="center"/>
              <w:rPr>
                <w:b/>
                <w:color w:val="FF0000"/>
                <w:szCs w:val="17"/>
              </w:rPr>
            </w:pPr>
            <w:r w:rsidRPr="00586687">
              <w:rPr>
                <w:b/>
                <w:color w:val="FF0000"/>
                <w:szCs w:val="17"/>
              </w:rPr>
              <w:t>Negative</w:t>
            </w:r>
          </w:p>
        </w:tc>
      </w:tr>
      <w:tr w:rsidR="008E3302" w:rsidRPr="00586687" w14:paraId="5789E380" w14:textId="77777777" w:rsidTr="00A2044B">
        <w:trPr>
          <w:trHeight w:val="494"/>
        </w:trPr>
        <w:tc>
          <w:tcPr>
            <w:tcW w:w="696" w:type="dxa"/>
            <w:shd w:val="clear" w:color="auto" w:fill="auto"/>
            <w:vAlign w:val="center"/>
          </w:tcPr>
          <w:p w14:paraId="1E4379C2" w14:textId="3823200A" w:rsidR="008E3302" w:rsidRPr="00586687" w:rsidRDefault="008E3302" w:rsidP="00143694">
            <w:pPr>
              <w:jc w:val="center"/>
              <w:rPr>
                <w:bCs/>
                <w:szCs w:val="17"/>
              </w:rPr>
            </w:pPr>
            <w:r w:rsidRPr="00586687">
              <w:rPr>
                <w:bCs/>
                <w:szCs w:val="17"/>
              </w:rPr>
              <w:t>553</w:t>
            </w:r>
          </w:p>
        </w:tc>
        <w:tc>
          <w:tcPr>
            <w:tcW w:w="1931" w:type="dxa"/>
            <w:shd w:val="clear" w:color="auto" w:fill="auto"/>
            <w:vAlign w:val="center"/>
          </w:tcPr>
          <w:p w14:paraId="1DA2D81A" w14:textId="5AB41F88" w:rsidR="008E3302" w:rsidRPr="00586687" w:rsidRDefault="008E3302" w:rsidP="00143694">
            <w:pPr>
              <w:jc w:val="center"/>
            </w:pPr>
            <w:r w:rsidRPr="00586687">
              <w:t>Article 77 – paragraph 3 a (new)</w:t>
            </w:r>
          </w:p>
        </w:tc>
        <w:tc>
          <w:tcPr>
            <w:tcW w:w="6588" w:type="dxa"/>
            <w:shd w:val="clear" w:color="auto" w:fill="auto"/>
          </w:tcPr>
          <w:p w14:paraId="016F0C09" w14:textId="18E68749" w:rsidR="008E3302" w:rsidRDefault="008E3302" w:rsidP="00143694">
            <w:pPr>
              <w:jc w:val="left"/>
              <w:rPr>
                <w:bCs/>
                <w:szCs w:val="17"/>
              </w:rPr>
            </w:pPr>
            <w:r w:rsidRPr="00586687">
              <w:rPr>
                <w:bCs/>
                <w:szCs w:val="17"/>
              </w:rPr>
              <w:t xml:space="preserve">Key aspects of risk margin provisions proposed to be included in Level </w:t>
            </w:r>
            <w:r w:rsidR="004E22A7" w:rsidRPr="00586687">
              <w:rPr>
                <w:bCs/>
                <w:szCs w:val="17"/>
              </w:rPr>
              <w:t xml:space="preserve">1, </w:t>
            </w:r>
            <w:r w:rsidRPr="00586687">
              <w:rPr>
                <w:bCs/>
                <w:szCs w:val="17"/>
              </w:rPr>
              <w:t xml:space="preserve">lambda of 0.995 </w:t>
            </w:r>
            <w:r w:rsidR="004E22A7" w:rsidRPr="00586687">
              <w:rPr>
                <w:bCs/>
                <w:szCs w:val="17"/>
              </w:rPr>
              <w:t xml:space="preserve">and CoC of </w:t>
            </w:r>
            <w:r w:rsidRPr="00586687">
              <w:rPr>
                <w:bCs/>
                <w:szCs w:val="17"/>
              </w:rPr>
              <w:t>6%:</w:t>
            </w:r>
          </w:p>
          <w:p w14:paraId="1F367FC5" w14:textId="77777777" w:rsidR="00140E41" w:rsidRPr="00586687" w:rsidRDefault="00140E41" w:rsidP="00143694">
            <w:pPr>
              <w:jc w:val="left"/>
              <w:rPr>
                <w:bCs/>
                <w:szCs w:val="17"/>
              </w:rPr>
            </w:pPr>
          </w:p>
          <w:p w14:paraId="0B492202" w14:textId="719E1CF5" w:rsidR="008E3302" w:rsidRPr="00586687" w:rsidRDefault="008E3302" w:rsidP="00143694">
            <w:pPr>
              <w:jc w:val="left"/>
              <w:rPr>
                <w:bCs/>
                <w:i/>
                <w:iCs/>
                <w:szCs w:val="17"/>
              </w:rPr>
            </w:pPr>
            <w:r w:rsidRPr="00586687">
              <w:rPr>
                <w:bCs/>
                <w:i/>
                <w:iCs/>
                <w:szCs w:val="17"/>
              </w:rPr>
              <w:t xml:space="preserve">Justification: </w:t>
            </w:r>
            <w:r w:rsidR="00437168" w:rsidRPr="00586687">
              <w:rPr>
                <w:i/>
                <w:iCs/>
              </w:rPr>
              <w:t>COC</w:t>
            </w:r>
            <w:r w:rsidRPr="00586687">
              <w:rPr>
                <w:i/>
                <w:iCs/>
              </w:rPr>
              <w:t xml:space="preserve"> should be based on sound empirical evidence and be calibrated based on data of sufficient quality, in particular in terms of completeness of the data. In line with the empirical evidence provided by EIOPA, the Cost-of-Capital rate should thus remain at 6%. Corrections to the risk margin for the time-dependence of the SCR should take the </w:t>
            </w:r>
            <w:r w:rsidRPr="00586687">
              <w:rPr>
                <w:i/>
                <w:iCs/>
              </w:rPr>
              <w:lastRenderedPageBreak/>
              <w:t>specificities of the SCR into account. As the SCR loss has by definition on a yearly basis a 99,5% probability of not occurring, it is unclear why the correction for the time-dependence of the SCR should assume a lower percentage.</w:t>
            </w:r>
          </w:p>
        </w:tc>
        <w:tc>
          <w:tcPr>
            <w:tcW w:w="1842" w:type="dxa"/>
            <w:shd w:val="clear" w:color="auto" w:fill="auto"/>
            <w:vAlign w:val="center"/>
          </w:tcPr>
          <w:p w14:paraId="0FAA61EC" w14:textId="342E8195" w:rsidR="008E3302" w:rsidRPr="00586687" w:rsidRDefault="008E3302" w:rsidP="00143694">
            <w:pPr>
              <w:jc w:val="center"/>
            </w:pPr>
            <w:r w:rsidRPr="00586687">
              <w:lastRenderedPageBreak/>
              <w:t xml:space="preserve">Van </w:t>
            </w:r>
            <w:proofErr w:type="spellStart"/>
            <w:r w:rsidRPr="00586687">
              <w:t>Overtveldt</w:t>
            </w:r>
            <w:proofErr w:type="spellEnd"/>
          </w:p>
        </w:tc>
        <w:tc>
          <w:tcPr>
            <w:tcW w:w="2127" w:type="dxa"/>
            <w:shd w:val="clear" w:color="auto" w:fill="auto"/>
            <w:vAlign w:val="center"/>
          </w:tcPr>
          <w:p w14:paraId="167B613F" w14:textId="5CFA7828" w:rsidR="008E3302" w:rsidRPr="00586687" w:rsidRDefault="008E3302" w:rsidP="00143694">
            <w:pPr>
              <w:jc w:val="center"/>
              <w:rPr>
                <w:bCs/>
                <w:szCs w:val="17"/>
              </w:rPr>
            </w:pPr>
            <w:r w:rsidRPr="00586687">
              <w:rPr>
                <w:bCs/>
                <w:szCs w:val="17"/>
              </w:rPr>
              <w:t>Risk Margin</w:t>
            </w:r>
          </w:p>
        </w:tc>
        <w:tc>
          <w:tcPr>
            <w:tcW w:w="1471" w:type="dxa"/>
            <w:shd w:val="clear" w:color="auto" w:fill="auto"/>
            <w:vAlign w:val="center"/>
          </w:tcPr>
          <w:p w14:paraId="164E5E71" w14:textId="0C1C6388" w:rsidR="008E3302" w:rsidRPr="00586687" w:rsidRDefault="008E3302" w:rsidP="00143694">
            <w:pPr>
              <w:jc w:val="center"/>
              <w:rPr>
                <w:b/>
                <w:color w:val="FF0000"/>
                <w:szCs w:val="17"/>
              </w:rPr>
            </w:pPr>
            <w:r w:rsidRPr="00586687">
              <w:rPr>
                <w:b/>
                <w:color w:val="FF0000"/>
                <w:szCs w:val="17"/>
              </w:rPr>
              <w:t>Negative</w:t>
            </w:r>
          </w:p>
        </w:tc>
      </w:tr>
      <w:tr w:rsidR="008E3302" w:rsidRPr="00586687" w14:paraId="6BF0DFD6" w14:textId="77777777" w:rsidTr="00A2044B">
        <w:trPr>
          <w:trHeight w:val="494"/>
        </w:trPr>
        <w:tc>
          <w:tcPr>
            <w:tcW w:w="696" w:type="dxa"/>
            <w:shd w:val="clear" w:color="auto" w:fill="auto"/>
            <w:vAlign w:val="center"/>
          </w:tcPr>
          <w:p w14:paraId="5FE98628" w14:textId="1D59764F" w:rsidR="008E3302" w:rsidRPr="00586687" w:rsidRDefault="008E3302" w:rsidP="00143694">
            <w:pPr>
              <w:jc w:val="center"/>
              <w:rPr>
                <w:bCs/>
                <w:szCs w:val="17"/>
              </w:rPr>
            </w:pPr>
            <w:r w:rsidRPr="00586687">
              <w:rPr>
                <w:bCs/>
                <w:szCs w:val="17"/>
              </w:rPr>
              <w:t>554</w:t>
            </w:r>
          </w:p>
        </w:tc>
        <w:tc>
          <w:tcPr>
            <w:tcW w:w="1931" w:type="dxa"/>
            <w:shd w:val="clear" w:color="auto" w:fill="auto"/>
            <w:vAlign w:val="center"/>
          </w:tcPr>
          <w:p w14:paraId="1CCC9283" w14:textId="27D3C2D1" w:rsidR="008E3302" w:rsidRPr="00586687" w:rsidRDefault="008E3302" w:rsidP="00143694">
            <w:pPr>
              <w:jc w:val="center"/>
            </w:pPr>
            <w:r w:rsidRPr="00586687">
              <w:t>Article 77 – paragraph 3 a (new)</w:t>
            </w:r>
          </w:p>
        </w:tc>
        <w:tc>
          <w:tcPr>
            <w:tcW w:w="6588" w:type="dxa"/>
            <w:shd w:val="clear" w:color="auto" w:fill="auto"/>
          </w:tcPr>
          <w:p w14:paraId="13B6C9E7" w14:textId="5EE0C5FF" w:rsidR="008E3302" w:rsidRPr="00586687" w:rsidRDefault="008E3302" w:rsidP="00143694">
            <w:pPr>
              <w:jc w:val="left"/>
              <w:rPr>
                <w:szCs w:val="17"/>
              </w:rPr>
            </w:pPr>
            <w:r w:rsidRPr="00586687">
              <w:rPr>
                <w:szCs w:val="17"/>
              </w:rPr>
              <w:t>Key aspects of risk margin provisions proposed to be included in Level 1 and proposal for a lambda of 0.9</w:t>
            </w:r>
            <w:r w:rsidR="001238A1" w:rsidRPr="00586687">
              <w:rPr>
                <w:szCs w:val="17"/>
              </w:rPr>
              <w:t>.</w:t>
            </w:r>
          </w:p>
          <w:p w14:paraId="6F1D673B" w14:textId="0EF29E99" w:rsidR="008E3302" w:rsidRPr="00586687" w:rsidRDefault="008E3302" w:rsidP="00143694">
            <w:pPr>
              <w:jc w:val="left"/>
              <w:rPr>
                <w:bCs/>
                <w:szCs w:val="17"/>
              </w:rPr>
            </w:pPr>
          </w:p>
        </w:tc>
        <w:tc>
          <w:tcPr>
            <w:tcW w:w="1842" w:type="dxa"/>
            <w:shd w:val="clear" w:color="auto" w:fill="auto"/>
            <w:vAlign w:val="center"/>
          </w:tcPr>
          <w:p w14:paraId="560E32C0" w14:textId="6867958C" w:rsidR="008E3302" w:rsidRPr="00586687" w:rsidRDefault="008E3302" w:rsidP="00143694">
            <w:pPr>
              <w:jc w:val="center"/>
            </w:pPr>
            <w:r w:rsidRPr="00586687">
              <w:t>Fitzgerald</w:t>
            </w:r>
          </w:p>
        </w:tc>
        <w:tc>
          <w:tcPr>
            <w:tcW w:w="2127" w:type="dxa"/>
            <w:shd w:val="clear" w:color="auto" w:fill="auto"/>
            <w:vAlign w:val="center"/>
          </w:tcPr>
          <w:p w14:paraId="79BDD460" w14:textId="54A16AF4" w:rsidR="008E3302" w:rsidRPr="00586687" w:rsidRDefault="008E3302" w:rsidP="00143694">
            <w:pPr>
              <w:jc w:val="center"/>
              <w:rPr>
                <w:bCs/>
                <w:szCs w:val="17"/>
              </w:rPr>
            </w:pPr>
            <w:r w:rsidRPr="00586687">
              <w:rPr>
                <w:bCs/>
                <w:szCs w:val="17"/>
              </w:rPr>
              <w:t>Risk Margin</w:t>
            </w:r>
          </w:p>
        </w:tc>
        <w:tc>
          <w:tcPr>
            <w:tcW w:w="1471" w:type="dxa"/>
            <w:shd w:val="clear" w:color="auto" w:fill="auto"/>
            <w:vAlign w:val="center"/>
          </w:tcPr>
          <w:p w14:paraId="028964E9" w14:textId="1584E79C" w:rsidR="008E3302" w:rsidRPr="00586687" w:rsidRDefault="001F6A2A" w:rsidP="00143694">
            <w:pPr>
              <w:jc w:val="center"/>
              <w:rPr>
                <w:bCs/>
                <w:szCs w:val="17"/>
              </w:rPr>
            </w:pPr>
            <w:r w:rsidRPr="00586687">
              <w:rPr>
                <w:b/>
                <w:color w:val="00B050"/>
                <w:szCs w:val="17"/>
              </w:rPr>
              <w:t>Positive</w:t>
            </w:r>
          </w:p>
        </w:tc>
      </w:tr>
      <w:tr w:rsidR="008E3302" w:rsidRPr="00586687" w14:paraId="260348E6" w14:textId="77777777" w:rsidTr="00A2044B">
        <w:trPr>
          <w:trHeight w:val="494"/>
        </w:trPr>
        <w:tc>
          <w:tcPr>
            <w:tcW w:w="696" w:type="dxa"/>
            <w:shd w:val="clear" w:color="auto" w:fill="auto"/>
            <w:vAlign w:val="center"/>
          </w:tcPr>
          <w:p w14:paraId="12C8007F" w14:textId="685A20F1" w:rsidR="008E3302" w:rsidRPr="00586687" w:rsidRDefault="008E3302" w:rsidP="00143694">
            <w:pPr>
              <w:jc w:val="center"/>
              <w:rPr>
                <w:bCs/>
                <w:szCs w:val="17"/>
              </w:rPr>
            </w:pPr>
            <w:r w:rsidRPr="00586687">
              <w:rPr>
                <w:bCs/>
                <w:szCs w:val="17"/>
              </w:rPr>
              <w:t>555</w:t>
            </w:r>
          </w:p>
        </w:tc>
        <w:tc>
          <w:tcPr>
            <w:tcW w:w="1931" w:type="dxa"/>
            <w:shd w:val="clear" w:color="auto" w:fill="auto"/>
            <w:vAlign w:val="center"/>
          </w:tcPr>
          <w:p w14:paraId="1DC7B3F9" w14:textId="1C20AA37" w:rsidR="008E3302" w:rsidRPr="00412D45" w:rsidRDefault="008E3302" w:rsidP="00143694">
            <w:pPr>
              <w:jc w:val="center"/>
              <w:rPr>
                <w:lang w:val="fr-FR"/>
              </w:rPr>
            </w:pPr>
            <w:r w:rsidRPr="00412D45">
              <w:rPr>
                <w:lang w:val="fr-FR"/>
              </w:rPr>
              <w:t>Article 77 – paragraph 5 – subparagraph 3 a (new)</w:t>
            </w:r>
          </w:p>
        </w:tc>
        <w:tc>
          <w:tcPr>
            <w:tcW w:w="6588" w:type="dxa"/>
            <w:shd w:val="clear" w:color="auto" w:fill="auto"/>
          </w:tcPr>
          <w:p w14:paraId="115014E7" w14:textId="24B0DF32" w:rsidR="008E3302" w:rsidRPr="00586687" w:rsidRDefault="008E3302" w:rsidP="00143694">
            <w:pPr>
              <w:jc w:val="left"/>
              <w:rPr>
                <w:bCs/>
                <w:szCs w:val="17"/>
              </w:rPr>
            </w:pPr>
            <w:r w:rsidRPr="00586687">
              <w:rPr>
                <w:bCs/>
                <w:szCs w:val="17"/>
              </w:rPr>
              <w:t xml:space="preserve">Calibration of Cost-of-Capital rate shall be </w:t>
            </w:r>
            <w:r w:rsidR="00F839C1" w:rsidRPr="00586687">
              <w:rPr>
                <w:bCs/>
                <w:szCs w:val="17"/>
              </w:rPr>
              <w:t xml:space="preserve">set by the EC </w:t>
            </w:r>
            <w:r w:rsidRPr="00586687">
              <w:rPr>
                <w:bCs/>
                <w:szCs w:val="17"/>
              </w:rPr>
              <w:t>in accordance with empirical evidence and should be based on an EIOPA opinion.</w:t>
            </w:r>
          </w:p>
        </w:tc>
        <w:tc>
          <w:tcPr>
            <w:tcW w:w="1842" w:type="dxa"/>
            <w:shd w:val="clear" w:color="auto" w:fill="auto"/>
            <w:vAlign w:val="center"/>
          </w:tcPr>
          <w:p w14:paraId="483E934C" w14:textId="306F4FD7" w:rsidR="008E3302" w:rsidRPr="00586687" w:rsidRDefault="008E3302" w:rsidP="00143694">
            <w:pPr>
              <w:jc w:val="center"/>
            </w:pPr>
            <w:r w:rsidRPr="00586687">
              <w:t>Hahn on behalf of the Verts/ALE Group</w:t>
            </w:r>
          </w:p>
        </w:tc>
        <w:tc>
          <w:tcPr>
            <w:tcW w:w="2127" w:type="dxa"/>
            <w:shd w:val="clear" w:color="auto" w:fill="auto"/>
            <w:vAlign w:val="center"/>
          </w:tcPr>
          <w:p w14:paraId="23A598FD" w14:textId="7018B69A" w:rsidR="008E3302" w:rsidRPr="00586687" w:rsidRDefault="008E3302" w:rsidP="00143694">
            <w:pPr>
              <w:jc w:val="center"/>
              <w:rPr>
                <w:bCs/>
                <w:szCs w:val="17"/>
              </w:rPr>
            </w:pPr>
            <w:r w:rsidRPr="00586687">
              <w:rPr>
                <w:bCs/>
                <w:szCs w:val="17"/>
              </w:rPr>
              <w:t>Risk Margin</w:t>
            </w:r>
          </w:p>
        </w:tc>
        <w:tc>
          <w:tcPr>
            <w:tcW w:w="1471" w:type="dxa"/>
            <w:shd w:val="clear" w:color="auto" w:fill="auto"/>
            <w:vAlign w:val="center"/>
          </w:tcPr>
          <w:p w14:paraId="22EAD53D" w14:textId="6E450192" w:rsidR="008E3302" w:rsidRPr="00586687" w:rsidRDefault="008E3302" w:rsidP="00143694">
            <w:pPr>
              <w:jc w:val="center"/>
              <w:rPr>
                <w:bCs/>
                <w:szCs w:val="17"/>
              </w:rPr>
            </w:pPr>
            <w:r w:rsidRPr="00586687">
              <w:rPr>
                <w:b/>
                <w:color w:val="FF0000"/>
                <w:szCs w:val="17"/>
              </w:rPr>
              <w:t>Negative</w:t>
            </w:r>
          </w:p>
        </w:tc>
      </w:tr>
      <w:tr w:rsidR="008E3302" w:rsidRPr="00586687" w14:paraId="06C4044C" w14:textId="77777777" w:rsidTr="00A2044B">
        <w:trPr>
          <w:trHeight w:val="494"/>
        </w:trPr>
        <w:tc>
          <w:tcPr>
            <w:tcW w:w="696" w:type="dxa"/>
            <w:shd w:val="clear" w:color="auto" w:fill="auto"/>
            <w:vAlign w:val="center"/>
          </w:tcPr>
          <w:p w14:paraId="67105AD2" w14:textId="4313EBAC" w:rsidR="008E3302" w:rsidRPr="00586687" w:rsidRDefault="008E3302" w:rsidP="00143694">
            <w:pPr>
              <w:jc w:val="center"/>
              <w:rPr>
                <w:bCs/>
                <w:szCs w:val="17"/>
              </w:rPr>
            </w:pPr>
            <w:r w:rsidRPr="00586687">
              <w:rPr>
                <w:bCs/>
                <w:szCs w:val="17"/>
              </w:rPr>
              <w:t>556</w:t>
            </w:r>
          </w:p>
        </w:tc>
        <w:tc>
          <w:tcPr>
            <w:tcW w:w="1931" w:type="dxa"/>
            <w:shd w:val="clear" w:color="auto" w:fill="auto"/>
            <w:vAlign w:val="center"/>
          </w:tcPr>
          <w:p w14:paraId="79791E20" w14:textId="25AF6020" w:rsidR="008E3302" w:rsidRPr="00586687" w:rsidRDefault="008E3302" w:rsidP="00143694">
            <w:pPr>
              <w:jc w:val="center"/>
            </w:pPr>
            <w:r w:rsidRPr="00586687">
              <w:t>Article 77 – paragraph 5 a (new)</w:t>
            </w:r>
          </w:p>
        </w:tc>
        <w:tc>
          <w:tcPr>
            <w:tcW w:w="6588" w:type="dxa"/>
            <w:shd w:val="clear" w:color="auto" w:fill="auto"/>
          </w:tcPr>
          <w:p w14:paraId="47403BC3" w14:textId="673CDEC2" w:rsidR="008E3302" w:rsidRPr="00586687" w:rsidRDefault="008E3302" w:rsidP="00143694">
            <w:pPr>
              <w:jc w:val="left"/>
            </w:pPr>
            <w:r w:rsidRPr="00586687">
              <w:t>Cost-of-Capital rate should be included in Level 1 and should be equal to 4.5%.</w:t>
            </w:r>
          </w:p>
          <w:p w14:paraId="1D014064" w14:textId="77777777" w:rsidR="008E3302" w:rsidRPr="00586687" w:rsidRDefault="008E3302" w:rsidP="00143694">
            <w:pPr>
              <w:jc w:val="left"/>
              <w:rPr>
                <w:i/>
                <w:iCs/>
              </w:rPr>
            </w:pPr>
          </w:p>
          <w:p w14:paraId="3685AAC9" w14:textId="06419517" w:rsidR="008E3302" w:rsidRPr="00586687" w:rsidRDefault="008E3302" w:rsidP="00143694">
            <w:pPr>
              <w:jc w:val="left"/>
              <w:rPr>
                <w:bCs/>
                <w:i/>
                <w:iCs/>
                <w:szCs w:val="17"/>
              </w:rPr>
            </w:pPr>
            <w:r w:rsidRPr="00586687">
              <w:rPr>
                <w:i/>
                <w:iCs/>
              </w:rPr>
              <w:t>Justification: The cost of capital should be set by the legislator. Economic analysis shows that a substantially lower value than the current 6% is adequate.</w:t>
            </w:r>
          </w:p>
        </w:tc>
        <w:tc>
          <w:tcPr>
            <w:tcW w:w="1842" w:type="dxa"/>
            <w:shd w:val="clear" w:color="auto" w:fill="auto"/>
            <w:vAlign w:val="center"/>
          </w:tcPr>
          <w:p w14:paraId="40F5AFEB" w14:textId="46AF2AC1" w:rsidR="008E3302" w:rsidRPr="00586687" w:rsidRDefault="008E3302" w:rsidP="00143694">
            <w:pPr>
              <w:jc w:val="center"/>
            </w:pPr>
            <w:r w:rsidRPr="00586687">
              <w:t>Eroglu</w:t>
            </w:r>
          </w:p>
        </w:tc>
        <w:tc>
          <w:tcPr>
            <w:tcW w:w="2127" w:type="dxa"/>
            <w:shd w:val="clear" w:color="auto" w:fill="auto"/>
            <w:vAlign w:val="center"/>
          </w:tcPr>
          <w:p w14:paraId="2C6AAE7A" w14:textId="58BB755E" w:rsidR="008E3302" w:rsidRPr="00586687" w:rsidRDefault="008E3302" w:rsidP="00143694">
            <w:pPr>
              <w:jc w:val="center"/>
              <w:rPr>
                <w:bCs/>
                <w:szCs w:val="17"/>
              </w:rPr>
            </w:pPr>
            <w:r w:rsidRPr="00586687">
              <w:rPr>
                <w:bCs/>
                <w:szCs w:val="17"/>
              </w:rPr>
              <w:t>Risk Margin</w:t>
            </w:r>
          </w:p>
        </w:tc>
        <w:tc>
          <w:tcPr>
            <w:tcW w:w="1471" w:type="dxa"/>
            <w:shd w:val="clear" w:color="auto" w:fill="auto"/>
            <w:vAlign w:val="center"/>
          </w:tcPr>
          <w:p w14:paraId="13B44B93" w14:textId="1CF73DC6" w:rsidR="008E3302" w:rsidRPr="00586687" w:rsidRDefault="001F6A2A" w:rsidP="00143694">
            <w:pPr>
              <w:jc w:val="center"/>
              <w:rPr>
                <w:bCs/>
                <w:szCs w:val="17"/>
              </w:rPr>
            </w:pPr>
            <w:r w:rsidRPr="00586687">
              <w:rPr>
                <w:b/>
                <w:color w:val="00B050"/>
                <w:szCs w:val="17"/>
              </w:rPr>
              <w:t>Positive</w:t>
            </w:r>
          </w:p>
        </w:tc>
      </w:tr>
      <w:tr w:rsidR="008E3302" w:rsidRPr="00586687" w14:paraId="1D23002D" w14:textId="77777777" w:rsidTr="00A2044B">
        <w:trPr>
          <w:trHeight w:val="494"/>
        </w:trPr>
        <w:tc>
          <w:tcPr>
            <w:tcW w:w="696" w:type="dxa"/>
            <w:shd w:val="clear" w:color="auto" w:fill="auto"/>
            <w:vAlign w:val="center"/>
          </w:tcPr>
          <w:p w14:paraId="28E58C70" w14:textId="630118DD" w:rsidR="008E3302" w:rsidRPr="00586687" w:rsidRDefault="008E3302" w:rsidP="00143694">
            <w:pPr>
              <w:jc w:val="center"/>
              <w:rPr>
                <w:bCs/>
                <w:szCs w:val="17"/>
              </w:rPr>
            </w:pPr>
            <w:r w:rsidRPr="00586687">
              <w:rPr>
                <w:bCs/>
                <w:szCs w:val="17"/>
              </w:rPr>
              <w:t>557-558</w:t>
            </w:r>
          </w:p>
        </w:tc>
        <w:tc>
          <w:tcPr>
            <w:tcW w:w="1931" w:type="dxa"/>
            <w:shd w:val="clear" w:color="auto" w:fill="auto"/>
            <w:vAlign w:val="center"/>
          </w:tcPr>
          <w:p w14:paraId="09495A57" w14:textId="7B338A1D" w:rsidR="008E3302" w:rsidRPr="00586687" w:rsidRDefault="008E3302" w:rsidP="00143694">
            <w:pPr>
              <w:jc w:val="center"/>
            </w:pPr>
            <w:r w:rsidRPr="00586687">
              <w:t>Article 77 – paragraph 5 a (new)</w:t>
            </w:r>
          </w:p>
        </w:tc>
        <w:tc>
          <w:tcPr>
            <w:tcW w:w="6588" w:type="dxa"/>
            <w:shd w:val="clear" w:color="auto" w:fill="auto"/>
          </w:tcPr>
          <w:p w14:paraId="2F741F67" w14:textId="41741D7D" w:rsidR="008E3302" w:rsidRPr="00586687" w:rsidRDefault="008E3302" w:rsidP="00143694">
            <w:pPr>
              <w:jc w:val="left"/>
            </w:pPr>
            <w:r w:rsidRPr="00586687">
              <w:t>Cost-of-Capital rate should be included in Level 1 and should be equal to 4%.</w:t>
            </w:r>
          </w:p>
          <w:p w14:paraId="5E1B712D" w14:textId="77777777" w:rsidR="008E3302" w:rsidRPr="00586687" w:rsidRDefault="008E3302" w:rsidP="00143694">
            <w:pPr>
              <w:jc w:val="left"/>
              <w:rPr>
                <w:bCs/>
                <w:szCs w:val="17"/>
              </w:rPr>
            </w:pPr>
          </w:p>
        </w:tc>
        <w:tc>
          <w:tcPr>
            <w:tcW w:w="1842" w:type="dxa"/>
            <w:shd w:val="clear" w:color="auto" w:fill="auto"/>
            <w:vAlign w:val="center"/>
          </w:tcPr>
          <w:p w14:paraId="5DD1C6AE" w14:textId="3AF7CE77" w:rsidR="008E3302" w:rsidRPr="00586687" w:rsidRDefault="008E3302" w:rsidP="00143694">
            <w:pPr>
              <w:jc w:val="center"/>
            </w:pPr>
            <w:r w:rsidRPr="00586687">
              <w:t xml:space="preserve">Fitzgerald (557) and </w:t>
            </w:r>
            <w:proofErr w:type="spellStart"/>
            <w:r w:rsidRPr="00586687">
              <w:t>Zanni</w:t>
            </w:r>
            <w:proofErr w:type="spellEnd"/>
            <w:r w:rsidRPr="00586687">
              <w:t>, Grant, Rinaldi (558)</w:t>
            </w:r>
          </w:p>
        </w:tc>
        <w:tc>
          <w:tcPr>
            <w:tcW w:w="2127" w:type="dxa"/>
            <w:shd w:val="clear" w:color="auto" w:fill="auto"/>
            <w:vAlign w:val="center"/>
          </w:tcPr>
          <w:p w14:paraId="53BFDA4D" w14:textId="566B9E84" w:rsidR="008E3302" w:rsidRPr="00586687" w:rsidRDefault="008E3302" w:rsidP="00143694">
            <w:pPr>
              <w:jc w:val="center"/>
              <w:rPr>
                <w:bCs/>
                <w:szCs w:val="17"/>
              </w:rPr>
            </w:pPr>
            <w:r w:rsidRPr="00586687">
              <w:rPr>
                <w:bCs/>
                <w:szCs w:val="17"/>
              </w:rPr>
              <w:t>Risk Margin</w:t>
            </w:r>
          </w:p>
        </w:tc>
        <w:tc>
          <w:tcPr>
            <w:tcW w:w="1471" w:type="dxa"/>
            <w:shd w:val="clear" w:color="auto" w:fill="auto"/>
            <w:vAlign w:val="center"/>
          </w:tcPr>
          <w:p w14:paraId="022694B1" w14:textId="42D3A47F" w:rsidR="008E3302" w:rsidRPr="00586687" w:rsidRDefault="001F6A2A" w:rsidP="00143694">
            <w:pPr>
              <w:jc w:val="center"/>
              <w:rPr>
                <w:bCs/>
                <w:szCs w:val="17"/>
              </w:rPr>
            </w:pPr>
            <w:r w:rsidRPr="00586687">
              <w:rPr>
                <w:b/>
                <w:color w:val="00B050"/>
                <w:szCs w:val="17"/>
              </w:rPr>
              <w:t>Positive</w:t>
            </w:r>
          </w:p>
        </w:tc>
      </w:tr>
      <w:tr w:rsidR="008E3302" w:rsidRPr="00586687" w14:paraId="0137418D" w14:textId="77777777" w:rsidTr="00A2044B">
        <w:trPr>
          <w:trHeight w:val="494"/>
        </w:trPr>
        <w:tc>
          <w:tcPr>
            <w:tcW w:w="696" w:type="dxa"/>
            <w:shd w:val="clear" w:color="auto" w:fill="auto"/>
            <w:vAlign w:val="center"/>
          </w:tcPr>
          <w:p w14:paraId="62CA88D4" w14:textId="372FB941" w:rsidR="008E3302" w:rsidRPr="00586687" w:rsidRDefault="008E3302" w:rsidP="00143694">
            <w:pPr>
              <w:jc w:val="center"/>
              <w:rPr>
                <w:bCs/>
                <w:szCs w:val="17"/>
              </w:rPr>
            </w:pPr>
            <w:r w:rsidRPr="00586687">
              <w:rPr>
                <w:bCs/>
                <w:szCs w:val="17"/>
              </w:rPr>
              <w:t>559</w:t>
            </w:r>
          </w:p>
        </w:tc>
        <w:tc>
          <w:tcPr>
            <w:tcW w:w="1931" w:type="dxa"/>
            <w:shd w:val="clear" w:color="auto" w:fill="auto"/>
            <w:vAlign w:val="center"/>
          </w:tcPr>
          <w:p w14:paraId="0EF00CA1" w14:textId="370FA7F7" w:rsidR="008E3302" w:rsidRPr="00586687" w:rsidRDefault="008E3302" w:rsidP="00143694">
            <w:pPr>
              <w:jc w:val="center"/>
            </w:pPr>
            <w:r w:rsidRPr="00586687">
              <w:t>Article 77 – paragraph 5 a (new)</w:t>
            </w:r>
          </w:p>
        </w:tc>
        <w:tc>
          <w:tcPr>
            <w:tcW w:w="6588" w:type="dxa"/>
            <w:shd w:val="clear" w:color="auto" w:fill="auto"/>
          </w:tcPr>
          <w:p w14:paraId="6EAB73BD" w14:textId="6784F75F" w:rsidR="008E3302" w:rsidRPr="00586687" w:rsidRDefault="008E3302" w:rsidP="00143694">
            <w:pPr>
              <w:jc w:val="left"/>
            </w:pPr>
            <w:r w:rsidRPr="00586687">
              <w:t>Cost-of-Capital rate should be included in Level 1 and should be equal to 6%.</w:t>
            </w:r>
          </w:p>
          <w:p w14:paraId="2A212746" w14:textId="77777777" w:rsidR="008E3302" w:rsidRPr="00586687" w:rsidRDefault="008E3302" w:rsidP="00143694">
            <w:pPr>
              <w:jc w:val="left"/>
              <w:rPr>
                <w:bCs/>
                <w:szCs w:val="17"/>
              </w:rPr>
            </w:pPr>
          </w:p>
        </w:tc>
        <w:tc>
          <w:tcPr>
            <w:tcW w:w="1842" w:type="dxa"/>
            <w:shd w:val="clear" w:color="auto" w:fill="auto"/>
            <w:vAlign w:val="center"/>
          </w:tcPr>
          <w:p w14:paraId="54EC7767" w14:textId="0FEF177A" w:rsidR="008E3302" w:rsidRPr="00586687" w:rsidRDefault="008E3302" w:rsidP="00143694">
            <w:pPr>
              <w:jc w:val="center"/>
            </w:pPr>
            <w:r w:rsidRPr="00586687">
              <w:t>MacManus</w:t>
            </w:r>
          </w:p>
        </w:tc>
        <w:tc>
          <w:tcPr>
            <w:tcW w:w="2127" w:type="dxa"/>
            <w:shd w:val="clear" w:color="auto" w:fill="auto"/>
            <w:vAlign w:val="center"/>
          </w:tcPr>
          <w:p w14:paraId="0EAD957E" w14:textId="32214E11" w:rsidR="008E3302" w:rsidRPr="00586687" w:rsidRDefault="008E3302" w:rsidP="00143694">
            <w:pPr>
              <w:jc w:val="center"/>
              <w:rPr>
                <w:bCs/>
                <w:szCs w:val="17"/>
              </w:rPr>
            </w:pPr>
            <w:r w:rsidRPr="00586687">
              <w:rPr>
                <w:bCs/>
                <w:szCs w:val="17"/>
              </w:rPr>
              <w:t>Risk Margin</w:t>
            </w:r>
          </w:p>
        </w:tc>
        <w:tc>
          <w:tcPr>
            <w:tcW w:w="1471" w:type="dxa"/>
            <w:shd w:val="clear" w:color="auto" w:fill="auto"/>
            <w:vAlign w:val="center"/>
          </w:tcPr>
          <w:p w14:paraId="344CCBE8" w14:textId="0B4AAAF7" w:rsidR="008E3302" w:rsidRPr="00586687" w:rsidRDefault="00B55CE2" w:rsidP="00143694">
            <w:pPr>
              <w:jc w:val="center"/>
              <w:rPr>
                <w:bCs/>
                <w:szCs w:val="17"/>
              </w:rPr>
            </w:pPr>
            <w:r w:rsidRPr="00586687">
              <w:rPr>
                <w:b/>
                <w:color w:val="FF0000"/>
                <w:szCs w:val="17"/>
              </w:rPr>
              <w:t>Negative</w:t>
            </w:r>
          </w:p>
        </w:tc>
      </w:tr>
      <w:tr w:rsidR="008E3302" w:rsidRPr="00586687" w14:paraId="1F526593" w14:textId="77777777" w:rsidTr="00A2044B">
        <w:trPr>
          <w:trHeight w:val="494"/>
        </w:trPr>
        <w:tc>
          <w:tcPr>
            <w:tcW w:w="696" w:type="dxa"/>
            <w:shd w:val="clear" w:color="auto" w:fill="auto"/>
            <w:vAlign w:val="center"/>
          </w:tcPr>
          <w:p w14:paraId="3FDA6F87" w14:textId="12E95E1C" w:rsidR="008E3302" w:rsidRPr="00586687" w:rsidRDefault="008E3302" w:rsidP="00143694">
            <w:pPr>
              <w:jc w:val="center"/>
              <w:rPr>
                <w:bCs/>
                <w:szCs w:val="17"/>
              </w:rPr>
            </w:pPr>
            <w:r w:rsidRPr="00586687">
              <w:rPr>
                <w:bCs/>
                <w:szCs w:val="17"/>
              </w:rPr>
              <w:t>560</w:t>
            </w:r>
          </w:p>
        </w:tc>
        <w:tc>
          <w:tcPr>
            <w:tcW w:w="1931" w:type="dxa"/>
            <w:shd w:val="clear" w:color="auto" w:fill="auto"/>
            <w:vAlign w:val="center"/>
          </w:tcPr>
          <w:p w14:paraId="39F55574" w14:textId="606D18FA" w:rsidR="008E3302" w:rsidRPr="00586687" w:rsidRDefault="008E3302" w:rsidP="00143694">
            <w:pPr>
              <w:jc w:val="center"/>
            </w:pPr>
            <w:r w:rsidRPr="00586687">
              <w:t xml:space="preserve">Article 77a – paragraph 1 – </w:t>
            </w:r>
            <w:proofErr w:type="spellStart"/>
            <w:r w:rsidRPr="00586687">
              <w:t>subparagaph</w:t>
            </w:r>
            <w:proofErr w:type="spellEnd"/>
            <w:r w:rsidRPr="00586687">
              <w:t xml:space="preserve"> 1 – introductory part</w:t>
            </w:r>
          </w:p>
        </w:tc>
        <w:tc>
          <w:tcPr>
            <w:tcW w:w="6588" w:type="dxa"/>
            <w:shd w:val="clear" w:color="auto" w:fill="auto"/>
          </w:tcPr>
          <w:p w14:paraId="13DC060E" w14:textId="218664A0" w:rsidR="008E3302" w:rsidRPr="00586687" w:rsidRDefault="008E3302" w:rsidP="00143694">
            <w:pPr>
              <w:jc w:val="left"/>
              <w:rPr>
                <w:bCs/>
                <w:szCs w:val="17"/>
              </w:rPr>
            </w:pPr>
            <w:r w:rsidRPr="00586687">
              <w:rPr>
                <w:bCs/>
                <w:szCs w:val="17"/>
              </w:rPr>
              <w:t>Editorial</w:t>
            </w:r>
          </w:p>
        </w:tc>
        <w:tc>
          <w:tcPr>
            <w:tcW w:w="1842" w:type="dxa"/>
            <w:shd w:val="clear" w:color="auto" w:fill="auto"/>
            <w:vAlign w:val="center"/>
          </w:tcPr>
          <w:p w14:paraId="7AE1026D" w14:textId="40601DB2" w:rsidR="008E3302" w:rsidRPr="00586687" w:rsidRDefault="008E3302" w:rsidP="00143694">
            <w:pPr>
              <w:jc w:val="center"/>
            </w:pPr>
            <w:r w:rsidRPr="00586687">
              <w:t>Yon-Courtin, Boyer</w:t>
            </w:r>
          </w:p>
        </w:tc>
        <w:tc>
          <w:tcPr>
            <w:tcW w:w="2127" w:type="dxa"/>
            <w:shd w:val="clear" w:color="auto" w:fill="auto"/>
            <w:vAlign w:val="center"/>
          </w:tcPr>
          <w:p w14:paraId="25270A68" w14:textId="24108CE5" w:rsidR="008E3302" w:rsidRPr="00586687" w:rsidRDefault="008E3302" w:rsidP="00143694">
            <w:pPr>
              <w:jc w:val="center"/>
              <w:rPr>
                <w:bCs/>
                <w:szCs w:val="17"/>
              </w:rPr>
            </w:pPr>
            <w:r w:rsidRPr="00586687">
              <w:rPr>
                <w:bCs/>
                <w:szCs w:val="17"/>
              </w:rPr>
              <w:t>Extrapolation</w:t>
            </w:r>
          </w:p>
        </w:tc>
        <w:tc>
          <w:tcPr>
            <w:tcW w:w="1471" w:type="dxa"/>
            <w:shd w:val="clear" w:color="auto" w:fill="auto"/>
            <w:vAlign w:val="center"/>
          </w:tcPr>
          <w:p w14:paraId="65C70687" w14:textId="6B32B226" w:rsidR="008E3302" w:rsidRPr="00586687" w:rsidRDefault="008E3302" w:rsidP="00143694">
            <w:pPr>
              <w:jc w:val="center"/>
              <w:rPr>
                <w:bCs/>
                <w:szCs w:val="17"/>
              </w:rPr>
            </w:pPr>
          </w:p>
        </w:tc>
      </w:tr>
      <w:tr w:rsidR="008E3302" w:rsidRPr="00586687" w14:paraId="32AD2758" w14:textId="77777777" w:rsidTr="00A2044B">
        <w:trPr>
          <w:trHeight w:val="494"/>
        </w:trPr>
        <w:tc>
          <w:tcPr>
            <w:tcW w:w="696" w:type="dxa"/>
            <w:shd w:val="clear" w:color="auto" w:fill="auto"/>
            <w:vAlign w:val="center"/>
          </w:tcPr>
          <w:p w14:paraId="370F8DE5" w14:textId="79632295" w:rsidR="008E3302" w:rsidRPr="00586687" w:rsidRDefault="008E3302" w:rsidP="00143694">
            <w:pPr>
              <w:jc w:val="center"/>
              <w:rPr>
                <w:bCs/>
                <w:szCs w:val="17"/>
              </w:rPr>
            </w:pPr>
            <w:r w:rsidRPr="00586687">
              <w:rPr>
                <w:szCs w:val="17"/>
              </w:rPr>
              <w:t>561</w:t>
            </w:r>
          </w:p>
        </w:tc>
        <w:tc>
          <w:tcPr>
            <w:tcW w:w="1931" w:type="dxa"/>
            <w:shd w:val="clear" w:color="auto" w:fill="auto"/>
            <w:vAlign w:val="center"/>
          </w:tcPr>
          <w:p w14:paraId="6AC36DB2" w14:textId="574AF024" w:rsidR="008E3302" w:rsidRPr="00586687" w:rsidRDefault="008E3302" w:rsidP="00143694">
            <w:pPr>
              <w:jc w:val="center"/>
            </w:pPr>
            <w:r w:rsidRPr="00586687">
              <w:t xml:space="preserve">Article 77a – paragraph 1 – </w:t>
            </w:r>
            <w:proofErr w:type="spellStart"/>
            <w:r w:rsidRPr="00586687">
              <w:t>subparagaph</w:t>
            </w:r>
            <w:proofErr w:type="spellEnd"/>
            <w:r w:rsidRPr="00586687">
              <w:t xml:space="preserve"> 1 – introductory part</w:t>
            </w:r>
          </w:p>
        </w:tc>
        <w:tc>
          <w:tcPr>
            <w:tcW w:w="6588" w:type="dxa"/>
            <w:shd w:val="clear" w:color="auto" w:fill="auto"/>
          </w:tcPr>
          <w:p w14:paraId="665427E5" w14:textId="6423E5D8" w:rsidR="008E3302" w:rsidRPr="00586687" w:rsidRDefault="008E3302" w:rsidP="00143694">
            <w:pPr>
              <w:jc w:val="left"/>
              <w:rPr>
                <w:bCs/>
                <w:szCs w:val="17"/>
              </w:rPr>
            </w:pPr>
            <w:r w:rsidRPr="00586687">
              <w:rPr>
                <w:bCs/>
                <w:szCs w:val="17"/>
              </w:rPr>
              <w:t>Amendment to specify that the first smoothing point for a currency shall be 30 years, while the longest maturity shall meet the specified conditions.</w:t>
            </w:r>
          </w:p>
        </w:tc>
        <w:tc>
          <w:tcPr>
            <w:tcW w:w="1842" w:type="dxa"/>
            <w:shd w:val="clear" w:color="auto" w:fill="auto"/>
            <w:vAlign w:val="center"/>
          </w:tcPr>
          <w:p w14:paraId="458B5B0D" w14:textId="0EF92968" w:rsidR="008E3302" w:rsidRPr="00586687" w:rsidRDefault="008E3302" w:rsidP="00143694">
            <w:pPr>
              <w:jc w:val="center"/>
            </w:pPr>
            <w:proofErr w:type="spellStart"/>
            <w:r w:rsidRPr="00586687">
              <w:t>Heinäluoma</w:t>
            </w:r>
            <w:proofErr w:type="spellEnd"/>
            <w:r w:rsidRPr="00586687">
              <w:t xml:space="preserve">, Tang, Fernández, </w:t>
            </w:r>
            <w:proofErr w:type="spellStart"/>
            <w:r w:rsidRPr="00586687">
              <w:t>Lalucq</w:t>
            </w:r>
            <w:proofErr w:type="spellEnd"/>
          </w:p>
        </w:tc>
        <w:tc>
          <w:tcPr>
            <w:tcW w:w="2127" w:type="dxa"/>
            <w:shd w:val="clear" w:color="auto" w:fill="auto"/>
            <w:vAlign w:val="center"/>
          </w:tcPr>
          <w:p w14:paraId="0E30D9EB" w14:textId="4FEF447A" w:rsidR="008E3302" w:rsidRPr="00586687" w:rsidRDefault="008E3302" w:rsidP="00143694">
            <w:pPr>
              <w:jc w:val="center"/>
              <w:rPr>
                <w:bCs/>
                <w:szCs w:val="17"/>
              </w:rPr>
            </w:pPr>
            <w:r w:rsidRPr="00586687">
              <w:rPr>
                <w:bCs/>
                <w:szCs w:val="17"/>
              </w:rPr>
              <w:t>Extrapolation</w:t>
            </w:r>
          </w:p>
        </w:tc>
        <w:tc>
          <w:tcPr>
            <w:tcW w:w="1471" w:type="dxa"/>
            <w:shd w:val="clear" w:color="auto" w:fill="auto"/>
            <w:vAlign w:val="center"/>
          </w:tcPr>
          <w:p w14:paraId="0324B7D5" w14:textId="73E8ECDF" w:rsidR="008E3302" w:rsidRPr="00586687" w:rsidRDefault="00B55CE2" w:rsidP="00143694">
            <w:pPr>
              <w:jc w:val="center"/>
              <w:rPr>
                <w:bCs/>
                <w:szCs w:val="17"/>
              </w:rPr>
            </w:pPr>
            <w:r w:rsidRPr="00586687">
              <w:rPr>
                <w:b/>
                <w:color w:val="FF0000"/>
                <w:szCs w:val="17"/>
              </w:rPr>
              <w:t>Negative</w:t>
            </w:r>
          </w:p>
        </w:tc>
      </w:tr>
      <w:tr w:rsidR="008E3302" w:rsidRPr="00586687" w14:paraId="63D287BC" w14:textId="77777777" w:rsidTr="00A2044B">
        <w:trPr>
          <w:trHeight w:val="494"/>
        </w:trPr>
        <w:tc>
          <w:tcPr>
            <w:tcW w:w="696" w:type="dxa"/>
            <w:shd w:val="clear" w:color="auto" w:fill="auto"/>
            <w:vAlign w:val="center"/>
          </w:tcPr>
          <w:p w14:paraId="37CB20F4" w14:textId="6BD66F3B" w:rsidR="008E3302" w:rsidRPr="00586687" w:rsidRDefault="008E3302" w:rsidP="00143694">
            <w:pPr>
              <w:jc w:val="center"/>
              <w:rPr>
                <w:bCs/>
                <w:szCs w:val="17"/>
              </w:rPr>
            </w:pPr>
            <w:r w:rsidRPr="00586687">
              <w:rPr>
                <w:bCs/>
                <w:szCs w:val="17"/>
              </w:rPr>
              <w:t>562</w:t>
            </w:r>
          </w:p>
        </w:tc>
        <w:tc>
          <w:tcPr>
            <w:tcW w:w="1931" w:type="dxa"/>
            <w:shd w:val="clear" w:color="auto" w:fill="auto"/>
            <w:vAlign w:val="center"/>
          </w:tcPr>
          <w:p w14:paraId="06BC1426" w14:textId="466F0E02" w:rsidR="008E3302" w:rsidRPr="00586687" w:rsidRDefault="008E3302" w:rsidP="00143694">
            <w:pPr>
              <w:jc w:val="center"/>
            </w:pPr>
            <w:r w:rsidRPr="00586687">
              <w:t xml:space="preserve">Article 77a – paragraph 1 – </w:t>
            </w:r>
            <w:proofErr w:type="spellStart"/>
            <w:r w:rsidRPr="00586687">
              <w:t>subparagaph</w:t>
            </w:r>
            <w:proofErr w:type="spellEnd"/>
            <w:r w:rsidRPr="00586687">
              <w:t xml:space="preserve"> 1 – </w:t>
            </w:r>
            <w:r w:rsidRPr="00586687">
              <w:lastRenderedPageBreak/>
              <w:t>point 1a a (new)</w:t>
            </w:r>
          </w:p>
        </w:tc>
        <w:tc>
          <w:tcPr>
            <w:tcW w:w="6588" w:type="dxa"/>
            <w:shd w:val="clear" w:color="auto" w:fill="auto"/>
          </w:tcPr>
          <w:p w14:paraId="785DB1AB" w14:textId="0493A806" w:rsidR="008E3302" w:rsidRPr="00586687" w:rsidRDefault="008E3302" w:rsidP="00143694">
            <w:pPr>
              <w:jc w:val="left"/>
              <w:rPr>
                <w:bCs/>
                <w:szCs w:val="17"/>
              </w:rPr>
            </w:pPr>
            <w:r w:rsidRPr="00586687">
              <w:lastRenderedPageBreak/>
              <w:t>The portfolio of assets assigned to cover the best estimate shall not include assets with exposure to the fossil sectors</w:t>
            </w:r>
            <w:r w:rsidR="00447826" w:rsidRPr="00586687">
              <w:t xml:space="preserve"> (note: this appears to b</w:t>
            </w:r>
            <w:r w:rsidR="00717732" w:rsidRPr="00586687">
              <w:t>e</w:t>
            </w:r>
            <w:r w:rsidR="00447826" w:rsidRPr="00586687">
              <w:t xml:space="preserve"> intended for Art 77b.)</w:t>
            </w:r>
            <w:r w:rsidRPr="00586687">
              <w:t>.</w:t>
            </w:r>
          </w:p>
        </w:tc>
        <w:tc>
          <w:tcPr>
            <w:tcW w:w="1842" w:type="dxa"/>
            <w:shd w:val="clear" w:color="auto" w:fill="auto"/>
            <w:vAlign w:val="center"/>
          </w:tcPr>
          <w:p w14:paraId="3D75F258" w14:textId="07B63C7F" w:rsidR="008E3302" w:rsidRPr="00586687" w:rsidRDefault="008E3302" w:rsidP="00143694">
            <w:pPr>
              <w:jc w:val="center"/>
            </w:pPr>
            <w:proofErr w:type="spellStart"/>
            <w:r w:rsidRPr="00586687">
              <w:t>Lalucq</w:t>
            </w:r>
            <w:proofErr w:type="spellEnd"/>
          </w:p>
        </w:tc>
        <w:tc>
          <w:tcPr>
            <w:tcW w:w="2127" w:type="dxa"/>
            <w:shd w:val="clear" w:color="auto" w:fill="auto"/>
            <w:vAlign w:val="center"/>
          </w:tcPr>
          <w:p w14:paraId="70DEF24E" w14:textId="24AA74C8" w:rsidR="008E3302" w:rsidRPr="00586687" w:rsidRDefault="008E3302" w:rsidP="00143694">
            <w:pPr>
              <w:jc w:val="center"/>
              <w:rPr>
                <w:bCs/>
                <w:szCs w:val="17"/>
              </w:rPr>
            </w:pPr>
            <w:r w:rsidRPr="00586687">
              <w:rPr>
                <w:bCs/>
                <w:szCs w:val="17"/>
              </w:rPr>
              <w:t>Extrapolation/Sustainab</w:t>
            </w:r>
            <w:r w:rsidR="00C80E12" w:rsidRPr="00586687">
              <w:rPr>
                <w:bCs/>
                <w:szCs w:val="17"/>
              </w:rPr>
              <w:t>ility</w:t>
            </w:r>
          </w:p>
        </w:tc>
        <w:tc>
          <w:tcPr>
            <w:tcW w:w="1471" w:type="dxa"/>
            <w:shd w:val="clear" w:color="auto" w:fill="auto"/>
            <w:vAlign w:val="center"/>
          </w:tcPr>
          <w:p w14:paraId="3402A075" w14:textId="41107395" w:rsidR="008E3302" w:rsidRPr="00586687" w:rsidRDefault="00E73F96" w:rsidP="00143694">
            <w:pPr>
              <w:jc w:val="center"/>
              <w:rPr>
                <w:bCs/>
                <w:szCs w:val="17"/>
                <w:highlight w:val="yellow"/>
              </w:rPr>
            </w:pPr>
            <w:r w:rsidRPr="00586687">
              <w:rPr>
                <w:b/>
                <w:color w:val="808080" w:themeColor="background1" w:themeShade="80"/>
                <w:szCs w:val="17"/>
              </w:rPr>
              <w:t>Neutral</w:t>
            </w:r>
          </w:p>
        </w:tc>
      </w:tr>
      <w:tr w:rsidR="008E3302" w:rsidRPr="00586687" w14:paraId="60D6A916" w14:textId="77777777" w:rsidTr="00A2044B">
        <w:trPr>
          <w:trHeight w:val="494"/>
        </w:trPr>
        <w:tc>
          <w:tcPr>
            <w:tcW w:w="696" w:type="dxa"/>
            <w:shd w:val="clear" w:color="auto" w:fill="auto"/>
            <w:vAlign w:val="center"/>
          </w:tcPr>
          <w:p w14:paraId="1EAE3255" w14:textId="2413C7FD" w:rsidR="008E3302" w:rsidRPr="00586687" w:rsidRDefault="008E3302" w:rsidP="00143694">
            <w:pPr>
              <w:jc w:val="center"/>
              <w:rPr>
                <w:bCs/>
                <w:szCs w:val="17"/>
              </w:rPr>
            </w:pPr>
            <w:r w:rsidRPr="00586687">
              <w:rPr>
                <w:bCs/>
                <w:szCs w:val="17"/>
              </w:rPr>
              <w:t>563</w:t>
            </w:r>
          </w:p>
        </w:tc>
        <w:tc>
          <w:tcPr>
            <w:tcW w:w="1931" w:type="dxa"/>
            <w:shd w:val="clear" w:color="auto" w:fill="auto"/>
            <w:vAlign w:val="center"/>
          </w:tcPr>
          <w:p w14:paraId="1BCDA419" w14:textId="5E4F5B29" w:rsidR="008E3302" w:rsidRPr="00586687" w:rsidRDefault="008E3302" w:rsidP="00143694">
            <w:pPr>
              <w:jc w:val="center"/>
            </w:pPr>
            <w:r w:rsidRPr="00586687">
              <w:t>Article 77a – paragraph 2 – subparagraph 1</w:t>
            </w:r>
          </w:p>
        </w:tc>
        <w:tc>
          <w:tcPr>
            <w:tcW w:w="6588" w:type="dxa"/>
            <w:shd w:val="clear" w:color="auto" w:fill="auto"/>
          </w:tcPr>
          <w:p w14:paraId="6FB43CF3" w14:textId="77777777" w:rsidR="008E3302" w:rsidRPr="00586687" w:rsidRDefault="008E3302" w:rsidP="00143694">
            <w:pPr>
              <w:jc w:val="left"/>
              <w:rPr>
                <w:bCs/>
                <w:szCs w:val="17"/>
              </w:rPr>
            </w:pPr>
            <w:r w:rsidRPr="00586687">
              <w:rPr>
                <w:bCs/>
                <w:szCs w:val="17"/>
              </w:rPr>
              <w:t>Formula to calculate the extrapolated risk-free rate is included in Level 1 and proposal for a convergence speed parameter a of 20%:</w:t>
            </w:r>
          </w:p>
          <w:p w14:paraId="68011452" w14:textId="77777777" w:rsidR="008E3302" w:rsidRPr="00586687" w:rsidRDefault="008E3302" w:rsidP="00143694">
            <w:pPr>
              <w:jc w:val="left"/>
              <w:rPr>
                <w:bCs/>
                <w:szCs w:val="17"/>
              </w:rPr>
            </w:pPr>
          </w:p>
          <w:p w14:paraId="3B1D15EB" w14:textId="7E20643A" w:rsidR="008E3302" w:rsidRPr="00586687" w:rsidRDefault="008E3302" w:rsidP="00143694">
            <w:pPr>
              <w:jc w:val="left"/>
              <w:rPr>
                <w:bCs/>
                <w:szCs w:val="17"/>
              </w:rPr>
            </w:pPr>
            <w:r w:rsidRPr="00586687">
              <w:rPr>
                <w:bCs/>
                <w:szCs w:val="17"/>
              </w:rPr>
              <w:t>No reference is made on Swedish Krona.</w:t>
            </w:r>
          </w:p>
        </w:tc>
        <w:tc>
          <w:tcPr>
            <w:tcW w:w="1842" w:type="dxa"/>
            <w:shd w:val="clear" w:color="auto" w:fill="auto"/>
            <w:vAlign w:val="center"/>
          </w:tcPr>
          <w:p w14:paraId="65DEB31B" w14:textId="0AF0D465" w:rsidR="008E3302" w:rsidRPr="00586687" w:rsidRDefault="008E3302" w:rsidP="00143694">
            <w:pPr>
              <w:jc w:val="center"/>
            </w:pPr>
            <w:proofErr w:type="spellStart"/>
            <w:r w:rsidRPr="00586687">
              <w:t>Zanni</w:t>
            </w:r>
            <w:proofErr w:type="spellEnd"/>
            <w:r w:rsidRPr="00586687">
              <w:t>, Grant, Rinaldi</w:t>
            </w:r>
          </w:p>
        </w:tc>
        <w:tc>
          <w:tcPr>
            <w:tcW w:w="2127" w:type="dxa"/>
            <w:shd w:val="clear" w:color="auto" w:fill="auto"/>
            <w:vAlign w:val="center"/>
          </w:tcPr>
          <w:p w14:paraId="2B8A11BD" w14:textId="3CBD3574" w:rsidR="008E3302" w:rsidRPr="00586687" w:rsidRDefault="008E3302" w:rsidP="00143694">
            <w:pPr>
              <w:jc w:val="center"/>
              <w:rPr>
                <w:bCs/>
                <w:szCs w:val="17"/>
              </w:rPr>
            </w:pPr>
            <w:r w:rsidRPr="00586687">
              <w:rPr>
                <w:bCs/>
                <w:szCs w:val="17"/>
              </w:rPr>
              <w:t>Extrapolation</w:t>
            </w:r>
          </w:p>
        </w:tc>
        <w:tc>
          <w:tcPr>
            <w:tcW w:w="1471" w:type="dxa"/>
            <w:shd w:val="clear" w:color="auto" w:fill="auto"/>
            <w:vAlign w:val="center"/>
          </w:tcPr>
          <w:p w14:paraId="3E87DF61" w14:textId="61C3F279" w:rsidR="008E3302" w:rsidRPr="00586687" w:rsidRDefault="008E3302" w:rsidP="00143694">
            <w:pPr>
              <w:jc w:val="center"/>
              <w:rPr>
                <w:b/>
                <w:color w:val="00B050"/>
                <w:szCs w:val="17"/>
              </w:rPr>
            </w:pPr>
            <w:r w:rsidRPr="00586687">
              <w:rPr>
                <w:b/>
                <w:color w:val="00B050"/>
                <w:szCs w:val="17"/>
              </w:rPr>
              <w:t>Positive (for convergence parameter of 20% and inclusion of formula in Level 1)</w:t>
            </w:r>
          </w:p>
          <w:p w14:paraId="4EF19FCC" w14:textId="77777777" w:rsidR="008E3302" w:rsidRPr="00586687" w:rsidRDefault="008E3302" w:rsidP="00143694">
            <w:pPr>
              <w:jc w:val="center"/>
              <w:rPr>
                <w:bCs/>
                <w:szCs w:val="17"/>
              </w:rPr>
            </w:pPr>
          </w:p>
          <w:p w14:paraId="6AD74DF5" w14:textId="21E33277" w:rsidR="008E3302" w:rsidRPr="00586687" w:rsidRDefault="008E3302" w:rsidP="00143694">
            <w:pPr>
              <w:jc w:val="center"/>
              <w:rPr>
                <w:bCs/>
                <w:szCs w:val="17"/>
              </w:rPr>
            </w:pPr>
            <w:r w:rsidRPr="00586687">
              <w:rPr>
                <w:b/>
                <w:color w:val="FF0000"/>
                <w:szCs w:val="17"/>
              </w:rPr>
              <w:t>Negative (for no reference in Swedish Krona)</w:t>
            </w:r>
          </w:p>
        </w:tc>
      </w:tr>
      <w:tr w:rsidR="008E3302" w:rsidRPr="00586687" w14:paraId="3A2E8B27" w14:textId="77777777" w:rsidTr="00A2044B">
        <w:trPr>
          <w:trHeight w:val="494"/>
        </w:trPr>
        <w:tc>
          <w:tcPr>
            <w:tcW w:w="696" w:type="dxa"/>
            <w:shd w:val="clear" w:color="auto" w:fill="auto"/>
            <w:vAlign w:val="center"/>
          </w:tcPr>
          <w:p w14:paraId="26219F37" w14:textId="01C5F20B" w:rsidR="008E3302" w:rsidRPr="00586687" w:rsidRDefault="008E3302" w:rsidP="00143694">
            <w:pPr>
              <w:jc w:val="center"/>
              <w:rPr>
                <w:bCs/>
                <w:szCs w:val="17"/>
              </w:rPr>
            </w:pPr>
            <w:r w:rsidRPr="00586687">
              <w:rPr>
                <w:bCs/>
                <w:szCs w:val="17"/>
              </w:rPr>
              <w:t>564</w:t>
            </w:r>
          </w:p>
        </w:tc>
        <w:tc>
          <w:tcPr>
            <w:tcW w:w="1931" w:type="dxa"/>
            <w:shd w:val="clear" w:color="auto" w:fill="auto"/>
            <w:vAlign w:val="center"/>
          </w:tcPr>
          <w:p w14:paraId="72E5BBDF" w14:textId="6B87CDC1" w:rsidR="008E3302" w:rsidRPr="00586687" w:rsidRDefault="008E3302" w:rsidP="00143694">
            <w:pPr>
              <w:jc w:val="center"/>
            </w:pPr>
            <w:r w:rsidRPr="00586687">
              <w:t>Article 77a – paragraph 2 – subparagraph 1</w:t>
            </w:r>
          </w:p>
        </w:tc>
        <w:tc>
          <w:tcPr>
            <w:tcW w:w="6588" w:type="dxa"/>
            <w:shd w:val="clear" w:color="auto" w:fill="auto"/>
          </w:tcPr>
          <w:p w14:paraId="53ED646A" w14:textId="04CA1B77" w:rsidR="008E3302" w:rsidRPr="00586687" w:rsidRDefault="008E3302" w:rsidP="00143694">
            <w:pPr>
              <w:jc w:val="left"/>
              <w:rPr>
                <w:bCs/>
                <w:szCs w:val="17"/>
              </w:rPr>
            </w:pPr>
            <w:r w:rsidRPr="00586687">
              <w:rPr>
                <w:bCs/>
                <w:szCs w:val="17"/>
              </w:rPr>
              <w:t>Formula to calculate the extrapolated risk-free rate is included in Level 1 and proposal for a convergence speed parameter a of 10%:</w:t>
            </w:r>
          </w:p>
          <w:p w14:paraId="64255C16" w14:textId="77777777" w:rsidR="008E3302" w:rsidRPr="00586687" w:rsidRDefault="008E3302" w:rsidP="00143694">
            <w:pPr>
              <w:jc w:val="left"/>
              <w:rPr>
                <w:bCs/>
                <w:szCs w:val="17"/>
              </w:rPr>
            </w:pPr>
          </w:p>
          <w:p w14:paraId="7265515F" w14:textId="5A00E0C1" w:rsidR="008E3302" w:rsidRPr="00586687" w:rsidRDefault="008E3302" w:rsidP="00143694">
            <w:pPr>
              <w:jc w:val="left"/>
              <w:rPr>
                <w:bCs/>
                <w:i/>
                <w:iCs/>
                <w:szCs w:val="17"/>
              </w:rPr>
            </w:pPr>
            <w:r w:rsidRPr="00586687">
              <w:rPr>
                <w:i/>
                <w:iCs/>
              </w:rPr>
              <w:t>Justification: It is appropriate to legislate for such important formulae and to apply a convergence speed figure that is reasonable and is not simply re-inserting the status quo.</w:t>
            </w:r>
          </w:p>
        </w:tc>
        <w:tc>
          <w:tcPr>
            <w:tcW w:w="1842" w:type="dxa"/>
            <w:shd w:val="clear" w:color="auto" w:fill="auto"/>
            <w:vAlign w:val="center"/>
          </w:tcPr>
          <w:p w14:paraId="33EF90FD" w14:textId="7F223285" w:rsidR="008E3302" w:rsidRPr="00586687" w:rsidRDefault="008E3302" w:rsidP="00143694">
            <w:pPr>
              <w:jc w:val="center"/>
            </w:pPr>
            <w:r w:rsidRPr="00586687">
              <w:t xml:space="preserve">MacManus </w:t>
            </w:r>
          </w:p>
        </w:tc>
        <w:tc>
          <w:tcPr>
            <w:tcW w:w="2127" w:type="dxa"/>
            <w:shd w:val="clear" w:color="auto" w:fill="auto"/>
            <w:vAlign w:val="center"/>
          </w:tcPr>
          <w:p w14:paraId="089A0DE9" w14:textId="6D915B60" w:rsidR="008E3302" w:rsidRPr="00586687" w:rsidRDefault="008E3302" w:rsidP="00143694">
            <w:pPr>
              <w:jc w:val="center"/>
              <w:rPr>
                <w:bCs/>
                <w:szCs w:val="17"/>
              </w:rPr>
            </w:pPr>
            <w:r w:rsidRPr="00586687">
              <w:rPr>
                <w:bCs/>
                <w:szCs w:val="17"/>
              </w:rPr>
              <w:t>Extrapolation</w:t>
            </w:r>
          </w:p>
        </w:tc>
        <w:tc>
          <w:tcPr>
            <w:tcW w:w="1471" w:type="dxa"/>
            <w:shd w:val="clear" w:color="auto" w:fill="auto"/>
            <w:vAlign w:val="center"/>
          </w:tcPr>
          <w:p w14:paraId="19144883" w14:textId="52072915" w:rsidR="008E3302" w:rsidRPr="00586687" w:rsidRDefault="008E3302" w:rsidP="00143694">
            <w:pPr>
              <w:jc w:val="center"/>
              <w:rPr>
                <w:bCs/>
                <w:szCs w:val="17"/>
              </w:rPr>
            </w:pPr>
            <w:r w:rsidRPr="00586687">
              <w:rPr>
                <w:b/>
                <w:color w:val="FF0000"/>
                <w:szCs w:val="17"/>
              </w:rPr>
              <w:t>Negative (for convergence parameter of 10% and no reference in Swedish Kron</w:t>
            </w:r>
            <w:r w:rsidR="00B55CE2" w:rsidRPr="00586687">
              <w:rPr>
                <w:b/>
                <w:color w:val="FF0000"/>
                <w:szCs w:val="17"/>
              </w:rPr>
              <w:t>a)</w:t>
            </w:r>
          </w:p>
        </w:tc>
      </w:tr>
      <w:tr w:rsidR="008E3302" w:rsidRPr="00586687" w14:paraId="11CAD786" w14:textId="77777777" w:rsidTr="00A2044B">
        <w:trPr>
          <w:trHeight w:val="494"/>
        </w:trPr>
        <w:tc>
          <w:tcPr>
            <w:tcW w:w="696" w:type="dxa"/>
            <w:shd w:val="clear" w:color="auto" w:fill="auto"/>
            <w:vAlign w:val="center"/>
          </w:tcPr>
          <w:p w14:paraId="671B56C6" w14:textId="5E9FBF98" w:rsidR="008E3302" w:rsidRPr="00586687" w:rsidRDefault="008E3302" w:rsidP="00143694">
            <w:pPr>
              <w:jc w:val="center"/>
              <w:rPr>
                <w:bCs/>
                <w:szCs w:val="17"/>
              </w:rPr>
            </w:pPr>
            <w:r w:rsidRPr="00586687">
              <w:rPr>
                <w:bCs/>
                <w:szCs w:val="17"/>
              </w:rPr>
              <w:t>565</w:t>
            </w:r>
          </w:p>
        </w:tc>
        <w:tc>
          <w:tcPr>
            <w:tcW w:w="1931" w:type="dxa"/>
            <w:shd w:val="clear" w:color="auto" w:fill="auto"/>
            <w:vAlign w:val="center"/>
          </w:tcPr>
          <w:p w14:paraId="1EDCE14B" w14:textId="622A2020" w:rsidR="008E3302" w:rsidRPr="00586687" w:rsidRDefault="008E3302" w:rsidP="00143694">
            <w:pPr>
              <w:jc w:val="center"/>
            </w:pPr>
            <w:r w:rsidRPr="00586687">
              <w:t>Article 77a – paragraph 2 – subparagraph 1</w:t>
            </w:r>
          </w:p>
        </w:tc>
        <w:tc>
          <w:tcPr>
            <w:tcW w:w="6588" w:type="dxa"/>
            <w:shd w:val="clear" w:color="auto" w:fill="auto"/>
          </w:tcPr>
          <w:p w14:paraId="0B47DA74" w14:textId="19DC73C7" w:rsidR="008E3302" w:rsidRPr="00586687" w:rsidRDefault="008E3302" w:rsidP="00143694">
            <w:pPr>
              <w:jc w:val="left"/>
              <w:rPr>
                <w:bCs/>
                <w:szCs w:val="17"/>
              </w:rPr>
            </w:pPr>
            <w:r w:rsidRPr="00586687">
              <w:rPr>
                <w:bCs/>
                <w:szCs w:val="17"/>
              </w:rPr>
              <w:t>Formula to calculate the extrapolated risk-free rate is included in Level 1 and proposal for a convergence speed parameter a of 5%:</w:t>
            </w:r>
          </w:p>
          <w:p w14:paraId="77338519" w14:textId="77777777" w:rsidR="008E3302" w:rsidRPr="00586687" w:rsidRDefault="008E3302" w:rsidP="00143694">
            <w:pPr>
              <w:jc w:val="left"/>
              <w:rPr>
                <w:bCs/>
                <w:szCs w:val="17"/>
              </w:rPr>
            </w:pPr>
          </w:p>
          <w:p w14:paraId="1ABBBB49" w14:textId="243673BB" w:rsidR="008E3302" w:rsidRPr="00586687" w:rsidRDefault="008E3302" w:rsidP="00143694">
            <w:pPr>
              <w:jc w:val="left"/>
              <w:rPr>
                <w:i/>
                <w:szCs w:val="17"/>
              </w:rPr>
            </w:pPr>
            <w:r w:rsidRPr="00586687">
              <w:rPr>
                <w:i/>
                <w:szCs w:val="17"/>
              </w:rPr>
              <w:t xml:space="preserve">Justification: </w:t>
            </w:r>
            <w:r w:rsidRPr="00586687">
              <w:rPr>
                <w:i/>
              </w:rPr>
              <w:t xml:space="preserve">Ideally, the calibration of the extrapolation technique should be determined in the delegated regulation. If escalated to level 1, the market-consistent valuation principle should be better respected with the alpha parameter set at 5%. Keeping the alpha parameter at 10% could be acceptable as well, if coupled with sound safeguards on pillar 3 (public disclosure of impact of 5% parameter on financial position) and pillar 2 (provision of evidence to NSA that dividend payments or other voluntary capital distributions do not put at risk protection of policyholders and </w:t>
            </w:r>
            <w:r w:rsidRPr="00586687">
              <w:rPr>
                <w:i/>
              </w:rPr>
              <w:lastRenderedPageBreak/>
              <w:t>beneficiaries)</w:t>
            </w:r>
          </w:p>
        </w:tc>
        <w:tc>
          <w:tcPr>
            <w:tcW w:w="1842" w:type="dxa"/>
            <w:shd w:val="clear" w:color="auto" w:fill="auto"/>
            <w:vAlign w:val="center"/>
          </w:tcPr>
          <w:p w14:paraId="2F0CAC79" w14:textId="5BEBD5CF" w:rsidR="008E3302" w:rsidRPr="00586687" w:rsidRDefault="008E3302" w:rsidP="00143694">
            <w:pPr>
              <w:jc w:val="center"/>
            </w:pPr>
            <w:r w:rsidRPr="00586687">
              <w:lastRenderedPageBreak/>
              <w:t xml:space="preserve">Van </w:t>
            </w:r>
            <w:proofErr w:type="spellStart"/>
            <w:r w:rsidRPr="00586687">
              <w:t>Overtveldt</w:t>
            </w:r>
            <w:proofErr w:type="spellEnd"/>
          </w:p>
        </w:tc>
        <w:tc>
          <w:tcPr>
            <w:tcW w:w="2127" w:type="dxa"/>
            <w:shd w:val="clear" w:color="auto" w:fill="auto"/>
            <w:vAlign w:val="center"/>
          </w:tcPr>
          <w:p w14:paraId="14416657" w14:textId="44573201" w:rsidR="008E3302" w:rsidRPr="00586687" w:rsidRDefault="008E3302" w:rsidP="00143694">
            <w:pPr>
              <w:jc w:val="center"/>
              <w:rPr>
                <w:bCs/>
                <w:szCs w:val="17"/>
              </w:rPr>
            </w:pPr>
            <w:r w:rsidRPr="00586687">
              <w:rPr>
                <w:bCs/>
                <w:szCs w:val="17"/>
              </w:rPr>
              <w:t>Extrapolation</w:t>
            </w:r>
          </w:p>
        </w:tc>
        <w:tc>
          <w:tcPr>
            <w:tcW w:w="1471" w:type="dxa"/>
            <w:shd w:val="clear" w:color="auto" w:fill="auto"/>
            <w:vAlign w:val="center"/>
          </w:tcPr>
          <w:p w14:paraId="0184C246" w14:textId="77777777" w:rsidR="008E3302" w:rsidRPr="00586687" w:rsidRDefault="008E3302" w:rsidP="00143694">
            <w:pPr>
              <w:jc w:val="center"/>
              <w:rPr>
                <w:bCs/>
                <w:szCs w:val="17"/>
              </w:rPr>
            </w:pPr>
          </w:p>
          <w:p w14:paraId="2BFFDCEA" w14:textId="24972875" w:rsidR="008E3302" w:rsidRPr="00586687" w:rsidRDefault="00B55CE2" w:rsidP="00143694">
            <w:pPr>
              <w:jc w:val="center"/>
              <w:rPr>
                <w:bCs/>
                <w:szCs w:val="17"/>
              </w:rPr>
            </w:pPr>
            <w:r w:rsidRPr="00586687">
              <w:rPr>
                <w:b/>
                <w:color w:val="FF0000"/>
                <w:szCs w:val="17"/>
              </w:rPr>
              <w:t>Negative</w:t>
            </w:r>
            <w:r w:rsidRPr="00586687" w:rsidDel="00282CAD">
              <w:rPr>
                <w:bCs/>
                <w:szCs w:val="17"/>
              </w:rPr>
              <w:t xml:space="preserve"> </w:t>
            </w:r>
          </w:p>
        </w:tc>
      </w:tr>
      <w:tr w:rsidR="008E3302" w:rsidRPr="00586687" w14:paraId="3C3A28CB" w14:textId="77777777" w:rsidTr="00A2044B">
        <w:trPr>
          <w:trHeight w:val="494"/>
        </w:trPr>
        <w:tc>
          <w:tcPr>
            <w:tcW w:w="696" w:type="dxa"/>
            <w:shd w:val="clear" w:color="auto" w:fill="auto"/>
            <w:vAlign w:val="center"/>
          </w:tcPr>
          <w:p w14:paraId="2DBAF357" w14:textId="6C34940E" w:rsidR="008E3302" w:rsidRPr="00586687" w:rsidRDefault="008E3302" w:rsidP="00143694">
            <w:pPr>
              <w:jc w:val="center"/>
              <w:rPr>
                <w:bCs/>
                <w:szCs w:val="17"/>
              </w:rPr>
            </w:pPr>
            <w:r w:rsidRPr="00586687">
              <w:rPr>
                <w:bCs/>
                <w:szCs w:val="17"/>
              </w:rPr>
              <w:t>566</w:t>
            </w:r>
          </w:p>
        </w:tc>
        <w:tc>
          <w:tcPr>
            <w:tcW w:w="1931" w:type="dxa"/>
            <w:shd w:val="clear" w:color="auto" w:fill="auto"/>
            <w:vAlign w:val="center"/>
          </w:tcPr>
          <w:p w14:paraId="78162B44" w14:textId="1130E5C0" w:rsidR="008E3302" w:rsidRPr="00586687" w:rsidRDefault="008E3302" w:rsidP="00143694">
            <w:pPr>
              <w:jc w:val="center"/>
            </w:pPr>
            <w:r w:rsidRPr="00586687">
              <w:t>Article 77a – paragraph 2 – subparagraph 1</w:t>
            </w:r>
          </w:p>
        </w:tc>
        <w:tc>
          <w:tcPr>
            <w:tcW w:w="6588" w:type="dxa"/>
            <w:shd w:val="clear" w:color="auto" w:fill="auto"/>
          </w:tcPr>
          <w:p w14:paraId="74AD19E7" w14:textId="5307E275" w:rsidR="008E3302" w:rsidRPr="00586687" w:rsidRDefault="008E3302" w:rsidP="00143694">
            <w:pPr>
              <w:jc w:val="left"/>
              <w:rPr>
                <w:bCs/>
                <w:szCs w:val="17"/>
              </w:rPr>
            </w:pPr>
            <w:r w:rsidRPr="00586687">
              <w:rPr>
                <w:bCs/>
                <w:szCs w:val="17"/>
              </w:rPr>
              <w:t>Formula to calculate the extrapolated risk-free rate is included in Level 1 and proposal for a convergence speed parameter a of 18%:</w:t>
            </w:r>
          </w:p>
          <w:p w14:paraId="3D7F872B" w14:textId="77777777" w:rsidR="00B6661F" w:rsidRPr="00586687" w:rsidRDefault="00B6661F" w:rsidP="00143694">
            <w:pPr>
              <w:jc w:val="left"/>
              <w:rPr>
                <w:i/>
                <w:iCs/>
              </w:rPr>
            </w:pPr>
          </w:p>
          <w:p w14:paraId="0586C7AB" w14:textId="27C4A1CA" w:rsidR="008E3302" w:rsidRPr="00586687" w:rsidRDefault="008E3302" w:rsidP="00143694">
            <w:pPr>
              <w:jc w:val="left"/>
              <w:rPr>
                <w:i/>
                <w:szCs w:val="17"/>
              </w:rPr>
            </w:pPr>
            <w:r w:rsidRPr="00586687">
              <w:rPr>
                <w:i/>
                <w:iCs/>
              </w:rPr>
              <w:t xml:space="preserve">Justification: The Amendment specifies the method and parameters for the extrapolation of interest rates. Since this aspect is crucial for the solvency position it should be set in the </w:t>
            </w:r>
            <w:proofErr w:type="spellStart"/>
            <w:r w:rsidRPr="00586687">
              <w:rPr>
                <w:i/>
                <w:iCs/>
              </w:rPr>
              <w:t>Directive.This</w:t>
            </w:r>
            <w:proofErr w:type="spellEnd"/>
            <w:r w:rsidRPr="00586687">
              <w:rPr>
                <w:i/>
                <w:iCs/>
              </w:rPr>
              <w:t xml:space="preserve"> calibration of the extrapolation convergence speed ensures that the method is sufficiently robust.</w:t>
            </w:r>
          </w:p>
        </w:tc>
        <w:tc>
          <w:tcPr>
            <w:tcW w:w="1842" w:type="dxa"/>
            <w:shd w:val="clear" w:color="auto" w:fill="auto"/>
            <w:vAlign w:val="center"/>
          </w:tcPr>
          <w:p w14:paraId="1EA69742" w14:textId="779A23CB" w:rsidR="008E3302" w:rsidRPr="00586687" w:rsidRDefault="008E3302" w:rsidP="00143694">
            <w:pPr>
              <w:jc w:val="center"/>
            </w:pPr>
            <w:r w:rsidRPr="00586687">
              <w:t>Eroglu</w:t>
            </w:r>
          </w:p>
        </w:tc>
        <w:tc>
          <w:tcPr>
            <w:tcW w:w="2127" w:type="dxa"/>
            <w:shd w:val="clear" w:color="auto" w:fill="auto"/>
            <w:vAlign w:val="center"/>
          </w:tcPr>
          <w:p w14:paraId="780571ED" w14:textId="274608C8" w:rsidR="008E3302" w:rsidRPr="00586687" w:rsidRDefault="008E3302" w:rsidP="00143694">
            <w:pPr>
              <w:jc w:val="center"/>
              <w:rPr>
                <w:bCs/>
                <w:szCs w:val="17"/>
              </w:rPr>
            </w:pPr>
            <w:r w:rsidRPr="00586687">
              <w:rPr>
                <w:bCs/>
                <w:szCs w:val="17"/>
              </w:rPr>
              <w:t>Extrapolation</w:t>
            </w:r>
          </w:p>
        </w:tc>
        <w:tc>
          <w:tcPr>
            <w:tcW w:w="1471" w:type="dxa"/>
            <w:shd w:val="clear" w:color="auto" w:fill="auto"/>
            <w:vAlign w:val="center"/>
          </w:tcPr>
          <w:p w14:paraId="4CF5D17A" w14:textId="522D1AED" w:rsidR="008E3302" w:rsidRPr="00586687" w:rsidRDefault="008E3302" w:rsidP="00143694">
            <w:pPr>
              <w:jc w:val="center"/>
              <w:rPr>
                <w:b/>
                <w:color w:val="00B050"/>
                <w:szCs w:val="17"/>
              </w:rPr>
            </w:pPr>
            <w:r w:rsidRPr="00586687">
              <w:rPr>
                <w:b/>
                <w:color w:val="00B050"/>
                <w:szCs w:val="17"/>
              </w:rPr>
              <w:t>Positive (for convergence parameter of 18% and inclusion of formula in Level 1)</w:t>
            </w:r>
          </w:p>
          <w:p w14:paraId="0D720F03" w14:textId="77777777" w:rsidR="008E3302" w:rsidRPr="00586687" w:rsidRDefault="008E3302" w:rsidP="00143694">
            <w:pPr>
              <w:jc w:val="center"/>
              <w:rPr>
                <w:bCs/>
                <w:szCs w:val="17"/>
              </w:rPr>
            </w:pPr>
          </w:p>
          <w:p w14:paraId="03F07EB9" w14:textId="6D298086" w:rsidR="008E3302" w:rsidRPr="00586687" w:rsidRDefault="008E3302" w:rsidP="00143694">
            <w:pPr>
              <w:jc w:val="center"/>
              <w:rPr>
                <w:bCs/>
                <w:szCs w:val="17"/>
              </w:rPr>
            </w:pPr>
            <w:r w:rsidRPr="00586687">
              <w:rPr>
                <w:b/>
                <w:color w:val="FF0000"/>
                <w:szCs w:val="17"/>
              </w:rPr>
              <w:t>Negative (for no reference in Swedish Krona)</w:t>
            </w:r>
          </w:p>
        </w:tc>
      </w:tr>
      <w:tr w:rsidR="008E3302" w:rsidRPr="00586687" w14:paraId="6AC52CE9" w14:textId="77777777" w:rsidTr="00A2044B">
        <w:trPr>
          <w:trHeight w:val="494"/>
        </w:trPr>
        <w:tc>
          <w:tcPr>
            <w:tcW w:w="696" w:type="dxa"/>
            <w:shd w:val="clear" w:color="auto" w:fill="auto"/>
            <w:vAlign w:val="center"/>
          </w:tcPr>
          <w:p w14:paraId="1E3BC652" w14:textId="580FB1EC" w:rsidR="008E3302" w:rsidRPr="00586687" w:rsidRDefault="008E3302" w:rsidP="00143694">
            <w:pPr>
              <w:jc w:val="center"/>
              <w:rPr>
                <w:bCs/>
                <w:szCs w:val="17"/>
              </w:rPr>
            </w:pPr>
            <w:r w:rsidRPr="00586687">
              <w:rPr>
                <w:bCs/>
                <w:szCs w:val="17"/>
              </w:rPr>
              <w:t>567</w:t>
            </w:r>
          </w:p>
        </w:tc>
        <w:tc>
          <w:tcPr>
            <w:tcW w:w="1931" w:type="dxa"/>
            <w:shd w:val="clear" w:color="auto" w:fill="auto"/>
            <w:vAlign w:val="center"/>
          </w:tcPr>
          <w:p w14:paraId="7633F1B5" w14:textId="45C3026F" w:rsidR="008E3302" w:rsidRPr="00586687" w:rsidRDefault="008E3302" w:rsidP="00143694">
            <w:pPr>
              <w:jc w:val="center"/>
            </w:pPr>
            <w:r w:rsidRPr="00586687">
              <w:t xml:space="preserve">Article 77a – paragraph 2 – </w:t>
            </w:r>
            <w:proofErr w:type="spellStart"/>
            <w:r w:rsidRPr="00586687">
              <w:t>subparagaph</w:t>
            </w:r>
            <w:proofErr w:type="spellEnd"/>
            <w:r w:rsidRPr="00586687">
              <w:t xml:space="preserve"> 1</w:t>
            </w:r>
          </w:p>
        </w:tc>
        <w:tc>
          <w:tcPr>
            <w:tcW w:w="6588" w:type="dxa"/>
            <w:shd w:val="clear" w:color="auto" w:fill="auto"/>
          </w:tcPr>
          <w:p w14:paraId="41CC9641" w14:textId="7D6302A9" w:rsidR="008E3302" w:rsidRPr="00586687" w:rsidRDefault="008E3302" w:rsidP="00143694">
            <w:pPr>
              <w:jc w:val="left"/>
              <w:rPr>
                <w:bCs/>
                <w:szCs w:val="17"/>
              </w:rPr>
            </w:pPr>
            <w:r w:rsidRPr="00586687">
              <w:rPr>
                <w:bCs/>
                <w:szCs w:val="17"/>
              </w:rPr>
              <w:t xml:space="preserve">Amendment noting that the parameters determining the speed of convergence of the forward rates towards the UFR shall take into account </w:t>
            </w:r>
            <w:r w:rsidR="00430BF4" w:rsidRPr="00586687">
              <w:rPr>
                <w:bCs/>
                <w:szCs w:val="17"/>
              </w:rPr>
              <w:t>‘</w:t>
            </w:r>
            <w:r w:rsidRPr="00586687">
              <w:rPr>
                <w:bCs/>
                <w:szCs w:val="17"/>
              </w:rPr>
              <w:t>the level of the interest rates at the first smoothing point</w:t>
            </w:r>
            <w:r w:rsidR="00430BF4" w:rsidRPr="00586687">
              <w:rPr>
                <w:bCs/>
                <w:szCs w:val="17"/>
              </w:rPr>
              <w:t>’</w:t>
            </w:r>
            <w:r w:rsidRPr="00586687">
              <w:rPr>
                <w:bCs/>
                <w:szCs w:val="17"/>
              </w:rPr>
              <w:t>. Moreover, the final parameters should be applied as of 1 January 2030 instead of 2032.</w:t>
            </w:r>
          </w:p>
        </w:tc>
        <w:tc>
          <w:tcPr>
            <w:tcW w:w="1842" w:type="dxa"/>
            <w:shd w:val="clear" w:color="auto" w:fill="auto"/>
            <w:vAlign w:val="center"/>
          </w:tcPr>
          <w:p w14:paraId="60AD0BDC" w14:textId="55F7E8EB" w:rsidR="008E3302" w:rsidRPr="00586687" w:rsidRDefault="008E3302" w:rsidP="00143694">
            <w:pPr>
              <w:jc w:val="center"/>
            </w:pPr>
            <w:r w:rsidRPr="00586687">
              <w:t xml:space="preserve">Hahn </w:t>
            </w:r>
          </w:p>
        </w:tc>
        <w:tc>
          <w:tcPr>
            <w:tcW w:w="2127" w:type="dxa"/>
            <w:shd w:val="clear" w:color="auto" w:fill="auto"/>
            <w:vAlign w:val="center"/>
          </w:tcPr>
          <w:p w14:paraId="69ACE55D" w14:textId="1DB5179D" w:rsidR="008E3302" w:rsidRPr="00586687" w:rsidRDefault="008E3302" w:rsidP="00143694">
            <w:pPr>
              <w:jc w:val="center"/>
              <w:rPr>
                <w:bCs/>
                <w:szCs w:val="17"/>
              </w:rPr>
            </w:pPr>
            <w:r w:rsidRPr="00586687">
              <w:rPr>
                <w:bCs/>
                <w:szCs w:val="17"/>
              </w:rPr>
              <w:t>Extrapolation</w:t>
            </w:r>
          </w:p>
        </w:tc>
        <w:tc>
          <w:tcPr>
            <w:tcW w:w="1471" w:type="dxa"/>
            <w:shd w:val="clear" w:color="auto" w:fill="auto"/>
            <w:vAlign w:val="center"/>
          </w:tcPr>
          <w:p w14:paraId="28E816F3" w14:textId="1D5F5BF4" w:rsidR="008E3302" w:rsidRPr="00586687" w:rsidRDefault="00B55CE2" w:rsidP="00143694">
            <w:pPr>
              <w:jc w:val="center"/>
              <w:rPr>
                <w:bCs/>
                <w:szCs w:val="17"/>
              </w:rPr>
            </w:pPr>
            <w:r w:rsidRPr="00586687">
              <w:rPr>
                <w:b/>
                <w:color w:val="FF0000"/>
                <w:szCs w:val="17"/>
              </w:rPr>
              <w:t>Negative</w:t>
            </w:r>
          </w:p>
        </w:tc>
      </w:tr>
      <w:tr w:rsidR="008E3302" w:rsidRPr="00586687" w14:paraId="2697F589" w14:textId="77777777" w:rsidTr="00A2044B">
        <w:trPr>
          <w:trHeight w:val="494"/>
        </w:trPr>
        <w:tc>
          <w:tcPr>
            <w:tcW w:w="696" w:type="dxa"/>
            <w:shd w:val="clear" w:color="auto" w:fill="auto"/>
            <w:vAlign w:val="center"/>
          </w:tcPr>
          <w:p w14:paraId="2958CF2C" w14:textId="3236D4DC" w:rsidR="008E3302" w:rsidRPr="00586687" w:rsidRDefault="008E3302" w:rsidP="00143694">
            <w:pPr>
              <w:jc w:val="center"/>
              <w:rPr>
                <w:bCs/>
                <w:szCs w:val="17"/>
              </w:rPr>
            </w:pPr>
            <w:r w:rsidRPr="00586687">
              <w:rPr>
                <w:bCs/>
                <w:szCs w:val="17"/>
              </w:rPr>
              <w:t>568</w:t>
            </w:r>
          </w:p>
        </w:tc>
        <w:tc>
          <w:tcPr>
            <w:tcW w:w="1931" w:type="dxa"/>
            <w:shd w:val="clear" w:color="auto" w:fill="auto"/>
            <w:vAlign w:val="center"/>
          </w:tcPr>
          <w:p w14:paraId="4F108D72" w14:textId="0C6B77FB" w:rsidR="008E3302" w:rsidRPr="00586687" w:rsidRDefault="008E3302" w:rsidP="00143694">
            <w:pPr>
              <w:jc w:val="center"/>
            </w:pPr>
            <w:r w:rsidRPr="00586687">
              <w:t>Article 77a – paragraph 2 – subparagraph 1</w:t>
            </w:r>
          </w:p>
        </w:tc>
        <w:tc>
          <w:tcPr>
            <w:tcW w:w="6588" w:type="dxa"/>
            <w:shd w:val="clear" w:color="auto" w:fill="auto"/>
          </w:tcPr>
          <w:p w14:paraId="490F2CAC" w14:textId="009AB980" w:rsidR="008E3302" w:rsidRPr="00586687" w:rsidRDefault="008E3302" w:rsidP="00143694">
            <w:pPr>
              <w:jc w:val="left"/>
              <w:rPr>
                <w:bCs/>
                <w:szCs w:val="17"/>
              </w:rPr>
            </w:pPr>
            <w:r w:rsidRPr="00586687">
              <w:rPr>
                <w:bCs/>
                <w:szCs w:val="17"/>
              </w:rPr>
              <w:t>Editorial</w:t>
            </w:r>
          </w:p>
        </w:tc>
        <w:tc>
          <w:tcPr>
            <w:tcW w:w="1842" w:type="dxa"/>
            <w:shd w:val="clear" w:color="auto" w:fill="auto"/>
            <w:vAlign w:val="center"/>
          </w:tcPr>
          <w:p w14:paraId="6631AFA7" w14:textId="3A88D7A8" w:rsidR="008E3302" w:rsidRPr="00586687" w:rsidRDefault="008E3302" w:rsidP="00143694">
            <w:pPr>
              <w:jc w:val="center"/>
            </w:pPr>
            <w:r w:rsidRPr="00586687">
              <w:t>Yon-Courtin, Boyer</w:t>
            </w:r>
          </w:p>
        </w:tc>
        <w:tc>
          <w:tcPr>
            <w:tcW w:w="2127" w:type="dxa"/>
            <w:shd w:val="clear" w:color="auto" w:fill="auto"/>
            <w:vAlign w:val="center"/>
          </w:tcPr>
          <w:p w14:paraId="1B2C8C76" w14:textId="32D20352" w:rsidR="008E3302" w:rsidRPr="00586687" w:rsidRDefault="008E3302" w:rsidP="00143694">
            <w:pPr>
              <w:jc w:val="center"/>
              <w:rPr>
                <w:bCs/>
                <w:szCs w:val="17"/>
              </w:rPr>
            </w:pPr>
            <w:r w:rsidRPr="00586687">
              <w:rPr>
                <w:bCs/>
                <w:szCs w:val="17"/>
              </w:rPr>
              <w:t>Extrapolation</w:t>
            </w:r>
          </w:p>
        </w:tc>
        <w:tc>
          <w:tcPr>
            <w:tcW w:w="1471" w:type="dxa"/>
            <w:shd w:val="clear" w:color="auto" w:fill="auto"/>
            <w:vAlign w:val="center"/>
          </w:tcPr>
          <w:p w14:paraId="171548D6" w14:textId="54789D49" w:rsidR="008E3302" w:rsidRPr="00586687" w:rsidRDefault="008E3302" w:rsidP="00143694">
            <w:pPr>
              <w:jc w:val="center"/>
              <w:rPr>
                <w:bCs/>
                <w:szCs w:val="17"/>
              </w:rPr>
            </w:pPr>
          </w:p>
        </w:tc>
      </w:tr>
      <w:tr w:rsidR="008E3302" w:rsidRPr="00586687" w14:paraId="0666E578" w14:textId="77777777" w:rsidTr="00A2044B">
        <w:trPr>
          <w:trHeight w:val="494"/>
        </w:trPr>
        <w:tc>
          <w:tcPr>
            <w:tcW w:w="696" w:type="dxa"/>
            <w:shd w:val="clear" w:color="auto" w:fill="auto"/>
            <w:vAlign w:val="center"/>
          </w:tcPr>
          <w:p w14:paraId="2EB360A9" w14:textId="712FDE86" w:rsidR="008E3302" w:rsidRPr="00586687" w:rsidRDefault="008E3302" w:rsidP="00143694">
            <w:pPr>
              <w:jc w:val="center"/>
              <w:rPr>
                <w:bCs/>
                <w:szCs w:val="17"/>
              </w:rPr>
            </w:pPr>
            <w:r w:rsidRPr="00586687">
              <w:rPr>
                <w:bCs/>
                <w:szCs w:val="17"/>
              </w:rPr>
              <w:t>569</w:t>
            </w:r>
          </w:p>
        </w:tc>
        <w:tc>
          <w:tcPr>
            <w:tcW w:w="1931" w:type="dxa"/>
            <w:shd w:val="clear" w:color="auto" w:fill="auto"/>
            <w:vAlign w:val="center"/>
          </w:tcPr>
          <w:p w14:paraId="32900FB5" w14:textId="33453AA3" w:rsidR="008E3302" w:rsidRPr="00586687" w:rsidRDefault="008E3302" w:rsidP="00143694">
            <w:pPr>
              <w:jc w:val="center"/>
            </w:pPr>
            <w:r w:rsidRPr="00586687">
              <w:t>Article 77a – paragraph 2 – subparagraph 1</w:t>
            </w:r>
          </w:p>
        </w:tc>
        <w:tc>
          <w:tcPr>
            <w:tcW w:w="6588" w:type="dxa"/>
            <w:shd w:val="clear" w:color="auto" w:fill="auto"/>
          </w:tcPr>
          <w:p w14:paraId="5BB76433" w14:textId="686F085C" w:rsidR="008E3302" w:rsidRPr="00586687" w:rsidRDefault="008E3302" w:rsidP="00143694">
            <w:pPr>
              <w:jc w:val="left"/>
              <w:rPr>
                <w:bCs/>
                <w:szCs w:val="17"/>
              </w:rPr>
            </w:pPr>
            <w:r w:rsidRPr="00586687">
              <w:rPr>
                <w:bCs/>
                <w:szCs w:val="17"/>
              </w:rPr>
              <w:t>Earlier application date of the final parameters set to 1 January 202</w:t>
            </w:r>
            <w:r w:rsidR="00587929" w:rsidRPr="00586687">
              <w:rPr>
                <w:bCs/>
                <w:szCs w:val="17"/>
              </w:rPr>
              <w:t>9</w:t>
            </w:r>
            <w:r w:rsidRPr="00586687">
              <w:rPr>
                <w:bCs/>
                <w:szCs w:val="17"/>
              </w:rPr>
              <w:t xml:space="preserve"> instead of 2032.</w:t>
            </w:r>
          </w:p>
        </w:tc>
        <w:tc>
          <w:tcPr>
            <w:tcW w:w="1842" w:type="dxa"/>
            <w:shd w:val="clear" w:color="auto" w:fill="auto"/>
            <w:vAlign w:val="center"/>
          </w:tcPr>
          <w:p w14:paraId="258BE361" w14:textId="41451E68" w:rsidR="008E3302" w:rsidRPr="00586687" w:rsidRDefault="008E3302" w:rsidP="00143694">
            <w:pPr>
              <w:jc w:val="center"/>
            </w:pPr>
            <w:proofErr w:type="spellStart"/>
            <w:r w:rsidRPr="00586687">
              <w:t>Heinäluoma</w:t>
            </w:r>
            <w:proofErr w:type="spellEnd"/>
            <w:r w:rsidRPr="00586687">
              <w:t xml:space="preserve">, Tang, Fernández, </w:t>
            </w:r>
            <w:proofErr w:type="spellStart"/>
            <w:r w:rsidRPr="00586687">
              <w:t>Lalucq</w:t>
            </w:r>
            <w:proofErr w:type="spellEnd"/>
          </w:p>
        </w:tc>
        <w:tc>
          <w:tcPr>
            <w:tcW w:w="2127" w:type="dxa"/>
            <w:shd w:val="clear" w:color="auto" w:fill="auto"/>
            <w:vAlign w:val="center"/>
          </w:tcPr>
          <w:p w14:paraId="029EB478" w14:textId="441807AC" w:rsidR="008E3302" w:rsidRPr="00586687" w:rsidRDefault="008E3302" w:rsidP="00143694">
            <w:pPr>
              <w:jc w:val="center"/>
              <w:rPr>
                <w:bCs/>
                <w:szCs w:val="17"/>
              </w:rPr>
            </w:pPr>
            <w:r w:rsidRPr="00586687">
              <w:rPr>
                <w:bCs/>
                <w:szCs w:val="17"/>
              </w:rPr>
              <w:t>Extrapolation</w:t>
            </w:r>
          </w:p>
        </w:tc>
        <w:tc>
          <w:tcPr>
            <w:tcW w:w="1471" w:type="dxa"/>
            <w:shd w:val="clear" w:color="auto" w:fill="auto"/>
            <w:vAlign w:val="center"/>
          </w:tcPr>
          <w:p w14:paraId="1D7E03DD" w14:textId="5DF2AE74" w:rsidR="008E3302" w:rsidRPr="00586687" w:rsidRDefault="001F6A2A" w:rsidP="00143694">
            <w:pPr>
              <w:jc w:val="center"/>
              <w:rPr>
                <w:bCs/>
                <w:szCs w:val="17"/>
              </w:rPr>
            </w:pPr>
            <w:r w:rsidRPr="00586687">
              <w:rPr>
                <w:b/>
                <w:color w:val="808080" w:themeColor="background1" w:themeShade="80"/>
                <w:szCs w:val="17"/>
              </w:rPr>
              <w:t>Neutral</w:t>
            </w:r>
          </w:p>
        </w:tc>
      </w:tr>
      <w:tr w:rsidR="008E3302" w:rsidRPr="00586687" w14:paraId="71E62933" w14:textId="77777777" w:rsidTr="00A2044B">
        <w:trPr>
          <w:trHeight w:val="494"/>
        </w:trPr>
        <w:tc>
          <w:tcPr>
            <w:tcW w:w="696" w:type="dxa"/>
            <w:shd w:val="clear" w:color="auto" w:fill="auto"/>
            <w:vAlign w:val="center"/>
          </w:tcPr>
          <w:p w14:paraId="347DEF35" w14:textId="5C10ED16" w:rsidR="008E3302" w:rsidRPr="00586687" w:rsidRDefault="008E3302" w:rsidP="00143694">
            <w:pPr>
              <w:jc w:val="center"/>
              <w:rPr>
                <w:bCs/>
                <w:szCs w:val="17"/>
              </w:rPr>
            </w:pPr>
            <w:r w:rsidRPr="00586687">
              <w:rPr>
                <w:bCs/>
                <w:szCs w:val="17"/>
              </w:rPr>
              <w:t>570</w:t>
            </w:r>
          </w:p>
        </w:tc>
        <w:tc>
          <w:tcPr>
            <w:tcW w:w="1931" w:type="dxa"/>
            <w:shd w:val="clear" w:color="auto" w:fill="auto"/>
            <w:vAlign w:val="center"/>
          </w:tcPr>
          <w:p w14:paraId="5E4E8A16" w14:textId="2D53705B" w:rsidR="008E3302" w:rsidRPr="00586687" w:rsidRDefault="008E3302" w:rsidP="00143694">
            <w:pPr>
              <w:jc w:val="center"/>
            </w:pPr>
            <w:r w:rsidRPr="00586687">
              <w:t>Article 77a – paragraph 2 a (new)</w:t>
            </w:r>
          </w:p>
        </w:tc>
        <w:tc>
          <w:tcPr>
            <w:tcW w:w="6588" w:type="dxa"/>
            <w:shd w:val="clear" w:color="auto" w:fill="auto"/>
          </w:tcPr>
          <w:p w14:paraId="061452ED" w14:textId="728B7AF8" w:rsidR="008E3302" w:rsidRPr="00586687" w:rsidRDefault="008E3302" w:rsidP="00143694">
            <w:pPr>
              <w:jc w:val="left"/>
              <w:rPr>
                <w:bCs/>
                <w:szCs w:val="17"/>
              </w:rPr>
            </w:pPr>
            <w:r w:rsidRPr="00586687">
              <w:rPr>
                <w:bCs/>
                <w:szCs w:val="17"/>
              </w:rPr>
              <w:t>Requirement for undertakings to disclose the impact of the convergence parameter at 5%</w:t>
            </w:r>
            <w:r w:rsidR="00D56552" w:rsidRPr="00586687">
              <w:rPr>
                <w:bCs/>
                <w:szCs w:val="17"/>
              </w:rPr>
              <w:t xml:space="preserve"> in the SFCR</w:t>
            </w:r>
            <w:r w:rsidRPr="00586687">
              <w:rPr>
                <w:bCs/>
                <w:szCs w:val="17"/>
              </w:rPr>
              <w:t xml:space="preserve">, and in case of non-compliance with SCR, they should provide evidence to </w:t>
            </w:r>
            <w:r w:rsidR="00873C99" w:rsidRPr="00586687">
              <w:rPr>
                <w:bCs/>
                <w:szCs w:val="17"/>
              </w:rPr>
              <w:t>NSA/</w:t>
            </w:r>
            <w:r w:rsidRPr="00586687">
              <w:rPr>
                <w:bCs/>
                <w:szCs w:val="17"/>
              </w:rPr>
              <w:t xml:space="preserve"> EIOPA that any voluntary capital distribution does not pose a risk for the protection of policyholders.</w:t>
            </w:r>
          </w:p>
        </w:tc>
        <w:tc>
          <w:tcPr>
            <w:tcW w:w="1842" w:type="dxa"/>
            <w:shd w:val="clear" w:color="auto" w:fill="auto"/>
            <w:vAlign w:val="center"/>
          </w:tcPr>
          <w:p w14:paraId="54BDF4E9" w14:textId="7F221869" w:rsidR="008E3302" w:rsidRPr="00586687" w:rsidRDefault="008E3302" w:rsidP="00143694">
            <w:pPr>
              <w:jc w:val="center"/>
            </w:pPr>
            <w:proofErr w:type="spellStart"/>
            <w:r w:rsidRPr="00586687">
              <w:t>Heinäluoma</w:t>
            </w:r>
            <w:proofErr w:type="spellEnd"/>
            <w:r w:rsidRPr="00586687">
              <w:t xml:space="preserve">, Tang, Fernández, </w:t>
            </w:r>
            <w:proofErr w:type="spellStart"/>
            <w:r w:rsidRPr="00586687">
              <w:t>Lalucq</w:t>
            </w:r>
            <w:proofErr w:type="spellEnd"/>
          </w:p>
        </w:tc>
        <w:tc>
          <w:tcPr>
            <w:tcW w:w="2127" w:type="dxa"/>
            <w:shd w:val="clear" w:color="auto" w:fill="auto"/>
            <w:vAlign w:val="center"/>
          </w:tcPr>
          <w:p w14:paraId="16696BEF" w14:textId="715C7187" w:rsidR="008E3302" w:rsidRPr="00586687" w:rsidRDefault="008E3302" w:rsidP="00143694">
            <w:pPr>
              <w:jc w:val="center"/>
              <w:rPr>
                <w:bCs/>
                <w:szCs w:val="17"/>
              </w:rPr>
            </w:pPr>
            <w:r w:rsidRPr="00586687">
              <w:rPr>
                <w:bCs/>
                <w:szCs w:val="17"/>
              </w:rPr>
              <w:t>Extrapolation</w:t>
            </w:r>
            <w:r w:rsidR="00D56552" w:rsidRPr="00586687">
              <w:rPr>
                <w:bCs/>
                <w:szCs w:val="17"/>
              </w:rPr>
              <w:t>/reporting</w:t>
            </w:r>
          </w:p>
        </w:tc>
        <w:tc>
          <w:tcPr>
            <w:tcW w:w="1471" w:type="dxa"/>
            <w:shd w:val="clear" w:color="auto" w:fill="auto"/>
            <w:vAlign w:val="center"/>
          </w:tcPr>
          <w:p w14:paraId="655E68C5" w14:textId="578EC4E5" w:rsidR="008E3302" w:rsidRPr="00586687" w:rsidRDefault="00B55CE2" w:rsidP="00143694">
            <w:pPr>
              <w:jc w:val="center"/>
              <w:rPr>
                <w:bCs/>
                <w:szCs w:val="17"/>
              </w:rPr>
            </w:pPr>
            <w:r w:rsidRPr="00586687">
              <w:rPr>
                <w:b/>
                <w:color w:val="FF0000"/>
                <w:szCs w:val="17"/>
              </w:rPr>
              <w:t>Negative</w:t>
            </w:r>
          </w:p>
        </w:tc>
      </w:tr>
      <w:tr w:rsidR="008E3302" w:rsidRPr="00586687" w14:paraId="34D7DD50" w14:textId="77777777" w:rsidTr="00A2044B">
        <w:trPr>
          <w:trHeight w:val="494"/>
        </w:trPr>
        <w:tc>
          <w:tcPr>
            <w:tcW w:w="696" w:type="dxa"/>
            <w:shd w:val="clear" w:color="auto" w:fill="auto"/>
            <w:vAlign w:val="center"/>
          </w:tcPr>
          <w:p w14:paraId="25C78F5A" w14:textId="749A3F46" w:rsidR="008E3302" w:rsidRPr="00586687" w:rsidRDefault="008E3302" w:rsidP="00143694">
            <w:pPr>
              <w:jc w:val="center"/>
              <w:rPr>
                <w:bCs/>
                <w:szCs w:val="17"/>
              </w:rPr>
            </w:pPr>
            <w:r w:rsidRPr="00586687">
              <w:rPr>
                <w:bCs/>
                <w:szCs w:val="17"/>
              </w:rPr>
              <w:t>571</w:t>
            </w:r>
          </w:p>
        </w:tc>
        <w:tc>
          <w:tcPr>
            <w:tcW w:w="1931" w:type="dxa"/>
            <w:shd w:val="clear" w:color="auto" w:fill="auto"/>
            <w:vAlign w:val="center"/>
          </w:tcPr>
          <w:p w14:paraId="73D3330E" w14:textId="7FC5E41F" w:rsidR="008E3302" w:rsidRPr="00586687" w:rsidRDefault="008E3302" w:rsidP="00143694">
            <w:pPr>
              <w:jc w:val="center"/>
            </w:pPr>
            <w:r w:rsidRPr="00586687">
              <w:t>Article 77a – paragraph 2 a (new)</w:t>
            </w:r>
          </w:p>
        </w:tc>
        <w:tc>
          <w:tcPr>
            <w:tcW w:w="6588" w:type="dxa"/>
            <w:shd w:val="clear" w:color="auto" w:fill="auto"/>
          </w:tcPr>
          <w:p w14:paraId="1431F290" w14:textId="77777777" w:rsidR="008E3302" w:rsidRPr="00586687" w:rsidRDefault="008E3302" w:rsidP="00143694">
            <w:pPr>
              <w:jc w:val="left"/>
              <w:rPr>
                <w:bCs/>
                <w:szCs w:val="17"/>
              </w:rPr>
            </w:pPr>
            <w:r w:rsidRPr="00586687">
              <w:rPr>
                <w:bCs/>
                <w:szCs w:val="17"/>
              </w:rPr>
              <w:t>EIOPA to verify whether market conditions have changed since the last recalculation of the speed of the convergence parameter.</w:t>
            </w:r>
          </w:p>
          <w:p w14:paraId="5696BDB7" w14:textId="77777777" w:rsidR="008E3302" w:rsidRPr="00586687" w:rsidRDefault="008E3302" w:rsidP="00143694">
            <w:pPr>
              <w:jc w:val="left"/>
              <w:rPr>
                <w:bCs/>
                <w:szCs w:val="17"/>
              </w:rPr>
            </w:pPr>
          </w:p>
          <w:p w14:paraId="085A853E" w14:textId="7146D01C" w:rsidR="008E3302" w:rsidRPr="00586687" w:rsidRDefault="008E3302" w:rsidP="00143694">
            <w:pPr>
              <w:jc w:val="left"/>
              <w:rPr>
                <w:i/>
                <w:szCs w:val="17"/>
              </w:rPr>
            </w:pPr>
            <w:r w:rsidRPr="00586687">
              <w:rPr>
                <w:i/>
                <w:iCs/>
              </w:rPr>
              <w:t xml:space="preserve">Justification: Insurance and reinsurance undertakings should be given legal certainty in the determination of the relevant risk-free interest rate </w:t>
            </w:r>
            <w:r w:rsidRPr="00586687">
              <w:rPr>
                <w:i/>
                <w:iCs/>
              </w:rPr>
              <w:lastRenderedPageBreak/>
              <w:t>term structure which should be tailored to current market conditions.</w:t>
            </w:r>
          </w:p>
        </w:tc>
        <w:tc>
          <w:tcPr>
            <w:tcW w:w="1842" w:type="dxa"/>
            <w:shd w:val="clear" w:color="auto" w:fill="auto"/>
            <w:vAlign w:val="center"/>
          </w:tcPr>
          <w:p w14:paraId="13B65765" w14:textId="2D33C451" w:rsidR="008E3302" w:rsidRPr="00586687" w:rsidRDefault="008E3302" w:rsidP="00143694">
            <w:pPr>
              <w:jc w:val="center"/>
            </w:pPr>
            <w:r w:rsidRPr="00586687">
              <w:lastRenderedPageBreak/>
              <w:t>Yon-Courtin, Boyer</w:t>
            </w:r>
          </w:p>
        </w:tc>
        <w:tc>
          <w:tcPr>
            <w:tcW w:w="2127" w:type="dxa"/>
            <w:shd w:val="clear" w:color="auto" w:fill="auto"/>
            <w:vAlign w:val="center"/>
          </w:tcPr>
          <w:p w14:paraId="55437630" w14:textId="10C9E8BD" w:rsidR="008E3302" w:rsidRPr="00586687" w:rsidRDefault="008E3302" w:rsidP="00143694">
            <w:pPr>
              <w:jc w:val="center"/>
              <w:rPr>
                <w:bCs/>
                <w:szCs w:val="17"/>
              </w:rPr>
            </w:pPr>
            <w:r w:rsidRPr="00586687">
              <w:rPr>
                <w:bCs/>
                <w:szCs w:val="17"/>
              </w:rPr>
              <w:t>Extrapolation/EIOPA powers</w:t>
            </w:r>
          </w:p>
        </w:tc>
        <w:tc>
          <w:tcPr>
            <w:tcW w:w="1471" w:type="dxa"/>
            <w:shd w:val="clear" w:color="auto" w:fill="auto"/>
            <w:vAlign w:val="center"/>
          </w:tcPr>
          <w:p w14:paraId="1819E7A2" w14:textId="416940D4" w:rsidR="008E3302" w:rsidRPr="00586687" w:rsidRDefault="00B55CE2" w:rsidP="00143694">
            <w:pPr>
              <w:jc w:val="center"/>
              <w:rPr>
                <w:bCs/>
                <w:szCs w:val="17"/>
                <w:highlight w:val="yellow"/>
              </w:rPr>
            </w:pPr>
            <w:r w:rsidRPr="00586687">
              <w:rPr>
                <w:b/>
                <w:color w:val="FF0000"/>
                <w:szCs w:val="17"/>
              </w:rPr>
              <w:t>Negative</w:t>
            </w:r>
          </w:p>
        </w:tc>
      </w:tr>
      <w:tr w:rsidR="008E3302" w:rsidRPr="00586687" w14:paraId="0DDDA287" w14:textId="77777777" w:rsidTr="00A2044B">
        <w:trPr>
          <w:trHeight w:val="494"/>
        </w:trPr>
        <w:tc>
          <w:tcPr>
            <w:tcW w:w="696" w:type="dxa"/>
            <w:shd w:val="clear" w:color="auto" w:fill="auto"/>
            <w:vAlign w:val="center"/>
          </w:tcPr>
          <w:p w14:paraId="58520706" w14:textId="53347884" w:rsidR="008E3302" w:rsidRPr="00586687" w:rsidRDefault="008E3302" w:rsidP="00143694">
            <w:pPr>
              <w:jc w:val="center"/>
              <w:rPr>
                <w:bCs/>
                <w:szCs w:val="17"/>
              </w:rPr>
            </w:pPr>
            <w:r w:rsidRPr="00586687">
              <w:rPr>
                <w:bCs/>
                <w:szCs w:val="17"/>
              </w:rPr>
              <w:t>572-</w:t>
            </w:r>
            <w:r w:rsidR="00F42663" w:rsidRPr="00586687">
              <w:rPr>
                <w:bCs/>
                <w:szCs w:val="17"/>
              </w:rPr>
              <w:t>573-</w:t>
            </w:r>
            <w:r w:rsidRPr="00586687">
              <w:rPr>
                <w:bCs/>
                <w:szCs w:val="17"/>
              </w:rPr>
              <w:t>574</w:t>
            </w:r>
          </w:p>
        </w:tc>
        <w:tc>
          <w:tcPr>
            <w:tcW w:w="1931" w:type="dxa"/>
            <w:shd w:val="clear" w:color="auto" w:fill="auto"/>
            <w:vAlign w:val="center"/>
          </w:tcPr>
          <w:p w14:paraId="5DE45D86" w14:textId="61B9B2DB" w:rsidR="008E3302" w:rsidRPr="00586687" w:rsidRDefault="008E3302" w:rsidP="00143694">
            <w:pPr>
              <w:jc w:val="center"/>
            </w:pPr>
            <w:r w:rsidRPr="00586687">
              <w:t xml:space="preserve">Article 77b – paragraph 1 – subparagraph 1 – point a, point a </w:t>
            </w:r>
            <w:proofErr w:type="spellStart"/>
            <w:r w:rsidRPr="00586687">
              <w:t>a</w:t>
            </w:r>
            <w:proofErr w:type="spellEnd"/>
            <w:r w:rsidRPr="00586687">
              <w:t xml:space="preserve"> (new)</w:t>
            </w:r>
          </w:p>
        </w:tc>
        <w:tc>
          <w:tcPr>
            <w:tcW w:w="6588" w:type="dxa"/>
            <w:shd w:val="clear" w:color="auto" w:fill="auto"/>
          </w:tcPr>
          <w:p w14:paraId="2A02819D" w14:textId="320309FF" w:rsidR="008E3302" w:rsidRPr="00586687" w:rsidRDefault="008E3302" w:rsidP="00143694">
            <w:pPr>
              <w:jc w:val="left"/>
              <w:rPr>
                <w:bCs/>
                <w:szCs w:val="17"/>
              </w:rPr>
            </w:pPr>
            <w:r w:rsidRPr="00586687">
              <w:rPr>
                <w:bCs/>
                <w:szCs w:val="17"/>
              </w:rPr>
              <w:t xml:space="preserve">Assets in fuel companies, activities, reserves and fossil fuel power plants (572), fossil sectors (574) and crypto-assets (573) are not eligible to be used to cover an undertaking’s best estimate, when aiming to apply a </w:t>
            </w:r>
            <w:r w:rsidR="00993BE9" w:rsidRPr="00586687">
              <w:rPr>
                <w:bCs/>
                <w:szCs w:val="17"/>
              </w:rPr>
              <w:t>MA</w:t>
            </w:r>
            <w:r w:rsidRPr="00586687">
              <w:rPr>
                <w:bCs/>
                <w:szCs w:val="17"/>
              </w:rPr>
              <w:t xml:space="preserve"> to the relevant risk-free interest rate.</w:t>
            </w:r>
          </w:p>
          <w:p w14:paraId="70AE997E" w14:textId="77777777" w:rsidR="008E3302" w:rsidRPr="00586687" w:rsidRDefault="008E3302" w:rsidP="00143694">
            <w:pPr>
              <w:jc w:val="left"/>
              <w:rPr>
                <w:bCs/>
                <w:szCs w:val="17"/>
              </w:rPr>
            </w:pPr>
          </w:p>
          <w:p w14:paraId="1C12E94D" w14:textId="77777777" w:rsidR="008E3302" w:rsidRPr="00586687" w:rsidRDefault="008E3302" w:rsidP="00143694">
            <w:pPr>
              <w:jc w:val="left"/>
              <w:rPr>
                <w:i/>
                <w:iCs/>
              </w:rPr>
            </w:pPr>
            <w:r w:rsidRPr="00586687">
              <w:rPr>
                <w:i/>
                <w:iCs/>
              </w:rPr>
              <w:t>Justification (572): Given the micro- and macro-financial risks associated with fossil fuel assets, such assets should not be relevant for the matching adjustment.</w:t>
            </w:r>
          </w:p>
          <w:p w14:paraId="630EF080" w14:textId="77777777" w:rsidR="008E3302" w:rsidRPr="00586687" w:rsidRDefault="008E3302" w:rsidP="00143694">
            <w:pPr>
              <w:jc w:val="left"/>
              <w:rPr>
                <w:i/>
                <w:iCs/>
              </w:rPr>
            </w:pPr>
          </w:p>
          <w:p w14:paraId="1CE4D08C" w14:textId="76F75060" w:rsidR="008E3302" w:rsidRPr="00586687" w:rsidRDefault="008E3302" w:rsidP="00143694">
            <w:pPr>
              <w:jc w:val="left"/>
              <w:rPr>
                <w:i/>
                <w:szCs w:val="17"/>
              </w:rPr>
            </w:pPr>
            <w:r w:rsidRPr="00586687">
              <w:rPr>
                <w:bCs/>
                <w:i/>
                <w:iCs/>
                <w:szCs w:val="17"/>
              </w:rPr>
              <w:t>Justification (574): Matching adjustments are meant to match long-term assets to long-term liabilities. Considering the long-term transition risks associated with the fossil sectors, assets with exposure to that sector shall not be eligible.</w:t>
            </w:r>
          </w:p>
        </w:tc>
        <w:tc>
          <w:tcPr>
            <w:tcW w:w="1842" w:type="dxa"/>
            <w:shd w:val="clear" w:color="auto" w:fill="auto"/>
            <w:vAlign w:val="center"/>
          </w:tcPr>
          <w:p w14:paraId="11214FCC" w14:textId="22AF661A" w:rsidR="008E3302" w:rsidRPr="00586687" w:rsidRDefault="008E3302" w:rsidP="00143694">
            <w:pPr>
              <w:jc w:val="center"/>
            </w:pPr>
            <w:r w:rsidRPr="00586687">
              <w:t xml:space="preserve">MacManus, Hahn </w:t>
            </w:r>
            <w:r w:rsidR="008E4DCA" w:rsidRPr="00586687">
              <w:t>/</w:t>
            </w:r>
            <w:r w:rsidRPr="00586687">
              <w:t>Tang</w:t>
            </w:r>
          </w:p>
        </w:tc>
        <w:tc>
          <w:tcPr>
            <w:tcW w:w="2127" w:type="dxa"/>
            <w:shd w:val="clear" w:color="auto" w:fill="auto"/>
            <w:vAlign w:val="center"/>
          </w:tcPr>
          <w:p w14:paraId="53F6B358" w14:textId="77777777" w:rsidR="009100C7" w:rsidRPr="00586687" w:rsidRDefault="008E3302" w:rsidP="00143694">
            <w:pPr>
              <w:jc w:val="center"/>
              <w:rPr>
                <w:bCs/>
                <w:szCs w:val="17"/>
              </w:rPr>
            </w:pPr>
            <w:r w:rsidRPr="00586687">
              <w:rPr>
                <w:bCs/>
                <w:szCs w:val="17"/>
              </w:rPr>
              <w:t>Matching Adjustment/</w:t>
            </w:r>
          </w:p>
          <w:p w14:paraId="45FEFCC8" w14:textId="1C17B13A" w:rsidR="008E3302" w:rsidRPr="00586687" w:rsidRDefault="008E3302" w:rsidP="00143694">
            <w:pPr>
              <w:jc w:val="center"/>
              <w:rPr>
                <w:szCs w:val="17"/>
              </w:rPr>
            </w:pPr>
            <w:r w:rsidRPr="00586687">
              <w:rPr>
                <w:bCs/>
                <w:szCs w:val="17"/>
              </w:rPr>
              <w:t>Sustainable finance</w:t>
            </w:r>
          </w:p>
        </w:tc>
        <w:tc>
          <w:tcPr>
            <w:tcW w:w="1471" w:type="dxa"/>
            <w:shd w:val="clear" w:color="auto" w:fill="auto"/>
            <w:vAlign w:val="center"/>
          </w:tcPr>
          <w:p w14:paraId="62345CEC" w14:textId="659FFF07" w:rsidR="008E3302" w:rsidRPr="00586687" w:rsidRDefault="001F6A2A" w:rsidP="00143694">
            <w:pPr>
              <w:jc w:val="center"/>
              <w:rPr>
                <w:szCs w:val="17"/>
              </w:rPr>
            </w:pPr>
            <w:r w:rsidRPr="00586687">
              <w:rPr>
                <w:b/>
                <w:color w:val="808080" w:themeColor="background1" w:themeShade="80"/>
                <w:szCs w:val="17"/>
              </w:rPr>
              <w:t>Neutral</w:t>
            </w:r>
          </w:p>
        </w:tc>
      </w:tr>
      <w:tr w:rsidR="008E3302" w:rsidRPr="00586687" w14:paraId="1C3D808C" w14:textId="77777777" w:rsidTr="00A2044B">
        <w:trPr>
          <w:trHeight w:val="494"/>
        </w:trPr>
        <w:tc>
          <w:tcPr>
            <w:tcW w:w="696" w:type="dxa"/>
            <w:shd w:val="clear" w:color="auto" w:fill="auto"/>
            <w:vAlign w:val="center"/>
          </w:tcPr>
          <w:p w14:paraId="0AB0D1E3" w14:textId="73CF6C2B" w:rsidR="008E3302" w:rsidRPr="00586687" w:rsidRDefault="008E3302" w:rsidP="00143694">
            <w:pPr>
              <w:jc w:val="center"/>
              <w:rPr>
                <w:szCs w:val="17"/>
              </w:rPr>
            </w:pPr>
            <w:r w:rsidRPr="00586687">
              <w:rPr>
                <w:bCs/>
                <w:szCs w:val="17"/>
              </w:rPr>
              <w:t>575</w:t>
            </w:r>
          </w:p>
        </w:tc>
        <w:tc>
          <w:tcPr>
            <w:tcW w:w="1931" w:type="dxa"/>
            <w:shd w:val="clear" w:color="auto" w:fill="auto"/>
            <w:vAlign w:val="center"/>
          </w:tcPr>
          <w:p w14:paraId="3C70B7D3" w14:textId="6858D783" w:rsidR="008E3302" w:rsidRPr="00586687" w:rsidRDefault="008E3302" w:rsidP="00143694">
            <w:pPr>
              <w:jc w:val="center"/>
            </w:pPr>
            <w:r w:rsidRPr="00586687">
              <w:t>Article 77d – paragraph 1</w:t>
            </w:r>
          </w:p>
        </w:tc>
        <w:tc>
          <w:tcPr>
            <w:tcW w:w="6588" w:type="dxa"/>
            <w:shd w:val="clear" w:color="auto" w:fill="auto"/>
          </w:tcPr>
          <w:p w14:paraId="4B48E2A2" w14:textId="75148125" w:rsidR="008E3302" w:rsidRPr="00586687" w:rsidRDefault="007721D3" w:rsidP="00143694">
            <w:pPr>
              <w:jc w:val="left"/>
              <w:rPr>
                <w:szCs w:val="17"/>
              </w:rPr>
            </w:pPr>
            <w:r w:rsidRPr="00586687">
              <w:rPr>
                <w:szCs w:val="17"/>
              </w:rPr>
              <w:t>Added ‘</w:t>
            </w:r>
            <w:r w:rsidRPr="00586687">
              <w:rPr>
                <w:i/>
                <w:iCs/>
                <w:szCs w:val="17"/>
              </w:rPr>
              <w:t>at least</w:t>
            </w:r>
            <w:r w:rsidRPr="00586687">
              <w:rPr>
                <w:szCs w:val="17"/>
              </w:rPr>
              <w:t>’ all of the following conditions are met before applying VA</w:t>
            </w:r>
          </w:p>
        </w:tc>
        <w:tc>
          <w:tcPr>
            <w:tcW w:w="1842" w:type="dxa"/>
            <w:shd w:val="clear" w:color="auto" w:fill="auto"/>
            <w:vAlign w:val="center"/>
          </w:tcPr>
          <w:p w14:paraId="462B378B" w14:textId="3AF79B78" w:rsidR="008E3302" w:rsidRPr="00586687" w:rsidRDefault="008E3302" w:rsidP="00143694">
            <w:pPr>
              <w:jc w:val="center"/>
            </w:pPr>
            <w:r w:rsidRPr="00586687">
              <w:t xml:space="preserve">Hahn </w:t>
            </w:r>
          </w:p>
        </w:tc>
        <w:tc>
          <w:tcPr>
            <w:tcW w:w="2127" w:type="dxa"/>
            <w:shd w:val="clear" w:color="auto" w:fill="auto"/>
            <w:vAlign w:val="center"/>
          </w:tcPr>
          <w:p w14:paraId="02FEAF69" w14:textId="7A1C7331"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7F9BEF6F" w14:textId="4E482DE3" w:rsidR="008E3302" w:rsidRPr="00586687" w:rsidRDefault="00B55CE2" w:rsidP="00143694">
            <w:pPr>
              <w:jc w:val="center"/>
              <w:rPr>
                <w:szCs w:val="17"/>
              </w:rPr>
            </w:pPr>
            <w:r w:rsidRPr="00586687">
              <w:rPr>
                <w:b/>
                <w:color w:val="FF0000"/>
                <w:szCs w:val="17"/>
              </w:rPr>
              <w:t>Negative</w:t>
            </w:r>
          </w:p>
        </w:tc>
      </w:tr>
      <w:tr w:rsidR="008E3302" w:rsidRPr="00586687" w14:paraId="33B6F5C0" w14:textId="77777777" w:rsidTr="00A2044B">
        <w:trPr>
          <w:trHeight w:val="494"/>
        </w:trPr>
        <w:tc>
          <w:tcPr>
            <w:tcW w:w="696" w:type="dxa"/>
            <w:shd w:val="clear" w:color="auto" w:fill="auto"/>
            <w:vAlign w:val="center"/>
          </w:tcPr>
          <w:p w14:paraId="7E7931C7" w14:textId="63C21B25" w:rsidR="008E3302" w:rsidRPr="00586687" w:rsidRDefault="008E3302" w:rsidP="00143694">
            <w:pPr>
              <w:jc w:val="center"/>
              <w:rPr>
                <w:szCs w:val="17"/>
              </w:rPr>
            </w:pPr>
            <w:r w:rsidRPr="00586687">
              <w:rPr>
                <w:bCs/>
                <w:szCs w:val="17"/>
              </w:rPr>
              <w:t>576, 578</w:t>
            </w:r>
          </w:p>
        </w:tc>
        <w:tc>
          <w:tcPr>
            <w:tcW w:w="1931" w:type="dxa"/>
            <w:shd w:val="clear" w:color="auto" w:fill="auto"/>
            <w:vAlign w:val="center"/>
          </w:tcPr>
          <w:p w14:paraId="0A77A4F8" w14:textId="6FB1815B" w:rsidR="008E3302" w:rsidRPr="00412D45" w:rsidRDefault="008E3302" w:rsidP="00143694">
            <w:pPr>
              <w:jc w:val="center"/>
              <w:rPr>
                <w:lang w:val="fr-FR"/>
              </w:rPr>
            </w:pPr>
            <w:r w:rsidRPr="00412D45">
              <w:rPr>
                <w:lang w:val="fr-FR"/>
              </w:rPr>
              <w:t>Article 77d – paragraph 1 c (new)</w:t>
            </w:r>
          </w:p>
        </w:tc>
        <w:tc>
          <w:tcPr>
            <w:tcW w:w="6588" w:type="dxa"/>
            <w:shd w:val="clear" w:color="auto" w:fill="auto"/>
          </w:tcPr>
          <w:p w14:paraId="39191673" w14:textId="48140C88" w:rsidR="008E3302" w:rsidRPr="00586687" w:rsidRDefault="008E3302" w:rsidP="00143694">
            <w:pPr>
              <w:jc w:val="left"/>
              <w:rPr>
                <w:szCs w:val="17"/>
              </w:rPr>
            </w:pPr>
            <w:r w:rsidRPr="00586687">
              <w:rPr>
                <w:szCs w:val="17"/>
              </w:rPr>
              <w:t xml:space="preserve">Introduction of </w:t>
            </w:r>
            <w:proofErr w:type="gramStart"/>
            <w:r w:rsidRPr="00586687">
              <w:rPr>
                <w:szCs w:val="17"/>
              </w:rPr>
              <w:t>an</w:t>
            </w:r>
            <w:proofErr w:type="gramEnd"/>
            <w:r w:rsidRPr="00586687">
              <w:rPr>
                <w:szCs w:val="17"/>
              </w:rPr>
              <w:t xml:space="preserve"> </w:t>
            </w:r>
            <w:r w:rsidR="006D2788" w:rsidRPr="00586687">
              <w:rPr>
                <w:szCs w:val="17"/>
              </w:rPr>
              <w:t xml:space="preserve">quality overshooting </w:t>
            </w:r>
            <w:r w:rsidRPr="00586687">
              <w:rPr>
                <w:szCs w:val="17"/>
              </w:rPr>
              <w:t>adjustment, capped to 100%, to the risk-corrected spread</w:t>
            </w:r>
            <w:r w:rsidR="00944929" w:rsidRPr="00586687">
              <w:rPr>
                <w:szCs w:val="17"/>
              </w:rPr>
              <w:t xml:space="preserve">, subject to </w:t>
            </w:r>
            <w:r w:rsidR="00417D6C" w:rsidRPr="00586687">
              <w:rPr>
                <w:szCs w:val="17"/>
              </w:rPr>
              <w:t>reporting information (already required) is of sufficient quality</w:t>
            </w:r>
            <w:r w:rsidRPr="00586687">
              <w:rPr>
                <w:szCs w:val="17"/>
              </w:rPr>
              <w:t>.</w:t>
            </w:r>
          </w:p>
          <w:p w14:paraId="2B00735F" w14:textId="3CA79020" w:rsidR="007D2809" w:rsidRPr="00586687" w:rsidRDefault="007D2809" w:rsidP="00143694">
            <w:pPr>
              <w:jc w:val="left"/>
              <w:rPr>
                <w:szCs w:val="17"/>
              </w:rPr>
            </w:pPr>
            <w:r w:rsidRPr="00586687">
              <w:rPr>
                <w:szCs w:val="17"/>
              </w:rPr>
              <w:t xml:space="preserve">Where the adjustment is lower than 100%, the volatility adjustment shall not be increased by a </w:t>
            </w:r>
            <w:proofErr w:type="gramStart"/>
            <w:r w:rsidRPr="00586687">
              <w:rPr>
                <w:szCs w:val="17"/>
              </w:rPr>
              <w:t>macro VA</w:t>
            </w:r>
            <w:r w:rsidR="0074412E" w:rsidRPr="00586687">
              <w:rPr>
                <w:szCs w:val="17"/>
              </w:rPr>
              <w:t>.</w:t>
            </w:r>
            <w:proofErr w:type="gramEnd"/>
          </w:p>
        </w:tc>
        <w:tc>
          <w:tcPr>
            <w:tcW w:w="1842" w:type="dxa"/>
            <w:shd w:val="clear" w:color="auto" w:fill="auto"/>
            <w:vAlign w:val="center"/>
          </w:tcPr>
          <w:p w14:paraId="4B56BC9B" w14:textId="724EAA26" w:rsidR="008E3302" w:rsidRPr="00412D45" w:rsidRDefault="008E3302" w:rsidP="00143694">
            <w:pPr>
              <w:jc w:val="center"/>
              <w:rPr>
                <w:lang w:val="fr-FR"/>
              </w:rPr>
            </w:pPr>
            <w:r w:rsidRPr="00412D45">
              <w:rPr>
                <w:lang w:val="fr-FR"/>
              </w:rPr>
              <w:t>Heinäluoma, Paul Tang, Fernández, Lalucq (576) and de Lange (578)</w:t>
            </w:r>
          </w:p>
        </w:tc>
        <w:tc>
          <w:tcPr>
            <w:tcW w:w="2127" w:type="dxa"/>
            <w:shd w:val="clear" w:color="auto" w:fill="auto"/>
            <w:vAlign w:val="center"/>
          </w:tcPr>
          <w:p w14:paraId="598E6FE2" w14:textId="3E62B4A9"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48670851" w14:textId="65544D3F" w:rsidR="008E3302" w:rsidRPr="00586687" w:rsidRDefault="00B55CE2" w:rsidP="00143694">
            <w:pPr>
              <w:jc w:val="center"/>
              <w:rPr>
                <w:szCs w:val="17"/>
              </w:rPr>
            </w:pPr>
            <w:r w:rsidRPr="00586687">
              <w:rPr>
                <w:b/>
                <w:color w:val="FF0000"/>
                <w:szCs w:val="17"/>
              </w:rPr>
              <w:t>Negative</w:t>
            </w:r>
          </w:p>
        </w:tc>
      </w:tr>
      <w:tr w:rsidR="008E3302" w:rsidRPr="00586687" w14:paraId="10299312" w14:textId="77777777" w:rsidTr="00A2044B">
        <w:trPr>
          <w:trHeight w:val="494"/>
        </w:trPr>
        <w:tc>
          <w:tcPr>
            <w:tcW w:w="696" w:type="dxa"/>
            <w:shd w:val="clear" w:color="auto" w:fill="auto"/>
            <w:vAlign w:val="center"/>
          </w:tcPr>
          <w:p w14:paraId="0CFE96ED" w14:textId="5170F1F1" w:rsidR="008E3302" w:rsidRPr="00586687" w:rsidRDefault="008E3302" w:rsidP="00143694">
            <w:pPr>
              <w:jc w:val="center"/>
              <w:rPr>
                <w:szCs w:val="17"/>
              </w:rPr>
            </w:pPr>
            <w:r w:rsidRPr="00586687">
              <w:rPr>
                <w:szCs w:val="17"/>
              </w:rPr>
              <w:t>577</w:t>
            </w:r>
          </w:p>
        </w:tc>
        <w:tc>
          <w:tcPr>
            <w:tcW w:w="1931" w:type="dxa"/>
            <w:shd w:val="clear" w:color="auto" w:fill="auto"/>
            <w:vAlign w:val="center"/>
          </w:tcPr>
          <w:p w14:paraId="1DF0C336" w14:textId="6DD7AC9C" w:rsidR="008E3302" w:rsidRPr="00412D45" w:rsidRDefault="008E3302" w:rsidP="00143694">
            <w:pPr>
              <w:jc w:val="center"/>
              <w:rPr>
                <w:lang w:val="fr-FR"/>
              </w:rPr>
            </w:pPr>
            <w:r w:rsidRPr="00412D45">
              <w:rPr>
                <w:lang w:val="fr-FR"/>
              </w:rPr>
              <w:t>Article 77d – paragraph 1 c (new)</w:t>
            </w:r>
          </w:p>
        </w:tc>
        <w:tc>
          <w:tcPr>
            <w:tcW w:w="6588" w:type="dxa"/>
            <w:shd w:val="clear" w:color="auto" w:fill="auto"/>
          </w:tcPr>
          <w:p w14:paraId="25DA3D84" w14:textId="44319140" w:rsidR="008E3302" w:rsidRPr="00586687" w:rsidRDefault="008E3302" w:rsidP="00143694">
            <w:pPr>
              <w:jc w:val="left"/>
              <w:rPr>
                <w:szCs w:val="17"/>
              </w:rPr>
            </w:pPr>
            <w:r w:rsidRPr="00586687">
              <w:rPr>
                <w:szCs w:val="17"/>
              </w:rPr>
              <w:t xml:space="preserve">Introduction of </w:t>
            </w:r>
            <w:r w:rsidR="00561E85" w:rsidRPr="00586687">
              <w:rPr>
                <w:szCs w:val="17"/>
              </w:rPr>
              <w:t xml:space="preserve">quality overshooting </w:t>
            </w:r>
            <w:r w:rsidRPr="00586687">
              <w:rPr>
                <w:szCs w:val="17"/>
              </w:rPr>
              <w:t>adjustment, capped to 150%, to the risk-corrected spread</w:t>
            </w:r>
            <w:r w:rsidR="008201FD" w:rsidRPr="00586687">
              <w:rPr>
                <w:szCs w:val="17"/>
              </w:rPr>
              <w:t>, subject to a number of conditions</w:t>
            </w:r>
            <w:r w:rsidRPr="00586687">
              <w:rPr>
                <w:szCs w:val="17"/>
              </w:rPr>
              <w:t>.</w:t>
            </w:r>
          </w:p>
          <w:p w14:paraId="2657960D" w14:textId="77777777" w:rsidR="008E3302" w:rsidRPr="00586687" w:rsidRDefault="008E3302" w:rsidP="00143694">
            <w:pPr>
              <w:jc w:val="left"/>
              <w:rPr>
                <w:szCs w:val="17"/>
              </w:rPr>
            </w:pPr>
          </w:p>
          <w:p w14:paraId="3AFC1D59" w14:textId="23C939AE" w:rsidR="008A1EC6" w:rsidRPr="00586687" w:rsidRDefault="008A1EC6" w:rsidP="00143694">
            <w:pPr>
              <w:jc w:val="left"/>
              <w:rPr>
                <w:szCs w:val="17"/>
              </w:rPr>
            </w:pPr>
            <w:r w:rsidRPr="00586687">
              <w:rPr>
                <w:szCs w:val="17"/>
              </w:rPr>
              <w:t xml:space="preserve">Where the adjustment is not applied, the volatility adjustment shall not be increased by a </w:t>
            </w:r>
            <w:proofErr w:type="gramStart"/>
            <w:r w:rsidRPr="00586687">
              <w:rPr>
                <w:szCs w:val="17"/>
              </w:rPr>
              <w:t>macro VA</w:t>
            </w:r>
            <w:r w:rsidR="00980F82" w:rsidRPr="00586687">
              <w:rPr>
                <w:szCs w:val="17"/>
              </w:rPr>
              <w:t>.</w:t>
            </w:r>
            <w:proofErr w:type="gramEnd"/>
          </w:p>
          <w:p w14:paraId="7D616DE3" w14:textId="77777777" w:rsidR="00980F82" w:rsidRPr="00586687" w:rsidRDefault="00980F82" w:rsidP="00143694">
            <w:pPr>
              <w:jc w:val="left"/>
              <w:rPr>
                <w:szCs w:val="17"/>
              </w:rPr>
            </w:pPr>
          </w:p>
          <w:p w14:paraId="387DC28A" w14:textId="40F7DE13" w:rsidR="008E3302" w:rsidRPr="00586687" w:rsidRDefault="008E3302" w:rsidP="00143694">
            <w:pPr>
              <w:jc w:val="left"/>
              <w:rPr>
                <w:i/>
                <w:szCs w:val="17"/>
              </w:rPr>
            </w:pPr>
            <w:r w:rsidRPr="00586687">
              <w:rPr>
                <w:i/>
                <w:iCs/>
              </w:rPr>
              <w:t xml:space="preserve">Justification: The EC proposal on VA adaptations provides an effective solution to address overshooting of undertakings with a bond portfolio similar in composition to the representative portfolio but different in terms of duration. However, it does not address “quality overshooting” caused by significant basis risk and could, in some cases, even amplify that source of overshooting, especially if the current risk-correction of the </w:t>
            </w:r>
            <w:r w:rsidRPr="00586687">
              <w:rPr>
                <w:i/>
                <w:iCs/>
              </w:rPr>
              <w:lastRenderedPageBreak/>
              <w:t>spreads would remain as it is. EIOPA’s LTG reports show that the average eurozone undertaking is subject to this kind of overshooting so an adequate solution is needed.</w:t>
            </w:r>
          </w:p>
        </w:tc>
        <w:tc>
          <w:tcPr>
            <w:tcW w:w="1842" w:type="dxa"/>
            <w:shd w:val="clear" w:color="auto" w:fill="auto"/>
            <w:vAlign w:val="center"/>
          </w:tcPr>
          <w:p w14:paraId="4B9CEC64" w14:textId="1A171F09" w:rsidR="008E3302" w:rsidRPr="00586687" w:rsidRDefault="008E3302" w:rsidP="00143694">
            <w:pPr>
              <w:jc w:val="center"/>
            </w:pPr>
            <w:r w:rsidRPr="00586687">
              <w:lastRenderedPageBreak/>
              <w:t xml:space="preserve">Van </w:t>
            </w:r>
            <w:proofErr w:type="spellStart"/>
            <w:r w:rsidRPr="00586687">
              <w:t>Overtveldt</w:t>
            </w:r>
            <w:proofErr w:type="spellEnd"/>
          </w:p>
        </w:tc>
        <w:tc>
          <w:tcPr>
            <w:tcW w:w="2127" w:type="dxa"/>
            <w:shd w:val="clear" w:color="auto" w:fill="auto"/>
            <w:vAlign w:val="center"/>
          </w:tcPr>
          <w:p w14:paraId="5E25A460" w14:textId="48F876B8"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651FCDDD" w14:textId="34CD3867" w:rsidR="008E3302" w:rsidRPr="00586687" w:rsidRDefault="00B55CE2" w:rsidP="00143694">
            <w:pPr>
              <w:jc w:val="center"/>
              <w:rPr>
                <w:szCs w:val="17"/>
              </w:rPr>
            </w:pPr>
            <w:r w:rsidRPr="00586687">
              <w:rPr>
                <w:b/>
                <w:color w:val="FF0000"/>
                <w:szCs w:val="17"/>
              </w:rPr>
              <w:t>Negative</w:t>
            </w:r>
          </w:p>
        </w:tc>
      </w:tr>
      <w:tr w:rsidR="008E3302" w:rsidRPr="00586687" w14:paraId="14299E52" w14:textId="77777777" w:rsidTr="00A2044B">
        <w:trPr>
          <w:trHeight w:val="494"/>
        </w:trPr>
        <w:tc>
          <w:tcPr>
            <w:tcW w:w="696" w:type="dxa"/>
            <w:shd w:val="clear" w:color="auto" w:fill="auto"/>
            <w:vAlign w:val="center"/>
          </w:tcPr>
          <w:p w14:paraId="2174B725" w14:textId="57E1893B" w:rsidR="008E3302" w:rsidRPr="00586687" w:rsidRDefault="008E3302" w:rsidP="00143694">
            <w:pPr>
              <w:jc w:val="center"/>
              <w:rPr>
                <w:bCs/>
                <w:szCs w:val="17"/>
              </w:rPr>
            </w:pPr>
            <w:r w:rsidRPr="00586687">
              <w:rPr>
                <w:bCs/>
                <w:szCs w:val="17"/>
              </w:rPr>
              <w:t>579-581</w:t>
            </w:r>
          </w:p>
        </w:tc>
        <w:tc>
          <w:tcPr>
            <w:tcW w:w="1931" w:type="dxa"/>
            <w:shd w:val="clear" w:color="auto" w:fill="auto"/>
            <w:vAlign w:val="center"/>
          </w:tcPr>
          <w:p w14:paraId="15A2C888" w14:textId="36295AEF" w:rsidR="008E3302" w:rsidRPr="00586687" w:rsidRDefault="008E3302" w:rsidP="00143694">
            <w:pPr>
              <w:jc w:val="center"/>
            </w:pPr>
            <w:r w:rsidRPr="00586687">
              <w:t>Article 77d – paragraph 2 – subparagraphs 2 a (new) and 2 b (new)</w:t>
            </w:r>
          </w:p>
        </w:tc>
        <w:tc>
          <w:tcPr>
            <w:tcW w:w="6588" w:type="dxa"/>
            <w:shd w:val="clear" w:color="auto" w:fill="auto"/>
          </w:tcPr>
          <w:p w14:paraId="20F3C4D4" w14:textId="1DC7D49D" w:rsidR="008E3302" w:rsidRPr="00586687" w:rsidRDefault="006B7D76" w:rsidP="00143694">
            <w:pPr>
              <w:jc w:val="left"/>
              <w:rPr>
                <w:bCs/>
                <w:szCs w:val="17"/>
              </w:rPr>
            </w:pPr>
            <w:r w:rsidRPr="00586687">
              <w:rPr>
                <w:bCs/>
                <w:szCs w:val="17"/>
              </w:rPr>
              <w:t xml:space="preserve">Clarifies the calculation </w:t>
            </w:r>
            <w:r w:rsidR="000E0EEB" w:rsidRPr="00586687">
              <w:rPr>
                <w:bCs/>
                <w:szCs w:val="17"/>
              </w:rPr>
              <w:t xml:space="preserve">to be used for the </w:t>
            </w:r>
            <w:r w:rsidR="005F688F" w:rsidRPr="00586687">
              <w:rPr>
                <w:bCs/>
                <w:szCs w:val="17"/>
              </w:rPr>
              <w:t>calculat</w:t>
            </w:r>
            <w:r w:rsidR="000E0EEB" w:rsidRPr="00586687">
              <w:rPr>
                <w:bCs/>
                <w:szCs w:val="17"/>
              </w:rPr>
              <w:t xml:space="preserve">ion of </w:t>
            </w:r>
            <w:r w:rsidR="005F688F" w:rsidRPr="00586687">
              <w:rPr>
                <w:bCs/>
                <w:szCs w:val="17"/>
              </w:rPr>
              <w:t xml:space="preserve">both the currency and country </w:t>
            </w:r>
            <w:r w:rsidR="000E0EEB" w:rsidRPr="00586687">
              <w:rPr>
                <w:bCs/>
                <w:szCs w:val="17"/>
              </w:rPr>
              <w:t>representative portfolio spreads used to calculate the VA.</w:t>
            </w:r>
          </w:p>
        </w:tc>
        <w:tc>
          <w:tcPr>
            <w:tcW w:w="1842" w:type="dxa"/>
            <w:shd w:val="clear" w:color="auto" w:fill="auto"/>
            <w:vAlign w:val="center"/>
          </w:tcPr>
          <w:p w14:paraId="42D2AE11" w14:textId="78DD2622" w:rsidR="008E3302" w:rsidRPr="00586687" w:rsidRDefault="008E3302" w:rsidP="00143694">
            <w:pPr>
              <w:jc w:val="center"/>
            </w:pPr>
            <w:proofErr w:type="spellStart"/>
            <w:r w:rsidRPr="00586687">
              <w:t>Zanni</w:t>
            </w:r>
            <w:proofErr w:type="spellEnd"/>
            <w:r w:rsidRPr="00586687">
              <w:t>, Grant, Rinaldi (579)</w:t>
            </w:r>
            <w:r w:rsidR="00947FD1" w:rsidRPr="00586687">
              <w:t xml:space="preserve">/ </w:t>
            </w:r>
            <w:proofErr w:type="spellStart"/>
            <w:r w:rsidRPr="00586687">
              <w:t>Fitto</w:t>
            </w:r>
            <w:proofErr w:type="spellEnd"/>
            <w:r w:rsidRPr="00586687">
              <w:t xml:space="preserve"> (580)</w:t>
            </w:r>
            <w:r w:rsidR="00947FD1" w:rsidRPr="00586687">
              <w:t>/</w:t>
            </w:r>
            <w:r w:rsidRPr="00586687">
              <w:t xml:space="preserve"> Castaldo (581)</w:t>
            </w:r>
          </w:p>
        </w:tc>
        <w:tc>
          <w:tcPr>
            <w:tcW w:w="2127" w:type="dxa"/>
            <w:shd w:val="clear" w:color="auto" w:fill="auto"/>
            <w:vAlign w:val="center"/>
          </w:tcPr>
          <w:p w14:paraId="276C8CBB" w14:textId="10F78793"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0A5FB183" w14:textId="19ADCEB8" w:rsidR="008E3302" w:rsidRPr="00586687" w:rsidRDefault="0007737D" w:rsidP="00143694">
            <w:pPr>
              <w:jc w:val="center"/>
              <w:rPr>
                <w:szCs w:val="17"/>
              </w:rPr>
            </w:pPr>
            <w:r w:rsidRPr="00586687">
              <w:rPr>
                <w:b/>
                <w:color w:val="00B050"/>
                <w:szCs w:val="17"/>
              </w:rPr>
              <w:t>Positive</w:t>
            </w:r>
          </w:p>
        </w:tc>
      </w:tr>
      <w:tr w:rsidR="008E3302" w:rsidRPr="00586687" w14:paraId="68C37339" w14:textId="77777777" w:rsidTr="00A2044B">
        <w:trPr>
          <w:trHeight w:val="494"/>
        </w:trPr>
        <w:tc>
          <w:tcPr>
            <w:tcW w:w="696" w:type="dxa"/>
            <w:shd w:val="clear" w:color="auto" w:fill="auto"/>
            <w:vAlign w:val="center"/>
          </w:tcPr>
          <w:p w14:paraId="02AF3725" w14:textId="3504C2D6" w:rsidR="008E3302" w:rsidRPr="00586687" w:rsidRDefault="008E3302" w:rsidP="00143694">
            <w:pPr>
              <w:jc w:val="center"/>
              <w:rPr>
                <w:bCs/>
                <w:szCs w:val="17"/>
              </w:rPr>
            </w:pPr>
            <w:r w:rsidRPr="00586687">
              <w:rPr>
                <w:bCs/>
                <w:szCs w:val="17"/>
              </w:rPr>
              <w:t>582, 584</w:t>
            </w:r>
          </w:p>
        </w:tc>
        <w:tc>
          <w:tcPr>
            <w:tcW w:w="1931" w:type="dxa"/>
            <w:shd w:val="clear" w:color="auto" w:fill="auto"/>
            <w:vAlign w:val="center"/>
          </w:tcPr>
          <w:p w14:paraId="16E330C7" w14:textId="51FEC98A" w:rsidR="008E3302" w:rsidRPr="00412D45" w:rsidRDefault="008E3302" w:rsidP="00143694">
            <w:pPr>
              <w:jc w:val="center"/>
              <w:rPr>
                <w:lang w:val="fr-FR"/>
              </w:rPr>
            </w:pPr>
            <w:r w:rsidRPr="00412D45">
              <w:rPr>
                <w:lang w:val="fr-FR"/>
              </w:rPr>
              <w:t>Article 77d – paragraph 3, paragraph 3 – subparagraph 1</w:t>
            </w:r>
          </w:p>
        </w:tc>
        <w:tc>
          <w:tcPr>
            <w:tcW w:w="6588" w:type="dxa"/>
            <w:shd w:val="clear" w:color="auto" w:fill="auto"/>
          </w:tcPr>
          <w:p w14:paraId="5A2E46AF" w14:textId="78D92B24" w:rsidR="008E3302" w:rsidRPr="00586687" w:rsidRDefault="008E3302" w:rsidP="00143694">
            <w:pPr>
              <w:jc w:val="left"/>
            </w:pPr>
            <w:r w:rsidRPr="00586687">
              <w:rPr>
                <w:bCs/>
                <w:szCs w:val="17"/>
              </w:rPr>
              <w:t>Inclusion of a</w:t>
            </w:r>
            <w:r w:rsidR="002B69E9" w:rsidRPr="00586687">
              <w:rPr>
                <w:bCs/>
                <w:szCs w:val="17"/>
              </w:rPr>
              <w:t>n il</w:t>
            </w:r>
            <w:r w:rsidRPr="00586687">
              <w:rPr>
                <w:bCs/>
                <w:szCs w:val="17"/>
              </w:rPr>
              <w:t xml:space="preserve">liquidity factor reflecting the liquidity of the undertaking’s liabilities. This </w:t>
            </w:r>
            <w:r w:rsidRPr="00586687">
              <w:t>shall be calculated as the share of the undertaking’s illiquid liabilities based on stressed cash flows.</w:t>
            </w:r>
          </w:p>
          <w:p w14:paraId="24D30DD3" w14:textId="6F8E669D" w:rsidR="008E3302" w:rsidRPr="00586687" w:rsidRDefault="008E3302" w:rsidP="00143694">
            <w:pPr>
              <w:jc w:val="left"/>
              <w:rPr>
                <w:bCs/>
                <w:szCs w:val="17"/>
              </w:rPr>
            </w:pPr>
          </w:p>
        </w:tc>
        <w:tc>
          <w:tcPr>
            <w:tcW w:w="1842" w:type="dxa"/>
            <w:shd w:val="clear" w:color="auto" w:fill="auto"/>
            <w:vAlign w:val="center"/>
          </w:tcPr>
          <w:p w14:paraId="4FC625BA" w14:textId="340B67B8" w:rsidR="008E3302" w:rsidRPr="00586687" w:rsidRDefault="008E3302" w:rsidP="00143694">
            <w:pPr>
              <w:jc w:val="center"/>
            </w:pPr>
            <w:r w:rsidRPr="00586687">
              <w:t>Hahn (582) and MacManus (584)</w:t>
            </w:r>
          </w:p>
        </w:tc>
        <w:tc>
          <w:tcPr>
            <w:tcW w:w="2127" w:type="dxa"/>
            <w:shd w:val="clear" w:color="auto" w:fill="auto"/>
            <w:vAlign w:val="center"/>
          </w:tcPr>
          <w:p w14:paraId="7FA234BF" w14:textId="4C949846"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5A951392" w14:textId="3496DCDB" w:rsidR="008E3302" w:rsidRPr="0013466D" w:rsidRDefault="00B55CE2" w:rsidP="00143694">
            <w:pPr>
              <w:jc w:val="center"/>
              <w:rPr>
                <w:bCs/>
                <w:szCs w:val="17"/>
              </w:rPr>
            </w:pPr>
            <w:r w:rsidRPr="00586687">
              <w:rPr>
                <w:b/>
                <w:color w:val="FF0000"/>
                <w:szCs w:val="17"/>
              </w:rPr>
              <w:t>Negative</w:t>
            </w:r>
            <w:r w:rsidRPr="00586687" w:rsidDel="00AB51F4">
              <w:rPr>
                <w:bCs/>
                <w:szCs w:val="17"/>
              </w:rPr>
              <w:t xml:space="preserve"> </w:t>
            </w:r>
          </w:p>
          <w:p w14:paraId="7ABCF7EC" w14:textId="77777777" w:rsidR="008E3302" w:rsidRPr="0013466D" w:rsidRDefault="008E3302" w:rsidP="00143694">
            <w:pPr>
              <w:jc w:val="center"/>
              <w:rPr>
                <w:bCs/>
                <w:szCs w:val="17"/>
              </w:rPr>
            </w:pPr>
          </w:p>
          <w:p w14:paraId="0CCE7DF9" w14:textId="1AA37D53" w:rsidR="008E3302" w:rsidRPr="0013466D" w:rsidRDefault="008E3302" w:rsidP="00143694">
            <w:pPr>
              <w:jc w:val="center"/>
              <w:rPr>
                <w:szCs w:val="17"/>
              </w:rPr>
            </w:pPr>
          </w:p>
        </w:tc>
      </w:tr>
      <w:tr w:rsidR="008E3302" w:rsidRPr="00586687" w14:paraId="242A6525" w14:textId="77777777" w:rsidTr="00A2044B">
        <w:trPr>
          <w:trHeight w:val="494"/>
        </w:trPr>
        <w:tc>
          <w:tcPr>
            <w:tcW w:w="696" w:type="dxa"/>
            <w:shd w:val="clear" w:color="auto" w:fill="auto"/>
            <w:vAlign w:val="center"/>
          </w:tcPr>
          <w:p w14:paraId="20405B4C" w14:textId="5B894503" w:rsidR="008E3302" w:rsidRPr="00586687" w:rsidRDefault="008E3302" w:rsidP="00143694">
            <w:pPr>
              <w:jc w:val="center"/>
              <w:rPr>
                <w:bCs/>
                <w:szCs w:val="17"/>
              </w:rPr>
            </w:pPr>
            <w:r w:rsidRPr="00586687">
              <w:rPr>
                <w:bCs/>
                <w:szCs w:val="17"/>
              </w:rPr>
              <w:t>583</w:t>
            </w:r>
          </w:p>
        </w:tc>
        <w:tc>
          <w:tcPr>
            <w:tcW w:w="1931" w:type="dxa"/>
            <w:shd w:val="clear" w:color="auto" w:fill="auto"/>
            <w:vAlign w:val="center"/>
          </w:tcPr>
          <w:p w14:paraId="5FFB2988" w14:textId="503F2BD6" w:rsidR="008E3302" w:rsidRPr="00586687" w:rsidRDefault="008E3302" w:rsidP="00143694">
            <w:pPr>
              <w:jc w:val="center"/>
            </w:pPr>
            <w:r w:rsidRPr="00586687">
              <w:t>Article 77d – paragraph 3</w:t>
            </w:r>
          </w:p>
        </w:tc>
        <w:tc>
          <w:tcPr>
            <w:tcW w:w="6588" w:type="dxa"/>
            <w:shd w:val="clear" w:color="auto" w:fill="auto"/>
          </w:tcPr>
          <w:p w14:paraId="2BF70554" w14:textId="5EE82E8F" w:rsidR="008E3302" w:rsidRPr="00586687" w:rsidRDefault="008E3302" w:rsidP="00143694">
            <w:pPr>
              <w:jc w:val="left"/>
            </w:pPr>
            <w:r w:rsidRPr="00586687">
              <w:rPr>
                <w:bCs/>
                <w:szCs w:val="17"/>
              </w:rPr>
              <w:t xml:space="preserve">Inclusion of </w:t>
            </w:r>
            <w:proofErr w:type="gramStart"/>
            <w:r w:rsidRPr="00586687">
              <w:rPr>
                <w:bCs/>
                <w:szCs w:val="17"/>
              </w:rPr>
              <w:t>a</w:t>
            </w:r>
            <w:r w:rsidR="004F7341" w:rsidRPr="00586687">
              <w:rPr>
                <w:bCs/>
                <w:szCs w:val="17"/>
              </w:rPr>
              <w:t>n</w:t>
            </w:r>
            <w:proofErr w:type="gramEnd"/>
            <w:r w:rsidR="004F7341" w:rsidRPr="00586687">
              <w:rPr>
                <w:bCs/>
                <w:szCs w:val="17"/>
              </w:rPr>
              <w:t xml:space="preserve"> quality overshooting </w:t>
            </w:r>
            <w:r w:rsidRPr="00586687">
              <w:rPr>
                <w:bCs/>
                <w:szCs w:val="17"/>
              </w:rPr>
              <w:t>factor</w:t>
            </w:r>
            <w:r w:rsidR="00A0394D" w:rsidRPr="00586687">
              <w:rPr>
                <w:bCs/>
                <w:szCs w:val="17"/>
              </w:rPr>
              <w:t xml:space="preserve"> into calculation of VA</w:t>
            </w:r>
            <w:r w:rsidRPr="00586687">
              <w:rPr>
                <w:bCs/>
                <w:szCs w:val="17"/>
              </w:rPr>
              <w:t>. Th</w:t>
            </w:r>
            <w:r w:rsidR="00FA7EBF" w:rsidRPr="00586687">
              <w:rPr>
                <w:bCs/>
                <w:szCs w:val="17"/>
              </w:rPr>
              <w:t xml:space="preserve">e adjustment is equal to </w:t>
            </w:r>
            <w:r w:rsidRPr="00586687">
              <w:t>the ratio RCS (insurer) / RCS (currency) subject to a floor of 75% and a cap of 125%, in order respectively not to decrease the risk-corrected spread by more than 25% and not to increase it by more than 25%.</w:t>
            </w:r>
          </w:p>
          <w:p w14:paraId="591A8C0A" w14:textId="77777777" w:rsidR="008E3302" w:rsidRPr="00586687" w:rsidRDefault="008E3302" w:rsidP="00143694">
            <w:pPr>
              <w:jc w:val="left"/>
            </w:pPr>
          </w:p>
          <w:p w14:paraId="417525B7" w14:textId="6A7B3F83" w:rsidR="008E3302" w:rsidRPr="00586687" w:rsidRDefault="008E3302" w:rsidP="00143694">
            <w:pPr>
              <w:jc w:val="left"/>
              <w:rPr>
                <w:bCs/>
                <w:szCs w:val="17"/>
              </w:rPr>
            </w:pPr>
            <w:r w:rsidRPr="00586687">
              <w:t>GAR retained at 85% and inclusion of CSSR maintained.</w:t>
            </w:r>
          </w:p>
        </w:tc>
        <w:tc>
          <w:tcPr>
            <w:tcW w:w="1842" w:type="dxa"/>
            <w:shd w:val="clear" w:color="auto" w:fill="auto"/>
            <w:vAlign w:val="center"/>
          </w:tcPr>
          <w:p w14:paraId="4634B91E" w14:textId="76A3C916" w:rsidR="008E3302" w:rsidRPr="00586687" w:rsidRDefault="008E3302" w:rsidP="00143694">
            <w:pPr>
              <w:jc w:val="center"/>
            </w:pPr>
            <w:proofErr w:type="spellStart"/>
            <w:r w:rsidRPr="00586687">
              <w:t>Heinäluoma</w:t>
            </w:r>
            <w:proofErr w:type="spellEnd"/>
          </w:p>
        </w:tc>
        <w:tc>
          <w:tcPr>
            <w:tcW w:w="2127" w:type="dxa"/>
            <w:shd w:val="clear" w:color="auto" w:fill="auto"/>
            <w:vAlign w:val="center"/>
          </w:tcPr>
          <w:p w14:paraId="6FAE935B" w14:textId="47636C6C"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43B7B343" w14:textId="14D8A9EE" w:rsidR="008E3302" w:rsidRPr="0013466D" w:rsidRDefault="00127A6F" w:rsidP="00143694">
            <w:pPr>
              <w:jc w:val="center"/>
              <w:rPr>
                <w:b/>
                <w:color w:val="FF0000"/>
                <w:szCs w:val="17"/>
              </w:rPr>
            </w:pPr>
            <w:r w:rsidRPr="0013466D">
              <w:rPr>
                <w:b/>
                <w:color w:val="FF0000"/>
                <w:szCs w:val="17"/>
              </w:rPr>
              <w:t>Negative</w:t>
            </w:r>
          </w:p>
          <w:p w14:paraId="2EC1BF58" w14:textId="77777777" w:rsidR="008E3302" w:rsidRPr="0013466D" w:rsidRDefault="008E3302" w:rsidP="00143694">
            <w:pPr>
              <w:jc w:val="center"/>
              <w:rPr>
                <w:bCs/>
                <w:szCs w:val="17"/>
              </w:rPr>
            </w:pPr>
          </w:p>
          <w:p w14:paraId="1757F3A3" w14:textId="56FBDC09" w:rsidR="008E3302" w:rsidRPr="0013466D" w:rsidRDefault="008E3302" w:rsidP="00143694">
            <w:pPr>
              <w:jc w:val="center"/>
              <w:rPr>
                <w:szCs w:val="17"/>
              </w:rPr>
            </w:pPr>
          </w:p>
        </w:tc>
      </w:tr>
      <w:tr w:rsidR="008E3302" w:rsidRPr="00586687" w14:paraId="0F1BC06F" w14:textId="77777777" w:rsidTr="00A2044B">
        <w:trPr>
          <w:trHeight w:val="494"/>
        </w:trPr>
        <w:tc>
          <w:tcPr>
            <w:tcW w:w="696" w:type="dxa"/>
            <w:shd w:val="clear" w:color="auto" w:fill="auto"/>
            <w:vAlign w:val="center"/>
          </w:tcPr>
          <w:p w14:paraId="09770760" w14:textId="0C08A56E" w:rsidR="008E3302" w:rsidRPr="00586687" w:rsidRDefault="008E3302" w:rsidP="00143694">
            <w:pPr>
              <w:jc w:val="center"/>
              <w:rPr>
                <w:bCs/>
                <w:szCs w:val="17"/>
              </w:rPr>
            </w:pPr>
            <w:r w:rsidRPr="00586687">
              <w:rPr>
                <w:bCs/>
                <w:szCs w:val="17"/>
              </w:rPr>
              <w:t>585</w:t>
            </w:r>
          </w:p>
        </w:tc>
        <w:tc>
          <w:tcPr>
            <w:tcW w:w="1931" w:type="dxa"/>
            <w:shd w:val="clear" w:color="auto" w:fill="auto"/>
            <w:vAlign w:val="center"/>
          </w:tcPr>
          <w:p w14:paraId="36629391" w14:textId="3A010D33" w:rsidR="008E3302" w:rsidRPr="00586687" w:rsidRDefault="008E3302" w:rsidP="00143694">
            <w:pPr>
              <w:jc w:val="center"/>
            </w:pPr>
            <w:r w:rsidRPr="00586687">
              <w:t>Article 77d – paragraph 3 – subparagraph 1 – point b a (new)</w:t>
            </w:r>
          </w:p>
        </w:tc>
        <w:tc>
          <w:tcPr>
            <w:tcW w:w="6588" w:type="dxa"/>
            <w:shd w:val="clear" w:color="auto" w:fill="auto"/>
          </w:tcPr>
          <w:p w14:paraId="550FFC74" w14:textId="77777777" w:rsidR="008E3302" w:rsidRPr="00586687" w:rsidRDefault="008E3302" w:rsidP="00143694">
            <w:pPr>
              <w:jc w:val="left"/>
              <w:rPr>
                <w:bCs/>
                <w:szCs w:val="17"/>
              </w:rPr>
            </w:pPr>
            <w:r w:rsidRPr="00586687">
              <w:rPr>
                <w:bCs/>
                <w:szCs w:val="17"/>
              </w:rPr>
              <w:t>Inclusion of definition of the illiquidity ratio introduced in previous amendment.</w:t>
            </w:r>
          </w:p>
          <w:p w14:paraId="0B6F0688" w14:textId="77777777" w:rsidR="008E3302" w:rsidRPr="00586687" w:rsidRDefault="008E3302" w:rsidP="00143694">
            <w:pPr>
              <w:jc w:val="left"/>
              <w:rPr>
                <w:bCs/>
                <w:szCs w:val="17"/>
              </w:rPr>
            </w:pPr>
          </w:p>
          <w:p w14:paraId="7EC3E329" w14:textId="4127E1E1" w:rsidR="008E3302" w:rsidRPr="00586687" w:rsidRDefault="008E3302" w:rsidP="00143694">
            <w:pPr>
              <w:jc w:val="left"/>
              <w:rPr>
                <w:i/>
                <w:szCs w:val="17"/>
              </w:rPr>
            </w:pPr>
            <w:r w:rsidRPr="00586687">
              <w:rPr>
                <w:bCs/>
                <w:i/>
                <w:iCs/>
                <w:szCs w:val="17"/>
              </w:rPr>
              <w:t xml:space="preserve">Justification: </w:t>
            </w:r>
            <w:r w:rsidRPr="00586687">
              <w:rPr>
                <w:i/>
                <w:iCs/>
              </w:rPr>
              <w:t xml:space="preserve">Not correcting the VA for the illiquidity of the liabilities, </w:t>
            </w:r>
            <w:proofErr w:type="gramStart"/>
            <w:r w:rsidRPr="00586687">
              <w:rPr>
                <w:i/>
                <w:iCs/>
              </w:rPr>
              <w:t>i.e.</w:t>
            </w:r>
            <w:proofErr w:type="gramEnd"/>
            <w:r w:rsidRPr="00586687">
              <w:rPr>
                <w:i/>
                <w:iCs/>
              </w:rPr>
              <w:t xml:space="preserve"> for the mortality risk and for the lapse risk inherent to those liabilities, would allow undertakings to have undue capital relief by applying fully the VA on those liabilities for which the VA cannot be “earned”. In a risk-based regime, this should be avoided.</w:t>
            </w:r>
          </w:p>
        </w:tc>
        <w:tc>
          <w:tcPr>
            <w:tcW w:w="1842" w:type="dxa"/>
            <w:shd w:val="clear" w:color="auto" w:fill="auto"/>
            <w:vAlign w:val="center"/>
          </w:tcPr>
          <w:p w14:paraId="3BEE92A8" w14:textId="3DA742D0" w:rsidR="008E3302" w:rsidRPr="00586687" w:rsidRDefault="008E3302" w:rsidP="00143694">
            <w:pPr>
              <w:jc w:val="center"/>
            </w:pPr>
            <w:r w:rsidRPr="00586687">
              <w:t xml:space="preserve">Van </w:t>
            </w:r>
            <w:proofErr w:type="spellStart"/>
            <w:r w:rsidRPr="00586687">
              <w:t>Overtveldt</w:t>
            </w:r>
            <w:proofErr w:type="spellEnd"/>
          </w:p>
        </w:tc>
        <w:tc>
          <w:tcPr>
            <w:tcW w:w="2127" w:type="dxa"/>
            <w:shd w:val="clear" w:color="auto" w:fill="auto"/>
            <w:vAlign w:val="center"/>
          </w:tcPr>
          <w:p w14:paraId="4A7D0D20" w14:textId="608D98DC"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3A6D5327" w14:textId="1EDEFCFA" w:rsidR="008E3302" w:rsidRPr="00586687" w:rsidRDefault="008D4707" w:rsidP="00143694">
            <w:pPr>
              <w:jc w:val="center"/>
              <w:rPr>
                <w:szCs w:val="17"/>
                <w:highlight w:val="yellow"/>
              </w:rPr>
            </w:pPr>
            <w:r w:rsidRPr="00586687">
              <w:rPr>
                <w:b/>
                <w:color w:val="FF0000"/>
                <w:szCs w:val="17"/>
              </w:rPr>
              <w:t>Negative</w:t>
            </w:r>
          </w:p>
        </w:tc>
      </w:tr>
      <w:tr w:rsidR="008E3302" w:rsidRPr="00586687" w14:paraId="5620C988" w14:textId="77777777" w:rsidTr="00A2044B">
        <w:trPr>
          <w:trHeight w:val="494"/>
        </w:trPr>
        <w:tc>
          <w:tcPr>
            <w:tcW w:w="696" w:type="dxa"/>
            <w:shd w:val="clear" w:color="auto" w:fill="auto"/>
            <w:vAlign w:val="center"/>
          </w:tcPr>
          <w:p w14:paraId="36B21DD1" w14:textId="48580D68" w:rsidR="008E3302" w:rsidRPr="00586687" w:rsidRDefault="008E3302" w:rsidP="00143694">
            <w:pPr>
              <w:jc w:val="center"/>
              <w:rPr>
                <w:bCs/>
                <w:szCs w:val="17"/>
              </w:rPr>
            </w:pPr>
            <w:r w:rsidRPr="00586687">
              <w:rPr>
                <w:bCs/>
                <w:szCs w:val="17"/>
              </w:rPr>
              <w:t>586</w:t>
            </w:r>
          </w:p>
        </w:tc>
        <w:tc>
          <w:tcPr>
            <w:tcW w:w="1931" w:type="dxa"/>
            <w:shd w:val="clear" w:color="auto" w:fill="auto"/>
            <w:vAlign w:val="center"/>
          </w:tcPr>
          <w:p w14:paraId="6A2EBD4E" w14:textId="6F4D2480" w:rsidR="008E3302" w:rsidRPr="00412D45" w:rsidRDefault="008E3302" w:rsidP="00143694">
            <w:pPr>
              <w:jc w:val="center"/>
              <w:rPr>
                <w:lang w:val="fr-FR"/>
              </w:rPr>
            </w:pPr>
            <w:r w:rsidRPr="00412D45">
              <w:rPr>
                <w:lang w:val="fr-FR"/>
              </w:rPr>
              <w:t>Article 77d– paragraph 3 – subparagraph 2 a (new)</w:t>
            </w:r>
          </w:p>
        </w:tc>
        <w:tc>
          <w:tcPr>
            <w:tcW w:w="6588" w:type="dxa"/>
            <w:shd w:val="clear" w:color="auto" w:fill="auto"/>
          </w:tcPr>
          <w:p w14:paraId="2680AAD2" w14:textId="67565459" w:rsidR="008E3302" w:rsidRPr="00586687" w:rsidRDefault="008E3302" w:rsidP="00143694">
            <w:pPr>
              <w:jc w:val="left"/>
              <w:rPr>
                <w:bCs/>
                <w:szCs w:val="17"/>
              </w:rPr>
            </w:pPr>
            <w:r w:rsidRPr="00586687">
              <w:rPr>
                <w:bCs/>
                <w:szCs w:val="17"/>
              </w:rPr>
              <w:t xml:space="preserve">Further clarifications on the illiquidity ratio, noting that it measures the degree of illiquidity of the liabilities of an </w:t>
            </w:r>
            <w:r w:rsidR="008F7B72" w:rsidRPr="00586687">
              <w:rPr>
                <w:bCs/>
                <w:szCs w:val="17"/>
              </w:rPr>
              <w:t>insurer</w:t>
            </w:r>
            <w:r w:rsidRPr="00586687">
              <w:rPr>
                <w:bCs/>
                <w:szCs w:val="17"/>
              </w:rPr>
              <w:t xml:space="preserve"> for a currency. It is determined on the basis of the mortality risk and the lapse risk inherent to the liabilities. It shall not be lower than 60% and not higher than 100%.</w:t>
            </w:r>
          </w:p>
          <w:p w14:paraId="0E06DD75" w14:textId="77777777" w:rsidR="008E3302" w:rsidRPr="00586687" w:rsidRDefault="008E3302" w:rsidP="00143694">
            <w:pPr>
              <w:jc w:val="left"/>
              <w:rPr>
                <w:szCs w:val="17"/>
              </w:rPr>
            </w:pPr>
          </w:p>
          <w:p w14:paraId="1E214622" w14:textId="11124027" w:rsidR="008E3302" w:rsidRPr="00586687" w:rsidRDefault="008E3302" w:rsidP="00143694">
            <w:pPr>
              <w:jc w:val="left"/>
              <w:rPr>
                <w:i/>
                <w:szCs w:val="17"/>
              </w:rPr>
            </w:pPr>
            <w:r w:rsidRPr="00586687">
              <w:rPr>
                <w:bCs/>
                <w:i/>
                <w:iCs/>
                <w:szCs w:val="17"/>
              </w:rPr>
              <w:t xml:space="preserve">Justification: </w:t>
            </w:r>
            <w:r w:rsidRPr="00586687">
              <w:rPr>
                <w:i/>
              </w:rPr>
              <w:t xml:space="preserve">Not correcting the VA for the illiquidity of the liabilities, </w:t>
            </w:r>
            <w:proofErr w:type="gramStart"/>
            <w:r w:rsidRPr="00586687">
              <w:rPr>
                <w:i/>
              </w:rPr>
              <w:t>i.e.</w:t>
            </w:r>
            <w:proofErr w:type="gramEnd"/>
            <w:r w:rsidRPr="00586687">
              <w:rPr>
                <w:i/>
              </w:rPr>
              <w:t xml:space="preserve"> </w:t>
            </w:r>
            <w:r w:rsidRPr="00586687">
              <w:rPr>
                <w:i/>
              </w:rPr>
              <w:lastRenderedPageBreak/>
              <w:t>for the mortality risk and for the lapse risk inherent to those liabilities, would allow undertakings to have undue capital relief by applying fully the VA on those liabilities for which the VA cannot be “earned”. In a risk</w:t>
            </w:r>
            <w:r w:rsidRPr="00586687">
              <w:rPr>
                <w:i/>
                <w:iCs/>
              </w:rPr>
              <w:t>-</w:t>
            </w:r>
            <w:r w:rsidRPr="00586687">
              <w:rPr>
                <w:i/>
              </w:rPr>
              <w:t>based regime, this should be avoided.</w:t>
            </w:r>
          </w:p>
        </w:tc>
        <w:tc>
          <w:tcPr>
            <w:tcW w:w="1842" w:type="dxa"/>
            <w:shd w:val="clear" w:color="auto" w:fill="auto"/>
            <w:vAlign w:val="center"/>
          </w:tcPr>
          <w:p w14:paraId="7D8C564C" w14:textId="54BAFB21" w:rsidR="008E3302" w:rsidRPr="00586687" w:rsidRDefault="008E3302" w:rsidP="00143694">
            <w:pPr>
              <w:jc w:val="center"/>
            </w:pPr>
            <w:r w:rsidRPr="00586687">
              <w:lastRenderedPageBreak/>
              <w:t xml:space="preserve">Van </w:t>
            </w:r>
            <w:proofErr w:type="spellStart"/>
            <w:r w:rsidRPr="00586687">
              <w:t>Overtveldt</w:t>
            </w:r>
            <w:proofErr w:type="spellEnd"/>
          </w:p>
        </w:tc>
        <w:tc>
          <w:tcPr>
            <w:tcW w:w="2127" w:type="dxa"/>
            <w:shd w:val="clear" w:color="auto" w:fill="auto"/>
            <w:vAlign w:val="center"/>
          </w:tcPr>
          <w:p w14:paraId="0BD79A8C" w14:textId="79A6E9AF"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6950A6ED" w14:textId="2484B6AE" w:rsidR="008E3302" w:rsidRPr="00586687" w:rsidRDefault="008D4707" w:rsidP="00143694">
            <w:pPr>
              <w:jc w:val="center"/>
              <w:rPr>
                <w:szCs w:val="17"/>
                <w:highlight w:val="yellow"/>
              </w:rPr>
            </w:pPr>
            <w:r w:rsidRPr="00586687">
              <w:rPr>
                <w:b/>
                <w:color w:val="FF0000"/>
                <w:szCs w:val="17"/>
              </w:rPr>
              <w:t>Negative</w:t>
            </w:r>
          </w:p>
        </w:tc>
      </w:tr>
      <w:tr w:rsidR="008E3302" w:rsidRPr="00586687" w14:paraId="109FF4AA" w14:textId="77777777" w:rsidTr="00A2044B">
        <w:trPr>
          <w:trHeight w:val="494"/>
        </w:trPr>
        <w:tc>
          <w:tcPr>
            <w:tcW w:w="696" w:type="dxa"/>
            <w:shd w:val="clear" w:color="auto" w:fill="auto"/>
            <w:vAlign w:val="center"/>
          </w:tcPr>
          <w:p w14:paraId="053B8B57" w14:textId="65B9ABA9" w:rsidR="008E3302" w:rsidRPr="00586687" w:rsidRDefault="008E3302" w:rsidP="00143694">
            <w:pPr>
              <w:jc w:val="center"/>
              <w:rPr>
                <w:bCs/>
                <w:szCs w:val="17"/>
              </w:rPr>
            </w:pPr>
            <w:r w:rsidRPr="00586687">
              <w:rPr>
                <w:bCs/>
                <w:szCs w:val="17"/>
              </w:rPr>
              <w:t>587, 590</w:t>
            </w:r>
          </w:p>
        </w:tc>
        <w:tc>
          <w:tcPr>
            <w:tcW w:w="1931" w:type="dxa"/>
            <w:shd w:val="clear" w:color="auto" w:fill="auto"/>
            <w:vAlign w:val="center"/>
          </w:tcPr>
          <w:p w14:paraId="585D4260" w14:textId="5B6AE165" w:rsidR="008E3302" w:rsidRPr="00412D45" w:rsidRDefault="008E3302" w:rsidP="00143694">
            <w:pPr>
              <w:jc w:val="center"/>
              <w:rPr>
                <w:lang w:val="fr-FR"/>
              </w:rPr>
            </w:pPr>
            <w:r w:rsidRPr="00412D45">
              <w:rPr>
                <w:lang w:val="fr-FR"/>
              </w:rPr>
              <w:t>Article 77d – paragraph 3 a (new)</w:t>
            </w:r>
          </w:p>
        </w:tc>
        <w:tc>
          <w:tcPr>
            <w:tcW w:w="6588" w:type="dxa"/>
            <w:shd w:val="clear" w:color="auto" w:fill="auto"/>
          </w:tcPr>
          <w:p w14:paraId="6F013D40" w14:textId="6F10A0E3" w:rsidR="008E3302" w:rsidRPr="00586687" w:rsidRDefault="008E3302" w:rsidP="00143694">
            <w:pPr>
              <w:jc w:val="left"/>
              <w:rPr>
                <w:bCs/>
                <w:szCs w:val="17"/>
              </w:rPr>
            </w:pPr>
            <w:r w:rsidRPr="00586687">
              <w:rPr>
                <w:bCs/>
                <w:szCs w:val="17"/>
              </w:rPr>
              <w:t>Proposal to introduce in Level 1 the formula of the risk correction which is in line with the existing methodology which links the risk correction to the fundamental spread.</w:t>
            </w:r>
          </w:p>
          <w:p w14:paraId="5D6ED9D3" w14:textId="77777777" w:rsidR="008E3302" w:rsidRPr="00586687" w:rsidRDefault="008E3302" w:rsidP="00143694">
            <w:pPr>
              <w:jc w:val="left"/>
              <w:rPr>
                <w:bCs/>
                <w:szCs w:val="17"/>
              </w:rPr>
            </w:pPr>
          </w:p>
          <w:p w14:paraId="20AC726B" w14:textId="3E590BC6" w:rsidR="008E3302" w:rsidRPr="00586687" w:rsidRDefault="008E3302" w:rsidP="00143694">
            <w:pPr>
              <w:jc w:val="left"/>
              <w:rPr>
                <w:i/>
                <w:szCs w:val="17"/>
              </w:rPr>
            </w:pPr>
            <w:r w:rsidRPr="00586687">
              <w:rPr>
                <w:bCs/>
                <w:i/>
                <w:iCs/>
                <w:szCs w:val="17"/>
              </w:rPr>
              <w:t>“</w:t>
            </w:r>
            <w:r w:rsidRPr="00586687">
              <w:rPr>
                <w:i/>
                <w:szCs w:val="17"/>
              </w:rPr>
              <w:t>The portion of the spread that is attributable to a realistic assessment of</w:t>
            </w:r>
          </w:p>
          <w:p w14:paraId="700297AE" w14:textId="77777777" w:rsidR="008E3302" w:rsidRPr="00586687" w:rsidRDefault="008E3302" w:rsidP="00143694">
            <w:pPr>
              <w:jc w:val="left"/>
              <w:rPr>
                <w:bCs/>
                <w:i/>
                <w:iCs/>
                <w:szCs w:val="17"/>
              </w:rPr>
            </w:pPr>
            <w:r w:rsidRPr="00586687">
              <w:rPr>
                <w:i/>
                <w:szCs w:val="17"/>
              </w:rPr>
              <w:t>expected losses, unexpected credit risk or any other risk shall be calculated in the same manner as the fundamental spread referred to in Article 77</w:t>
            </w:r>
            <w:proofErr w:type="gramStart"/>
            <w:r w:rsidRPr="00586687">
              <w:rPr>
                <w:i/>
                <w:szCs w:val="17"/>
              </w:rPr>
              <w:t>c(</w:t>
            </w:r>
            <w:proofErr w:type="gramEnd"/>
            <w:r w:rsidRPr="00586687">
              <w:rPr>
                <w:i/>
                <w:szCs w:val="17"/>
              </w:rPr>
              <w:t>2</w:t>
            </w:r>
            <w:r w:rsidRPr="00586687">
              <w:rPr>
                <w:bCs/>
                <w:i/>
                <w:iCs/>
                <w:szCs w:val="17"/>
              </w:rPr>
              <w:t>)”.</w:t>
            </w:r>
          </w:p>
          <w:p w14:paraId="46EC898D" w14:textId="77777777" w:rsidR="008E3302" w:rsidRPr="00586687" w:rsidRDefault="008E3302" w:rsidP="00143694">
            <w:pPr>
              <w:jc w:val="left"/>
              <w:rPr>
                <w:bCs/>
                <w:i/>
                <w:iCs/>
                <w:szCs w:val="17"/>
              </w:rPr>
            </w:pPr>
          </w:p>
          <w:p w14:paraId="0CC83871" w14:textId="1735378A" w:rsidR="008E3302" w:rsidRPr="00586687" w:rsidRDefault="008E3302" w:rsidP="00143694">
            <w:pPr>
              <w:jc w:val="left"/>
              <w:rPr>
                <w:szCs w:val="17"/>
              </w:rPr>
            </w:pPr>
          </w:p>
        </w:tc>
        <w:tc>
          <w:tcPr>
            <w:tcW w:w="1842" w:type="dxa"/>
            <w:shd w:val="clear" w:color="auto" w:fill="auto"/>
            <w:vAlign w:val="center"/>
          </w:tcPr>
          <w:p w14:paraId="7829F92D" w14:textId="54D0A2AA" w:rsidR="008E3302" w:rsidRPr="00586687" w:rsidRDefault="008E3302" w:rsidP="00143694">
            <w:pPr>
              <w:jc w:val="center"/>
            </w:pPr>
            <w:proofErr w:type="spellStart"/>
            <w:r w:rsidRPr="00586687">
              <w:t>Fitto</w:t>
            </w:r>
            <w:proofErr w:type="spellEnd"/>
            <w:r w:rsidRPr="00586687">
              <w:t xml:space="preserve"> (587)</w:t>
            </w:r>
            <w:r w:rsidR="00631A7A" w:rsidRPr="00586687">
              <w:t>/</w:t>
            </w:r>
            <w:r w:rsidRPr="00586687">
              <w:t xml:space="preserve"> Castaldo (590)</w:t>
            </w:r>
          </w:p>
        </w:tc>
        <w:tc>
          <w:tcPr>
            <w:tcW w:w="2127" w:type="dxa"/>
            <w:shd w:val="clear" w:color="auto" w:fill="auto"/>
            <w:vAlign w:val="center"/>
          </w:tcPr>
          <w:p w14:paraId="7D49210A" w14:textId="036762FD"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798579D6" w14:textId="69F38AD7" w:rsidR="008E3302" w:rsidRPr="00586687" w:rsidRDefault="0007737D" w:rsidP="00143694">
            <w:pPr>
              <w:jc w:val="center"/>
              <w:rPr>
                <w:szCs w:val="17"/>
              </w:rPr>
            </w:pPr>
            <w:r w:rsidRPr="00586687">
              <w:rPr>
                <w:b/>
                <w:color w:val="00B050"/>
                <w:szCs w:val="17"/>
              </w:rPr>
              <w:t>Positive</w:t>
            </w:r>
          </w:p>
        </w:tc>
      </w:tr>
      <w:tr w:rsidR="008E3302" w:rsidRPr="00586687" w14:paraId="48352C84" w14:textId="77777777" w:rsidTr="00A2044B">
        <w:trPr>
          <w:trHeight w:val="494"/>
        </w:trPr>
        <w:tc>
          <w:tcPr>
            <w:tcW w:w="696" w:type="dxa"/>
            <w:shd w:val="clear" w:color="auto" w:fill="auto"/>
            <w:vAlign w:val="center"/>
          </w:tcPr>
          <w:p w14:paraId="44595C53" w14:textId="5D3186F5" w:rsidR="008E3302" w:rsidRPr="00586687" w:rsidRDefault="008E3302" w:rsidP="00143694">
            <w:pPr>
              <w:jc w:val="center"/>
              <w:rPr>
                <w:szCs w:val="17"/>
              </w:rPr>
            </w:pPr>
            <w:r w:rsidRPr="00586687">
              <w:rPr>
                <w:bCs/>
                <w:szCs w:val="17"/>
              </w:rPr>
              <w:t>588</w:t>
            </w:r>
          </w:p>
        </w:tc>
        <w:tc>
          <w:tcPr>
            <w:tcW w:w="1931" w:type="dxa"/>
            <w:shd w:val="clear" w:color="auto" w:fill="auto"/>
            <w:vAlign w:val="center"/>
          </w:tcPr>
          <w:p w14:paraId="3337B89D" w14:textId="58F54F5D" w:rsidR="008E3302" w:rsidRPr="00412D45" w:rsidRDefault="008E3302" w:rsidP="00143694">
            <w:pPr>
              <w:jc w:val="center"/>
              <w:rPr>
                <w:lang w:val="fr-FR"/>
              </w:rPr>
            </w:pPr>
            <w:r w:rsidRPr="00412D45">
              <w:rPr>
                <w:lang w:val="fr-FR"/>
              </w:rPr>
              <w:t>Article 77d – paragraph 3 a (new)</w:t>
            </w:r>
          </w:p>
        </w:tc>
        <w:tc>
          <w:tcPr>
            <w:tcW w:w="6588" w:type="dxa"/>
            <w:shd w:val="clear" w:color="auto" w:fill="auto"/>
          </w:tcPr>
          <w:p w14:paraId="09B4BA74" w14:textId="2DEC1D7C" w:rsidR="008E3302" w:rsidRPr="00586687" w:rsidRDefault="008E3302" w:rsidP="00143694">
            <w:pPr>
              <w:jc w:val="left"/>
              <w:rPr>
                <w:bCs/>
                <w:szCs w:val="17"/>
              </w:rPr>
            </w:pPr>
            <w:r w:rsidRPr="00586687">
              <w:rPr>
                <w:bCs/>
                <w:szCs w:val="17"/>
              </w:rPr>
              <w:t>Proposal to maintain the existing risk methodology which links the risk correction to the fundamental spread, without further clarifying the formula to be used.</w:t>
            </w:r>
          </w:p>
          <w:p w14:paraId="7BB23E6A" w14:textId="77777777" w:rsidR="008E3302" w:rsidRPr="00586687" w:rsidRDefault="008E3302" w:rsidP="00143694">
            <w:pPr>
              <w:jc w:val="left"/>
              <w:rPr>
                <w:szCs w:val="17"/>
              </w:rPr>
            </w:pPr>
          </w:p>
        </w:tc>
        <w:tc>
          <w:tcPr>
            <w:tcW w:w="1842" w:type="dxa"/>
            <w:shd w:val="clear" w:color="auto" w:fill="auto"/>
            <w:vAlign w:val="center"/>
          </w:tcPr>
          <w:p w14:paraId="0011717B" w14:textId="6D7B15EC" w:rsidR="008E3302" w:rsidRPr="00586687" w:rsidRDefault="008E3302" w:rsidP="00143694">
            <w:pPr>
              <w:jc w:val="center"/>
            </w:pPr>
            <w:proofErr w:type="spellStart"/>
            <w:r w:rsidRPr="00586687">
              <w:t>Zanni</w:t>
            </w:r>
            <w:proofErr w:type="spellEnd"/>
            <w:r w:rsidRPr="00586687">
              <w:t>, Grant, Rinaldi</w:t>
            </w:r>
          </w:p>
        </w:tc>
        <w:tc>
          <w:tcPr>
            <w:tcW w:w="2127" w:type="dxa"/>
            <w:shd w:val="clear" w:color="auto" w:fill="auto"/>
            <w:vAlign w:val="center"/>
          </w:tcPr>
          <w:p w14:paraId="383B30A9" w14:textId="17976B87"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51C686FB" w14:textId="00596A5A" w:rsidR="008E3302" w:rsidRPr="00586687" w:rsidRDefault="0007737D" w:rsidP="00143694">
            <w:pPr>
              <w:jc w:val="center"/>
              <w:rPr>
                <w:szCs w:val="17"/>
              </w:rPr>
            </w:pPr>
            <w:r w:rsidRPr="00586687">
              <w:rPr>
                <w:b/>
                <w:color w:val="00B050"/>
                <w:szCs w:val="17"/>
              </w:rPr>
              <w:t>Positive</w:t>
            </w:r>
          </w:p>
        </w:tc>
      </w:tr>
      <w:tr w:rsidR="008E3302" w:rsidRPr="00586687" w14:paraId="77D89D35" w14:textId="77777777" w:rsidTr="00A2044B">
        <w:trPr>
          <w:trHeight w:val="494"/>
        </w:trPr>
        <w:tc>
          <w:tcPr>
            <w:tcW w:w="696" w:type="dxa"/>
            <w:shd w:val="clear" w:color="auto" w:fill="auto"/>
            <w:vAlign w:val="center"/>
          </w:tcPr>
          <w:p w14:paraId="3AF99BEB" w14:textId="730B8A7E" w:rsidR="008E3302" w:rsidRPr="00586687" w:rsidRDefault="008E3302" w:rsidP="00143694">
            <w:pPr>
              <w:jc w:val="center"/>
              <w:rPr>
                <w:szCs w:val="17"/>
              </w:rPr>
            </w:pPr>
            <w:r w:rsidRPr="00586687">
              <w:rPr>
                <w:bCs/>
                <w:szCs w:val="17"/>
              </w:rPr>
              <w:t>589</w:t>
            </w:r>
          </w:p>
        </w:tc>
        <w:tc>
          <w:tcPr>
            <w:tcW w:w="1931" w:type="dxa"/>
            <w:shd w:val="clear" w:color="auto" w:fill="auto"/>
            <w:vAlign w:val="center"/>
          </w:tcPr>
          <w:p w14:paraId="14DF69A7" w14:textId="037F4676" w:rsidR="008E3302" w:rsidRPr="00412D45" w:rsidRDefault="008E3302" w:rsidP="00143694">
            <w:pPr>
              <w:jc w:val="center"/>
              <w:rPr>
                <w:lang w:val="fr-FR"/>
              </w:rPr>
            </w:pPr>
            <w:r w:rsidRPr="00412D45">
              <w:rPr>
                <w:lang w:val="fr-FR"/>
              </w:rPr>
              <w:t>Article 77d – paragraph 3 a (new)</w:t>
            </w:r>
          </w:p>
        </w:tc>
        <w:tc>
          <w:tcPr>
            <w:tcW w:w="6588" w:type="dxa"/>
            <w:shd w:val="clear" w:color="auto" w:fill="auto"/>
          </w:tcPr>
          <w:p w14:paraId="36ADAA3D" w14:textId="3C1A6AEC" w:rsidR="008E3302" w:rsidRPr="00586687" w:rsidRDefault="008E3302" w:rsidP="00143694">
            <w:pPr>
              <w:jc w:val="left"/>
              <w:rPr>
                <w:bCs/>
                <w:szCs w:val="17"/>
              </w:rPr>
            </w:pPr>
            <w:r w:rsidRPr="00586687">
              <w:rPr>
                <w:bCs/>
                <w:szCs w:val="17"/>
              </w:rPr>
              <w:t>Proposal that the risk correction is calculated as a function of the long-term average spread and the level of the spread.</w:t>
            </w:r>
          </w:p>
          <w:p w14:paraId="52D30722" w14:textId="77777777" w:rsidR="008E3302" w:rsidRPr="00586687" w:rsidRDefault="008E3302" w:rsidP="00143694">
            <w:pPr>
              <w:jc w:val="left"/>
              <w:rPr>
                <w:bCs/>
                <w:szCs w:val="17"/>
              </w:rPr>
            </w:pPr>
          </w:p>
          <w:p w14:paraId="59E4F8FE" w14:textId="47940C71" w:rsidR="008E3302" w:rsidRPr="00586687" w:rsidRDefault="008E3302" w:rsidP="00143694">
            <w:pPr>
              <w:jc w:val="left"/>
              <w:rPr>
                <w:i/>
                <w:szCs w:val="17"/>
              </w:rPr>
            </w:pPr>
            <w:r w:rsidRPr="00586687">
              <w:rPr>
                <w:bCs/>
                <w:i/>
                <w:iCs/>
                <w:szCs w:val="17"/>
              </w:rPr>
              <w:t xml:space="preserve">Justification: </w:t>
            </w:r>
            <w:r w:rsidRPr="00586687">
              <w:rPr>
                <w:i/>
                <w:iCs/>
              </w:rPr>
              <w:t>When the risk-correction of the spreads is calculated based on the fundamental spreads, as is currently the case, the risk-correction hardly changes with credit spread changes. However, there is historical evidence that, when spreads increase, the number of defaults increases as well. It is therefore suggested to also take the level of the spreads into account when calculating the risk-correction of the spread.</w:t>
            </w:r>
          </w:p>
        </w:tc>
        <w:tc>
          <w:tcPr>
            <w:tcW w:w="1842" w:type="dxa"/>
            <w:shd w:val="clear" w:color="auto" w:fill="auto"/>
            <w:vAlign w:val="center"/>
          </w:tcPr>
          <w:p w14:paraId="4031137F" w14:textId="3127B67A" w:rsidR="008E3302" w:rsidRPr="00586687" w:rsidRDefault="008E3302" w:rsidP="00143694">
            <w:pPr>
              <w:jc w:val="center"/>
            </w:pPr>
            <w:r w:rsidRPr="00586687">
              <w:t xml:space="preserve">Van </w:t>
            </w:r>
            <w:proofErr w:type="spellStart"/>
            <w:r w:rsidRPr="00586687">
              <w:t>Overtveldt</w:t>
            </w:r>
            <w:proofErr w:type="spellEnd"/>
          </w:p>
        </w:tc>
        <w:tc>
          <w:tcPr>
            <w:tcW w:w="2127" w:type="dxa"/>
            <w:shd w:val="clear" w:color="auto" w:fill="auto"/>
            <w:vAlign w:val="center"/>
          </w:tcPr>
          <w:p w14:paraId="35C5C634" w14:textId="56461C32"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7F519546" w14:textId="4E3BABCB" w:rsidR="008E3302" w:rsidRPr="00586687" w:rsidRDefault="008D4707" w:rsidP="00143694">
            <w:pPr>
              <w:jc w:val="center"/>
              <w:rPr>
                <w:szCs w:val="17"/>
              </w:rPr>
            </w:pPr>
            <w:r w:rsidRPr="00586687">
              <w:rPr>
                <w:b/>
                <w:color w:val="FF0000"/>
                <w:szCs w:val="17"/>
              </w:rPr>
              <w:t>Negative</w:t>
            </w:r>
          </w:p>
        </w:tc>
      </w:tr>
      <w:tr w:rsidR="008E3302" w:rsidRPr="00586687" w14:paraId="2153F1F9" w14:textId="77777777" w:rsidTr="00A2044B">
        <w:trPr>
          <w:trHeight w:val="494"/>
        </w:trPr>
        <w:tc>
          <w:tcPr>
            <w:tcW w:w="696" w:type="dxa"/>
            <w:shd w:val="clear" w:color="auto" w:fill="auto"/>
            <w:vAlign w:val="center"/>
          </w:tcPr>
          <w:p w14:paraId="200AB960" w14:textId="68B1DF30" w:rsidR="008E3302" w:rsidRPr="00586687" w:rsidRDefault="008E3302" w:rsidP="00143694">
            <w:pPr>
              <w:jc w:val="center"/>
              <w:rPr>
                <w:szCs w:val="17"/>
              </w:rPr>
            </w:pPr>
            <w:r w:rsidRPr="00586687">
              <w:rPr>
                <w:bCs/>
                <w:szCs w:val="17"/>
              </w:rPr>
              <w:t>591</w:t>
            </w:r>
          </w:p>
        </w:tc>
        <w:tc>
          <w:tcPr>
            <w:tcW w:w="1931" w:type="dxa"/>
            <w:shd w:val="clear" w:color="auto" w:fill="auto"/>
            <w:vAlign w:val="center"/>
          </w:tcPr>
          <w:p w14:paraId="567652D8" w14:textId="5CA59F30" w:rsidR="008E3302" w:rsidRPr="00586687" w:rsidRDefault="008E3302" w:rsidP="00143694">
            <w:pPr>
              <w:jc w:val="center"/>
            </w:pPr>
            <w:r w:rsidRPr="00586687">
              <w:t>Article 77d – paragraph 4 – subparagraph 1</w:t>
            </w:r>
          </w:p>
        </w:tc>
        <w:tc>
          <w:tcPr>
            <w:tcW w:w="6588" w:type="dxa"/>
            <w:shd w:val="clear" w:color="auto" w:fill="auto"/>
          </w:tcPr>
          <w:p w14:paraId="14550070" w14:textId="5D7B6DA0" w:rsidR="008E3302" w:rsidRPr="00586687" w:rsidRDefault="008E3302" w:rsidP="00143694">
            <w:pPr>
              <w:jc w:val="left"/>
              <w:rPr>
                <w:szCs w:val="17"/>
              </w:rPr>
            </w:pPr>
            <w:r w:rsidRPr="00586687">
              <w:rPr>
                <w:bCs/>
                <w:szCs w:val="17"/>
              </w:rPr>
              <w:t xml:space="preserve">Inclusion of an illiquidity ratio in the </w:t>
            </w:r>
            <w:proofErr w:type="gramStart"/>
            <w:r w:rsidRPr="00586687">
              <w:rPr>
                <w:bCs/>
                <w:szCs w:val="17"/>
              </w:rPr>
              <w:t xml:space="preserve">macro </w:t>
            </w:r>
            <w:r w:rsidR="00D6050A" w:rsidRPr="00586687">
              <w:rPr>
                <w:bCs/>
                <w:szCs w:val="17"/>
              </w:rPr>
              <w:t>VA</w:t>
            </w:r>
            <w:r w:rsidRPr="00586687">
              <w:rPr>
                <w:bCs/>
                <w:szCs w:val="17"/>
              </w:rPr>
              <w:t>.</w:t>
            </w:r>
            <w:proofErr w:type="gramEnd"/>
          </w:p>
        </w:tc>
        <w:tc>
          <w:tcPr>
            <w:tcW w:w="1842" w:type="dxa"/>
            <w:shd w:val="clear" w:color="auto" w:fill="auto"/>
            <w:vAlign w:val="center"/>
          </w:tcPr>
          <w:p w14:paraId="1BFE859B" w14:textId="69758BBA" w:rsidR="008E3302" w:rsidRPr="00586687" w:rsidRDefault="008E3302" w:rsidP="00143694">
            <w:pPr>
              <w:jc w:val="center"/>
            </w:pPr>
            <w:r w:rsidRPr="00586687">
              <w:t>MacManus</w:t>
            </w:r>
          </w:p>
        </w:tc>
        <w:tc>
          <w:tcPr>
            <w:tcW w:w="2127" w:type="dxa"/>
            <w:shd w:val="clear" w:color="auto" w:fill="auto"/>
            <w:vAlign w:val="center"/>
          </w:tcPr>
          <w:p w14:paraId="0E5858A3" w14:textId="0EB6BD93"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6E4D2A12" w14:textId="503FE49A" w:rsidR="008E3302" w:rsidRPr="00586687" w:rsidRDefault="008D4707" w:rsidP="00143694">
            <w:pPr>
              <w:jc w:val="center"/>
              <w:rPr>
                <w:szCs w:val="17"/>
              </w:rPr>
            </w:pPr>
            <w:r w:rsidRPr="00586687">
              <w:rPr>
                <w:b/>
                <w:color w:val="FF0000"/>
                <w:szCs w:val="17"/>
              </w:rPr>
              <w:t>Negative</w:t>
            </w:r>
          </w:p>
        </w:tc>
      </w:tr>
      <w:tr w:rsidR="008E3302" w:rsidRPr="00586687" w14:paraId="68424504" w14:textId="77777777" w:rsidTr="00A2044B">
        <w:trPr>
          <w:trHeight w:val="494"/>
        </w:trPr>
        <w:tc>
          <w:tcPr>
            <w:tcW w:w="696" w:type="dxa"/>
            <w:shd w:val="clear" w:color="auto" w:fill="auto"/>
            <w:vAlign w:val="center"/>
          </w:tcPr>
          <w:p w14:paraId="2C7693A2" w14:textId="612D3177" w:rsidR="008E3302" w:rsidRPr="00586687" w:rsidRDefault="008E3302" w:rsidP="00143694">
            <w:pPr>
              <w:jc w:val="center"/>
              <w:rPr>
                <w:szCs w:val="17"/>
              </w:rPr>
            </w:pPr>
            <w:r w:rsidRPr="00586687">
              <w:rPr>
                <w:bCs/>
                <w:szCs w:val="17"/>
              </w:rPr>
              <w:t>592-593</w:t>
            </w:r>
          </w:p>
        </w:tc>
        <w:tc>
          <w:tcPr>
            <w:tcW w:w="1931" w:type="dxa"/>
            <w:shd w:val="clear" w:color="auto" w:fill="auto"/>
            <w:vAlign w:val="center"/>
          </w:tcPr>
          <w:p w14:paraId="5C0A6DD7" w14:textId="5A8AF624" w:rsidR="008E3302" w:rsidRPr="00586687" w:rsidRDefault="008E3302" w:rsidP="00143694">
            <w:pPr>
              <w:jc w:val="center"/>
            </w:pPr>
            <w:r w:rsidRPr="00586687">
              <w:t xml:space="preserve">Article 77d – paragraph 4 – subparagraph 1 – point b a (new), </w:t>
            </w:r>
            <w:r w:rsidRPr="00586687">
              <w:lastRenderedPageBreak/>
              <w:t>subparagraph 2 a (new)</w:t>
            </w:r>
          </w:p>
        </w:tc>
        <w:tc>
          <w:tcPr>
            <w:tcW w:w="6588" w:type="dxa"/>
            <w:shd w:val="clear" w:color="auto" w:fill="auto"/>
          </w:tcPr>
          <w:p w14:paraId="7E289C0E" w14:textId="54D95892" w:rsidR="008E3302" w:rsidRPr="00586687" w:rsidRDefault="008E3302" w:rsidP="00143694">
            <w:pPr>
              <w:jc w:val="left"/>
              <w:rPr>
                <w:bCs/>
                <w:szCs w:val="17"/>
              </w:rPr>
            </w:pPr>
            <w:r w:rsidRPr="00586687">
              <w:rPr>
                <w:bCs/>
                <w:szCs w:val="17"/>
              </w:rPr>
              <w:lastRenderedPageBreak/>
              <w:t xml:space="preserve">Inclusion of an illiquidity ratio in the </w:t>
            </w:r>
            <w:proofErr w:type="gramStart"/>
            <w:r w:rsidRPr="00586687">
              <w:rPr>
                <w:bCs/>
                <w:szCs w:val="17"/>
              </w:rPr>
              <w:t xml:space="preserve">macro </w:t>
            </w:r>
            <w:r w:rsidR="00D6050A" w:rsidRPr="00586687">
              <w:rPr>
                <w:bCs/>
                <w:szCs w:val="17"/>
              </w:rPr>
              <w:t>VA</w:t>
            </w:r>
            <w:r w:rsidRPr="00586687">
              <w:rPr>
                <w:bCs/>
                <w:szCs w:val="17"/>
              </w:rPr>
              <w:t>.</w:t>
            </w:r>
            <w:proofErr w:type="gramEnd"/>
          </w:p>
          <w:p w14:paraId="17F43541" w14:textId="77777777" w:rsidR="008E3302" w:rsidRPr="00586687" w:rsidRDefault="008E3302" w:rsidP="00143694">
            <w:pPr>
              <w:jc w:val="left"/>
              <w:rPr>
                <w:bCs/>
                <w:szCs w:val="17"/>
              </w:rPr>
            </w:pPr>
          </w:p>
          <w:p w14:paraId="1724AF98" w14:textId="474AD5BA" w:rsidR="008E3302" w:rsidRPr="00586687" w:rsidRDefault="008E3302" w:rsidP="00143694">
            <w:pPr>
              <w:jc w:val="left"/>
              <w:rPr>
                <w:i/>
                <w:szCs w:val="17"/>
              </w:rPr>
            </w:pPr>
            <w:r w:rsidRPr="00586687">
              <w:rPr>
                <w:i/>
                <w:iCs/>
              </w:rPr>
              <w:t xml:space="preserve">Justification: The formula of the Volatility Adjustment should include a correction factor that takes the illiquidity of the liabilities into account, </w:t>
            </w:r>
            <w:proofErr w:type="gramStart"/>
            <w:r w:rsidRPr="00586687">
              <w:rPr>
                <w:i/>
                <w:iCs/>
              </w:rPr>
              <w:t>i.e.</w:t>
            </w:r>
            <w:proofErr w:type="gramEnd"/>
            <w:r w:rsidRPr="00586687">
              <w:rPr>
                <w:i/>
                <w:iCs/>
              </w:rPr>
              <w:t xml:space="preserve"> </w:t>
            </w:r>
            <w:r w:rsidRPr="00586687">
              <w:rPr>
                <w:i/>
                <w:iCs/>
              </w:rPr>
              <w:lastRenderedPageBreak/>
              <w:t>that should take at least the mortality risk and the lapse risk of the liabilities into account. The technicity of this correction factor should be specified in the Delegated Regulation.</w:t>
            </w:r>
          </w:p>
        </w:tc>
        <w:tc>
          <w:tcPr>
            <w:tcW w:w="1842" w:type="dxa"/>
            <w:shd w:val="clear" w:color="auto" w:fill="auto"/>
            <w:vAlign w:val="center"/>
          </w:tcPr>
          <w:p w14:paraId="75710F91" w14:textId="08D357A3" w:rsidR="008E3302" w:rsidRPr="00586687" w:rsidRDefault="008E3302" w:rsidP="00143694">
            <w:pPr>
              <w:jc w:val="center"/>
            </w:pPr>
            <w:r w:rsidRPr="00586687">
              <w:lastRenderedPageBreak/>
              <w:t xml:space="preserve">Van </w:t>
            </w:r>
            <w:proofErr w:type="spellStart"/>
            <w:r w:rsidRPr="00586687">
              <w:t>Overtveldt</w:t>
            </w:r>
            <w:proofErr w:type="spellEnd"/>
          </w:p>
        </w:tc>
        <w:tc>
          <w:tcPr>
            <w:tcW w:w="2127" w:type="dxa"/>
            <w:shd w:val="clear" w:color="auto" w:fill="auto"/>
            <w:vAlign w:val="center"/>
          </w:tcPr>
          <w:p w14:paraId="0D6F141B" w14:textId="725785E7"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79630EF8" w14:textId="0FDA8F68" w:rsidR="008E3302" w:rsidRPr="00586687" w:rsidRDefault="008D4707" w:rsidP="00143694">
            <w:pPr>
              <w:jc w:val="center"/>
              <w:rPr>
                <w:szCs w:val="17"/>
              </w:rPr>
            </w:pPr>
            <w:r w:rsidRPr="00586687">
              <w:rPr>
                <w:b/>
                <w:color w:val="FF0000"/>
                <w:szCs w:val="17"/>
              </w:rPr>
              <w:t>Negative</w:t>
            </w:r>
          </w:p>
        </w:tc>
      </w:tr>
      <w:tr w:rsidR="008E3302" w:rsidRPr="00586687" w14:paraId="1A3BF61B" w14:textId="77777777" w:rsidTr="00A2044B">
        <w:trPr>
          <w:trHeight w:val="494"/>
        </w:trPr>
        <w:tc>
          <w:tcPr>
            <w:tcW w:w="696" w:type="dxa"/>
            <w:shd w:val="clear" w:color="auto" w:fill="auto"/>
            <w:vAlign w:val="center"/>
          </w:tcPr>
          <w:p w14:paraId="515E8D48" w14:textId="5F91BC9B" w:rsidR="008E3302" w:rsidRPr="00586687" w:rsidRDefault="008E3302" w:rsidP="00143694">
            <w:pPr>
              <w:jc w:val="center"/>
              <w:rPr>
                <w:szCs w:val="17"/>
              </w:rPr>
            </w:pPr>
            <w:r w:rsidRPr="00586687">
              <w:rPr>
                <w:bCs/>
                <w:szCs w:val="17"/>
              </w:rPr>
              <w:t>594</w:t>
            </w:r>
            <w:r w:rsidR="005E6D2D" w:rsidRPr="00586687">
              <w:rPr>
                <w:bCs/>
                <w:szCs w:val="17"/>
              </w:rPr>
              <w:t>-595-596</w:t>
            </w:r>
          </w:p>
        </w:tc>
        <w:tc>
          <w:tcPr>
            <w:tcW w:w="1931" w:type="dxa"/>
            <w:shd w:val="clear" w:color="auto" w:fill="auto"/>
            <w:vAlign w:val="center"/>
          </w:tcPr>
          <w:p w14:paraId="335EF366" w14:textId="63F279E6" w:rsidR="008E3302" w:rsidRPr="00412D45" w:rsidRDefault="008E3302" w:rsidP="00143694">
            <w:pPr>
              <w:jc w:val="center"/>
              <w:rPr>
                <w:lang w:val="fr-FR"/>
              </w:rPr>
            </w:pPr>
            <w:r w:rsidRPr="00412D45">
              <w:rPr>
                <w:lang w:val="fr-FR"/>
              </w:rPr>
              <w:t>Article 77d – paragraph 4 – subparagraph 5 – part 2</w:t>
            </w:r>
          </w:p>
        </w:tc>
        <w:tc>
          <w:tcPr>
            <w:tcW w:w="6588" w:type="dxa"/>
            <w:shd w:val="clear" w:color="auto" w:fill="auto"/>
          </w:tcPr>
          <w:p w14:paraId="5CAC6DA4" w14:textId="5AA7F1A8" w:rsidR="008E3302" w:rsidRPr="00586687" w:rsidRDefault="008E3302" w:rsidP="00143694">
            <w:pPr>
              <w:jc w:val="left"/>
              <w:rPr>
                <w:szCs w:val="17"/>
              </w:rPr>
            </w:pPr>
            <w:r w:rsidRPr="00586687">
              <w:rPr>
                <w:szCs w:val="17"/>
              </w:rPr>
              <w:t xml:space="preserve">Removal of risk corrected spread </w:t>
            </w:r>
            <w:r w:rsidR="005E6D2D" w:rsidRPr="00586687">
              <w:rPr>
                <w:szCs w:val="17"/>
              </w:rPr>
              <w:t xml:space="preserve">definition </w:t>
            </w:r>
            <w:r w:rsidRPr="00586687">
              <w:rPr>
                <w:szCs w:val="17"/>
              </w:rPr>
              <w:t>for a given country which is multiplied by the percentage of investments in debt instruments relative to total assets held by insurance and reinsurance undertakings authorised in country co.</w:t>
            </w:r>
          </w:p>
        </w:tc>
        <w:tc>
          <w:tcPr>
            <w:tcW w:w="1842" w:type="dxa"/>
            <w:shd w:val="clear" w:color="auto" w:fill="auto"/>
            <w:vAlign w:val="center"/>
          </w:tcPr>
          <w:p w14:paraId="5DF70165" w14:textId="75E0F506" w:rsidR="008E3302" w:rsidRPr="00586687" w:rsidRDefault="00A2134F" w:rsidP="00143694">
            <w:pPr>
              <w:jc w:val="center"/>
            </w:pPr>
            <w:r w:rsidRPr="00586687">
              <w:t>C</w:t>
            </w:r>
            <w:r w:rsidR="008E3302" w:rsidRPr="00586687">
              <w:t>alenda (594)</w:t>
            </w:r>
            <w:r w:rsidRPr="00586687">
              <w:t>/</w:t>
            </w:r>
            <w:r w:rsidR="008E3302" w:rsidRPr="00586687">
              <w:t xml:space="preserve"> </w:t>
            </w:r>
            <w:r w:rsidR="005E6D2D" w:rsidRPr="00586687">
              <w:t xml:space="preserve">Castaldo (595)/ </w:t>
            </w:r>
            <w:proofErr w:type="spellStart"/>
            <w:r w:rsidR="005E6D2D" w:rsidRPr="00586687">
              <w:t>Fitto</w:t>
            </w:r>
            <w:proofErr w:type="spellEnd"/>
            <w:r w:rsidR="005E6D2D" w:rsidRPr="00586687">
              <w:t xml:space="preserve"> (596)</w:t>
            </w:r>
          </w:p>
        </w:tc>
        <w:tc>
          <w:tcPr>
            <w:tcW w:w="2127" w:type="dxa"/>
            <w:shd w:val="clear" w:color="auto" w:fill="auto"/>
            <w:vAlign w:val="center"/>
          </w:tcPr>
          <w:p w14:paraId="67FD7135" w14:textId="165D99BF" w:rsidR="008E3302" w:rsidRPr="00586687" w:rsidRDefault="008E3302" w:rsidP="00143694">
            <w:pPr>
              <w:jc w:val="center"/>
              <w:rPr>
                <w:szCs w:val="17"/>
              </w:rPr>
            </w:pPr>
            <w:r w:rsidRPr="00586687">
              <w:rPr>
                <w:bCs/>
                <w:szCs w:val="17"/>
              </w:rPr>
              <w:t>Volatility adjustment</w:t>
            </w:r>
          </w:p>
        </w:tc>
        <w:tc>
          <w:tcPr>
            <w:tcW w:w="1471" w:type="dxa"/>
            <w:shd w:val="clear" w:color="auto" w:fill="auto"/>
            <w:vAlign w:val="center"/>
          </w:tcPr>
          <w:p w14:paraId="00ECDF37" w14:textId="1F558744" w:rsidR="008E3302" w:rsidRPr="00586687" w:rsidRDefault="0007737D" w:rsidP="00143694">
            <w:pPr>
              <w:jc w:val="center"/>
              <w:rPr>
                <w:szCs w:val="17"/>
              </w:rPr>
            </w:pPr>
            <w:r w:rsidRPr="00586687">
              <w:rPr>
                <w:b/>
                <w:color w:val="00B050"/>
                <w:szCs w:val="17"/>
              </w:rPr>
              <w:t>Positive</w:t>
            </w:r>
          </w:p>
        </w:tc>
      </w:tr>
    </w:tbl>
    <w:p w14:paraId="0336A028" w14:textId="77777777" w:rsidR="009176FF" w:rsidRPr="00657204" w:rsidRDefault="009176FF" w:rsidP="009176FF">
      <w:pPr>
        <w:spacing w:line="240" w:lineRule="auto"/>
        <w:jc w:val="left"/>
        <w:rPr>
          <w:rStyle w:val="CEAGraphTitle"/>
          <w:szCs w:val="17"/>
        </w:rPr>
      </w:pPr>
    </w:p>
    <w:p w14:paraId="0336A029" w14:textId="67161775" w:rsidR="00440FEE" w:rsidRPr="00657204" w:rsidRDefault="00440FEE"/>
    <w:sectPr w:rsidR="00440FEE" w:rsidRPr="00657204" w:rsidSect="00961C45">
      <w:headerReference w:type="default" r:id="rId10"/>
      <w:footerReference w:type="even" r:id="rId11"/>
      <w:footerReference w:type="default" r:id="rId12"/>
      <w:headerReference w:type="first" r:id="rId13"/>
      <w:footerReference w:type="first" r:id="rId14"/>
      <w:pgSz w:w="16839" w:h="11907" w:orient="landscape" w:code="9"/>
      <w:pgMar w:top="1418" w:right="2410" w:bottom="902"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6BE7" w14:textId="77777777" w:rsidR="00B33378" w:rsidRDefault="00B33378">
      <w:pPr>
        <w:spacing w:line="240" w:lineRule="auto"/>
      </w:pPr>
      <w:r>
        <w:separator/>
      </w:r>
    </w:p>
  </w:endnote>
  <w:endnote w:type="continuationSeparator" w:id="0">
    <w:p w14:paraId="05402770" w14:textId="77777777" w:rsidR="00B33378" w:rsidRDefault="00B33378">
      <w:pPr>
        <w:spacing w:line="240" w:lineRule="auto"/>
      </w:pPr>
      <w:r>
        <w:continuationSeparator/>
      </w:r>
    </w:p>
  </w:endnote>
  <w:endnote w:type="continuationNotice" w:id="1">
    <w:p w14:paraId="6B9CB971" w14:textId="77777777" w:rsidR="00B33378" w:rsidRDefault="00B333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7298" w14:textId="1FCA6189" w:rsidR="00C6515B" w:rsidRDefault="00C6515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8993"/>
      <w:docPartObj>
        <w:docPartGallery w:val="Page Numbers (Bottom of Page)"/>
        <w:docPartUnique/>
      </w:docPartObj>
    </w:sdtPr>
    <w:sdtEndPr>
      <w:rPr>
        <w:noProof/>
      </w:rPr>
    </w:sdtEndPr>
    <w:sdtContent>
      <w:p w14:paraId="1053859B" w14:textId="01783EB7" w:rsidR="00AE0C8C" w:rsidRDefault="00AE0C8C">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0336A031" w14:textId="6BD46E8F" w:rsidR="00C1735A" w:rsidRPr="00CD51F6" w:rsidRDefault="00C1735A" w:rsidP="00C1735A">
    <w:pPr>
      <w:pStyle w:val="Pta"/>
      <w:ind w:left="546"/>
      <w:rPr>
        <w:rFonts w:cs="Arial"/>
        <w:b/>
        <w:color w:val="0032FF"/>
        <w:sz w:val="16"/>
        <w:szCs w:val="16"/>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F47F" w14:textId="23D555E8" w:rsidR="00C6515B" w:rsidRDefault="00C651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5162" w14:textId="77777777" w:rsidR="00B33378" w:rsidRDefault="00B33378">
      <w:pPr>
        <w:spacing w:line="240" w:lineRule="auto"/>
      </w:pPr>
      <w:r>
        <w:separator/>
      </w:r>
    </w:p>
  </w:footnote>
  <w:footnote w:type="continuationSeparator" w:id="0">
    <w:p w14:paraId="1FD993DD" w14:textId="77777777" w:rsidR="00B33378" w:rsidRDefault="00B33378">
      <w:pPr>
        <w:spacing w:line="240" w:lineRule="auto"/>
      </w:pPr>
      <w:r>
        <w:continuationSeparator/>
      </w:r>
    </w:p>
  </w:footnote>
  <w:footnote w:type="continuationNotice" w:id="1">
    <w:p w14:paraId="18026495" w14:textId="77777777" w:rsidR="00B33378" w:rsidRDefault="00B333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A02E" w14:textId="77777777" w:rsidR="00C1735A" w:rsidRPr="000846C0" w:rsidRDefault="00C1735A" w:rsidP="00C1735A">
    <w:pPr>
      <w:pStyle w:val="Noparagraphstyle"/>
      <w:jc w:val="right"/>
      <w:rPr>
        <w:sz w:val="18"/>
        <w:szCs w:val="18"/>
      </w:rPr>
    </w:pPr>
  </w:p>
  <w:p w14:paraId="0336A02F" w14:textId="77777777" w:rsidR="00C1735A" w:rsidRPr="00CD51F6" w:rsidRDefault="009176FF" w:rsidP="00C1735A">
    <w:pPr>
      <w:pStyle w:val="Noparagraphstyle"/>
      <w:jc w:val="right"/>
      <w:rPr>
        <w:rFonts w:ascii="Arial" w:hAnsi="Arial" w:cs="Arial"/>
        <w:i/>
        <w:iCs/>
        <w:color w:val="034EA2"/>
      </w:rPr>
    </w:pPr>
    <w:r>
      <w:tab/>
    </w:r>
  </w:p>
  <w:p w14:paraId="0336A030" w14:textId="77777777" w:rsidR="00C1735A" w:rsidRPr="007349E1" w:rsidRDefault="009176FF" w:rsidP="00C1735A">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0336A032" wp14:editId="0336A033">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716F" w14:textId="320C7AF2" w:rsidR="00C6515B" w:rsidRDefault="00C6515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3" w15:restartNumberingAfterBreak="0">
    <w:nsid w:val="54D0691F"/>
    <w:multiLevelType w:val="hybridMultilevel"/>
    <w:tmpl w:val="77962090"/>
    <w:lvl w:ilvl="0" w:tplc="C58074C0">
      <w:start w:val="51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7730180">
    <w:abstractNumId w:val="4"/>
  </w:num>
  <w:num w:numId="2" w16cid:durableId="1992175529">
    <w:abstractNumId w:val="1"/>
  </w:num>
  <w:num w:numId="3" w16cid:durableId="381947275">
    <w:abstractNumId w:val="2"/>
  </w:num>
  <w:num w:numId="4" w16cid:durableId="1960794713">
    <w:abstractNumId w:val="0"/>
  </w:num>
  <w:num w:numId="5" w16cid:durableId="1188325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1B10"/>
    <w:rsid w:val="00001F11"/>
    <w:rsid w:val="00002764"/>
    <w:rsid w:val="000040A4"/>
    <w:rsid w:val="00006386"/>
    <w:rsid w:val="0000661C"/>
    <w:rsid w:val="00006A23"/>
    <w:rsid w:val="00006CA2"/>
    <w:rsid w:val="00007178"/>
    <w:rsid w:val="00007FA8"/>
    <w:rsid w:val="0001101F"/>
    <w:rsid w:val="00011464"/>
    <w:rsid w:val="0001250D"/>
    <w:rsid w:val="00012C5F"/>
    <w:rsid w:val="00012EEA"/>
    <w:rsid w:val="00013861"/>
    <w:rsid w:val="00013D72"/>
    <w:rsid w:val="000143A7"/>
    <w:rsid w:val="00015377"/>
    <w:rsid w:val="00015478"/>
    <w:rsid w:val="00017552"/>
    <w:rsid w:val="000178D5"/>
    <w:rsid w:val="00017AF9"/>
    <w:rsid w:val="0002137F"/>
    <w:rsid w:val="0002263F"/>
    <w:rsid w:val="00022790"/>
    <w:rsid w:val="00023A73"/>
    <w:rsid w:val="000244D7"/>
    <w:rsid w:val="00025CAD"/>
    <w:rsid w:val="000268D7"/>
    <w:rsid w:val="000304D7"/>
    <w:rsid w:val="0003179A"/>
    <w:rsid w:val="00033E30"/>
    <w:rsid w:val="000351BB"/>
    <w:rsid w:val="000376E4"/>
    <w:rsid w:val="00037835"/>
    <w:rsid w:val="0004035C"/>
    <w:rsid w:val="000404A6"/>
    <w:rsid w:val="00040A1E"/>
    <w:rsid w:val="0004123A"/>
    <w:rsid w:val="000413B5"/>
    <w:rsid w:val="000419D1"/>
    <w:rsid w:val="00041BED"/>
    <w:rsid w:val="00041D1E"/>
    <w:rsid w:val="0004355A"/>
    <w:rsid w:val="00045261"/>
    <w:rsid w:val="00045288"/>
    <w:rsid w:val="00045588"/>
    <w:rsid w:val="00045F57"/>
    <w:rsid w:val="00046F5C"/>
    <w:rsid w:val="00047185"/>
    <w:rsid w:val="00047940"/>
    <w:rsid w:val="00047E1D"/>
    <w:rsid w:val="00050F7D"/>
    <w:rsid w:val="00052421"/>
    <w:rsid w:val="000527DF"/>
    <w:rsid w:val="0005474F"/>
    <w:rsid w:val="000553FA"/>
    <w:rsid w:val="000574AC"/>
    <w:rsid w:val="00061555"/>
    <w:rsid w:val="000625B2"/>
    <w:rsid w:val="00062C63"/>
    <w:rsid w:val="00063A83"/>
    <w:rsid w:val="00063D5A"/>
    <w:rsid w:val="00063EC5"/>
    <w:rsid w:val="0006409C"/>
    <w:rsid w:val="00064C19"/>
    <w:rsid w:val="00064C32"/>
    <w:rsid w:val="0006608A"/>
    <w:rsid w:val="0006631A"/>
    <w:rsid w:val="000677D5"/>
    <w:rsid w:val="00067885"/>
    <w:rsid w:val="0007078F"/>
    <w:rsid w:val="00071A61"/>
    <w:rsid w:val="00071B3D"/>
    <w:rsid w:val="00072E8F"/>
    <w:rsid w:val="00073D68"/>
    <w:rsid w:val="000744A9"/>
    <w:rsid w:val="0007578D"/>
    <w:rsid w:val="000762FF"/>
    <w:rsid w:val="0007737D"/>
    <w:rsid w:val="0008192D"/>
    <w:rsid w:val="00081A51"/>
    <w:rsid w:val="00082178"/>
    <w:rsid w:val="00083054"/>
    <w:rsid w:val="0008458B"/>
    <w:rsid w:val="00084A60"/>
    <w:rsid w:val="00084FE8"/>
    <w:rsid w:val="00085D3E"/>
    <w:rsid w:val="000875D9"/>
    <w:rsid w:val="000916E7"/>
    <w:rsid w:val="00091E22"/>
    <w:rsid w:val="00091FBA"/>
    <w:rsid w:val="00092938"/>
    <w:rsid w:val="00092D08"/>
    <w:rsid w:val="0009335A"/>
    <w:rsid w:val="00093A3B"/>
    <w:rsid w:val="000958A5"/>
    <w:rsid w:val="00095C98"/>
    <w:rsid w:val="00096078"/>
    <w:rsid w:val="00097745"/>
    <w:rsid w:val="000A2094"/>
    <w:rsid w:val="000A2FD6"/>
    <w:rsid w:val="000A3F01"/>
    <w:rsid w:val="000A418D"/>
    <w:rsid w:val="000A470C"/>
    <w:rsid w:val="000A51FD"/>
    <w:rsid w:val="000A552D"/>
    <w:rsid w:val="000A552E"/>
    <w:rsid w:val="000A71C2"/>
    <w:rsid w:val="000B0ACC"/>
    <w:rsid w:val="000B1F83"/>
    <w:rsid w:val="000B2166"/>
    <w:rsid w:val="000B4684"/>
    <w:rsid w:val="000B5263"/>
    <w:rsid w:val="000B5967"/>
    <w:rsid w:val="000B723E"/>
    <w:rsid w:val="000B7262"/>
    <w:rsid w:val="000B748D"/>
    <w:rsid w:val="000C2ED3"/>
    <w:rsid w:val="000C6E8E"/>
    <w:rsid w:val="000D108F"/>
    <w:rsid w:val="000D2980"/>
    <w:rsid w:val="000D3FFF"/>
    <w:rsid w:val="000D46F0"/>
    <w:rsid w:val="000D4D2A"/>
    <w:rsid w:val="000D4EF2"/>
    <w:rsid w:val="000D6E47"/>
    <w:rsid w:val="000D7A79"/>
    <w:rsid w:val="000D7F08"/>
    <w:rsid w:val="000E0C71"/>
    <w:rsid w:val="000E0EEB"/>
    <w:rsid w:val="000E28F2"/>
    <w:rsid w:val="000E2FDE"/>
    <w:rsid w:val="000E44A6"/>
    <w:rsid w:val="000E47D6"/>
    <w:rsid w:val="000E57B4"/>
    <w:rsid w:val="000E57D2"/>
    <w:rsid w:val="000E6E91"/>
    <w:rsid w:val="000F191F"/>
    <w:rsid w:val="000F19CE"/>
    <w:rsid w:val="000F215D"/>
    <w:rsid w:val="000F23A2"/>
    <w:rsid w:val="000F3199"/>
    <w:rsid w:val="000F5094"/>
    <w:rsid w:val="000F5B65"/>
    <w:rsid w:val="000F5BAF"/>
    <w:rsid w:val="000F61C1"/>
    <w:rsid w:val="000F71A6"/>
    <w:rsid w:val="000F7661"/>
    <w:rsid w:val="00101C7C"/>
    <w:rsid w:val="00103F8C"/>
    <w:rsid w:val="00104197"/>
    <w:rsid w:val="00104628"/>
    <w:rsid w:val="00104721"/>
    <w:rsid w:val="001048AB"/>
    <w:rsid w:val="00104E7D"/>
    <w:rsid w:val="0010568E"/>
    <w:rsid w:val="00106EFB"/>
    <w:rsid w:val="00110359"/>
    <w:rsid w:val="00110EE6"/>
    <w:rsid w:val="001123CE"/>
    <w:rsid w:val="001126A0"/>
    <w:rsid w:val="00113633"/>
    <w:rsid w:val="001151C7"/>
    <w:rsid w:val="001164AA"/>
    <w:rsid w:val="00116772"/>
    <w:rsid w:val="00120547"/>
    <w:rsid w:val="001206AD"/>
    <w:rsid w:val="0012078A"/>
    <w:rsid w:val="00120CCD"/>
    <w:rsid w:val="00122D8F"/>
    <w:rsid w:val="001232C6"/>
    <w:rsid w:val="001238A1"/>
    <w:rsid w:val="001267C4"/>
    <w:rsid w:val="00127A6F"/>
    <w:rsid w:val="00131473"/>
    <w:rsid w:val="00132453"/>
    <w:rsid w:val="0013296E"/>
    <w:rsid w:val="00133DFC"/>
    <w:rsid w:val="0013466D"/>
    <w:rsid w:val="001359A8"/>
    <w:rsid w:val="00135D57"/>
    <w:rsid w:val="00136FE2"/>
    <w:rsid w:val="00140E41"/>
    <w:rsid w:val="00141150"/>
    <w:rsid w:val="00142027"/>
    <w:rsid w:val="001420A2"/>
    <w:rsid w:val="00142132"/>
    <w:rsid w:val="00142667"/>
    <w:rsid w:val="001427CD"/>
    <w:rsid w:val="00142F3A"/>
    <w:rsid w:val="00143694"/>
    <w:rsid w:val="00143A97"/>
    <w:rsid w:val="0014426E"/>
    <w:rsid w:val="001442B8"/>
    <w:rsid w:val="00144648"/>
    <w:rsid w:val="00144C8A"/>
    <w:rsid w:val="00145351"/>
    <w:rsid w:val="00145B9B"/>
    <w:rsid w:val="001476A5"/>
    <w:rsid w:val="00147D3F"/>
    <w:rsid w:val="00151A6A"/>
    <w:rsid w:val="00151DD8"/>
    <w:rsid w:val="001521D1"/>
    <w:rsid w:val="0015298E"/>
    <w:rsid w:val="00153EBF"/>
    <w:rsid w:val="00154845"/>
    <w:rsid w:val="00154D79"/>
    <w:rsid w:val="0015667C"/>
    <w:rsid w:val="001606DD"/>
    <w:rsid w:val="00162A1B"/>
    <w:rsid w:val="00163B71"/>
    <w:rsid w:val="0016421A"/>
    <w:rsid w:val="00164424"/>
    <w:rsid w:val="00164EA4"/>
    <w:rsid w:val="00165351"/>
    <w:rsid w:val="00165CEE"/>
    <w:rsid w:val="00165F64"/>
    <w:rsid w:val="0016615D"/>
    <w:rsid w:val="001700CB"/>
    <w:rsid w:val="00171CC2"/>
    <w:rsid w:val="00171EF9"/>
    <w:rsid w:val="00173743"/>
    <w:rsid w:val="0017392F"/>
    <w:rsid w:val="00174B26"/>
    <w:rsid w:val="00176E9E"/>
    <w:rsid w:val="00176FF1"/>
    <w:rsid w:val="001777A3"/>
    <w:rsid w:val="001800A0"/>
    <w:rsid w:val="001808A3"/>
    <w:rsid w:val="001812E1"/>
    <w:rsid w:val="0018303C"/>
    <w:rsid w:val="001837E5"/>
    <w:rsid w:val="00183891"/>
    <w:rsid w:val="00185440"/>
    <w:rsid w:val="00186D75"/>
    <w:rsid w:val="00190B75"/>
    <w:rsid w:val="001914B7"/>
    <w:rsid w:val="00191DC3"/>
    <w:rsid w:val="001934CA"/>
    <w:rsid w:val="0019623A"/>
    <w:rsid w:val="00197CDB"/>
    <w:rsid w:val="001A0AED"/>
    <w:rsid w:val="001A1283"/>
    <w:rsid w:val="001A20CB"/>
    <w:rsid w:val="001A2980"/>
    <w:rsid w:val="001A36E6"/>
    <w:rsid w:val="001A51A3"/>
    <w:rsid w:val="001A70C7"/>
    <w:rsid w:val="001A711A"/>
    <w:rsid w:val="001A76F4"/>
    <w:rsid w:val="001A7AC1"/>
    <w:rsid w:val="001A7C64"/>
    <w:rsid w:val="001B06BD"/>
    <w:rsid w:val="001B075B"/>
    <w:rsid w:val="001B1417"/>
    <w:rsid w:val="001B28B2"/>
    <w:rsid w:val="001B3088"/>
    <w:rsid w:val="001B36BF"/>
    <w:rsid w:val="001B3BE1"/>
    <w:rsid w:val="001B3C34"/>
    <w:rsid w:val="001B448E"/>
    <w:rsid w:val="001B59D8"/>
    <w:rsid w:val="001B5E4B"/>
    <w:rsid w:val="001B6CC6"/>
    <w:rsid w:val="001C003A"/>
    <w:rsid w:val="001C0833"/>
    <w:rsid w:val="001C1FE8"/>
    <w:rsid w:val="001C37C1"/>
    <w:rsid w:val="001C4699"/>
    <w:rsid w:val="001C4C24"/>
    <w:rsid w:val="001C5013"/>
    <w:rsid w:val="001C5016"/>
    <w:rsid w:val="001C52C7"/>
    <w:rsid w:val="001C5BCE"/>
    <w:rsid w:val="001C74D9"/>
    <w:rsid w:val="001C766B"/>
    <w:rsid w:val="001D078B"/>
    <w:rsid w:val="001D15A4"/>
    <w:rsid w:val="001D28F8"/>
    <w:rsid w:val="001D2BC1"/>
    <w:rsid w:val="001D32FF"/>
    <w:rsid w:val="001D3FC2"/>
    <w:rsid w:val="001D41F1"/>
    <w:rsid w:val="001D4EED"/>
    <w:rsid w:val="001D5742"/>
    <w:rsid w:val="001E1323"/>
    <w:rsid w:val="001E2227"/>
    <w:rsid w:val="001E2DE0"/>
    <w:rsid w:val="001E4591"/>
    <w:rsid w:val="001E6ED6"/>
    <w:rsid w:val="001E6FDB"/>
    <w:rsid w:val="001F1DEC"/>
    <w:rsid w:val="001F3845"/>
    <w:rsid w:val="001F3880"/>
    <w:rsid w:val="001F3B4F"/>
    <w:rsid w:val="001F57CA"/>
    <w:rsid w:val="001F6A2A"/>
    <w:rsid w:val="001F7167"/>
    <w:rsid w:val="001F733D"/>
    <w:rsid w:val="00200C42"/>
    <w:rsid w:val="00200FC1"/>
    <w:rsid w:val="00201ADC"/>
    <w:rsid w:val="002025BC"/>
    <w:rsid w:val="00202CD2"/>
    <w:rsid w:val="00203B79"/>
    <w:rsid w:val="00203BB7"/>
    <w:rsid w:val="00203FBB"/>
    <w:rsid w:val="00205B9E"/>
    <w:rsid w:val="00205BE5"/>
    <w:rsid w:val="00206B6E"/>
    <w:rsid w:val="00206F30"/>
    <w:rsid w:val="002077FB"/>
    <w:rsid w:val="002079C7"/>
    <w:rsid w:val="00211924"/>
    <w:rsid w:val="00212A97"/>
    <w:rsid w:val="00213078"/>
    <w:rsid w:val="0021382A"/>
    <w:rsid w:val="0021462A"/>
    <w:rsid w:val="002146CA"/>
    <w:rsid w:val="002148D8"/>
    <w:rsid w:val="00215956"/>
    <w:rsid w:val="00216C78"/>
    <w:rsid w:val="0021724A"/>
    <w:rsid w:val="00217E22"/>
    <w:rsid w:val="0022215D"/>
    <w:rsid w:val="002237CB"/>
    <w:rsid w:val="002239CC"/>
    <w:rsid w:val="002260F6"/>
    <w:rsid w:val="00226E6D"/>
    <w:rsid w:val="002278E7"/>
    <w:rsid w:val="002312A5"/>
    <w:rsid w:val="0023272C"/>
    <w:rsid w:val="002328AE"/>
    <w:rsid w:val="00232F12"/>
    <w:rsid w:val="00233001"/>
    <w:rsid w:val="002342A9"/>
    <w:rsid w:val="002344E6"/>
    <w:rsid w:val="00234733"/>
    <w:rsid w:val="00235247"/>
    <w:rsid w:val="002357A9"/>
    <w:rsid w:val="0023603C"/>
    <w:rsid w:val="00240338"/>
    <w:rsid w:val="0024083E"/>
    <w:rsid w:val="00240B7C"/>
    <w:rsid w:val="002418C7"/>
    <w:rsid w:val="002423DB"/>
    <w:rsid w:val="00245AC7"/>
    <w:rsid w:val="00246200"/>
    <w:rsid w:val="002467A3"/>
    <w:rsid w:val="00250339"/>
    <w:rsid w:val="00251D38"/>
    <w:rsid w:val="00252456"/>
    <w:rsid w:val="002532BB"/>
    <w:rsid w:val="00253C63"/>
    <w:rsid w:val="002562F8"/>
    <w:rsid w:val="002563DD"/>
    <w:rsid w:val="00256F44"/>
    <w:rsid w:val="0025760A"/>
    <w:rsid w:val="0026002E"/>
    <w:rsid w:val="00260034"/>
    <w:rsid w:val="00260893"/>
    <w:rsid w:val="00260BE5"/>
    <w:rsid w:val="0026144D"/>
    <w:rsid w:val="00261D5D"/>
    <w:rsid w:val="00262C38"/>
    <w:rsid w:val="00262CDF"/>
    <w:rsid w:val="002643C7"/>
    <w:rsid w:val="00266FC4"/>
    <w:rsid w:val="00270A74"/>
    <w:rsid w:val="00271616"/>
    <w:rsid w:val="002719BA"/>
    <w:rsid w:val="002723A6"/>
    <w:rsid w:val="00272AE5"/>
    <w:rsid w:val="002742B4"/>
    <w:rsid w:val="0027455F"/>
    <w:rsid w:val="00274F57"/>
    <w:rsid w:val="002760F1"/>
    <w:rsid w:val="00276234"/>
    <w:rsid w:val="00276857"/>
    <w:rsid w:val="002769CF"/>
    <w:rsid w:val="00280BAE"/>
    <w:rsid w:val="0028154A"/>
    <w:rsid w:val="0028214D"/>
    <w:rsid w:val="00282CAD"/>
    <w:rsid w:val="00282EE5"/>
    <w:rsid w:val="00284B27"/>
    <w:rsid w:val="002853DD"/>
    <w:rsid w:val="0028564E"/>
    <w:rsid w:val="0028597F"/>
    <w:rsid w:val="0028609B"/>
    <w:rsid w:val="002869A8"/>
    <w:rsid w:val="002878C5"/>
    <w:rsid w:val="00291A91"/>
    <w:rsid w:val="00291F6D"/>
    <w:rsid w:val="002924BB"/>
    <w:rsid w:val="00293BB9"/>
    <w:rsid w:val="00293C15"/>
    <w:rsid w:val="00295782"/>
    <w:rsid w:val="0029618A"/>
    <w:rsid w:val="00297CDB"/>
    <w:rsid w:val="002A0356"/>
    <w:rsid w:val="002A04EB"/>
    <w:rsid w:val="002A1820"/>
    <w:rsid w:val="002A1F1D"/>
    <w:rsid w:val="002A30BA"/>
    <w:rsid w:val="002A3AAC"/>
    <w:rsid w:val="002A69C1"/>
    <w:rsid w:val="002A6B7C"/>
    <w:rsid w:val="002A7188"/>
    <w:rsid w:val="002A7765"/>
    <w:rsid w:val="002B106F"/>
    <w:rsid w:val="002B1743"/>
    <w:rsid w:val="002B1977"/>
    <w:rsid w:val="002B1D81"/>
    <w:rsid w:val="002B1EC2"/>
    <w:rsid w:val="002B242C"/>
    <w:rsid w:val="002B63B0"/>
    <w:rsid w:val="002B69E9"/>
    <w:rsid w:val="002B69F3"/>
    <w:rsid w:val="002B6CF5"/>
    <w:rsid w:val="002B7991"/>
    <w:rsid w:val="002B7E0F"/>
    <w:rsid w:val="002C0523"/>
    <w:rsid w:val="002C09F0"/>
    <w:rsid w:val="002C1594"/>
    <w:rsid w:val="002C1A68"/>
    <w:rsid w:val="002C4546"/>
    <w:rsid w:val="002C6DCE"/>
    <w:rsid w:val="002C719E"/>
    <w:rsid w:val="002C72FE"/>
    <w:rsid w:val="002C7521"/>
    <w:rsid w:val="002C7D83"/>
    <w:rsid w:val="002D034B"/>
    <w:rsid w:val="002D24C3"/>
    <w:rsid w:val="002D26D1"/>
    <w:rsid w:val="002D2D98"/>
    <w:rsid w:val="002D3157"/>
    <w:rsid w:val="002D4F77"/>
    <w:rsid w:val="002D5DEE"/>
    <w:rsid w:val="002D62A3"/>
    <w:rsid w:val="002D735C"/>
    <w:rsid w:val="002D755F"/>
    <w:rsid w:val="002D794B"/>
    <w:rsid w:val="002E0817"/>
    <w:rsid w:val="002E0F75"/>
    <w:rsid w:val="002E19A7"/>
    <w:rsid w:val="002E1E21"/>
    <w:rsid w:val="002E2105"/>
    <w:rsid w:val="002E3590"/>
    <w:rsid w:val="002E36A3"/>
    <w:rsid w:val="002E450A"/>
    <w:rsid w:val="002E452C"/>
    <w:rsid w:val="002E56DC"/>
    <w:rsid w:val="002E5A37"/>
    <w:rsid w:val="002E76BC"/>
    <w:rsid w:val="002F0FE7"/>
    <w:rsid w:val="002F1FBC"/>
    <w:rsid w:val="002F241E"/>
    <w:rsid w:val="002F39EC"/>
    <w:rsid w:val="002F3C50"/>
    <w:rsid w:val="002F402A"/>
    <w:rsid w:val="002F583D"/>
    <w:rsid w:val="002F5AD5"/>
    <w:rsid w:val="002F5F47"/>
    <w:rsid w:val="002F72E0"/>
    <w:rsid w:val="002F7D04"/>
    <w:rsid w:val="003000D0"/>
    <w:rsid w:val="003008EA"/>
    <w:rsid w:val="003020C4"/>
    <w:rsid w:val="0030256D"/>
    <w:rsid w:val="003045A9"/>
    <w:rsid w:val="003047E0"/>
    <w:rsid w:val="00304FA0"/>
    <w:rsid w:val="00305322"/>
    <w:rsid w:val="003055D8"/>
    <w:rsid w:val="00305814"/>
    <w:rsid w:val="003075F5"/>
    <w:rsid w:val="00310DCF"/>
    <w:rsid w:val="00311C35"/>
    <w:rsid w:val="00312C3E"/>
    <w:rsid w:val="00313A58"/>
    <w:rsid w:val="00313DD8"/>
    <w:rsid w:val="0031438F"/>
    <w:rsid w:val="00314395"/>
    <w:rsid w:val="0031472D"/>
    <w:rsid w:val="00314CFA"/>
    <w:rsid w:val="0031585C"/>
    <w:rsid w:val="003160F0"/>
    <w:rsid w:val="003167C5"/>
    <w:rsid w:val="00316D50"/>
    <w:rsid w:val="0031745E"/>
    <w:rsid w:val="00320A50"/>
    <w:rsid w:val="00322524"/>
    <w:rsid w:val="00322DD2"/>
    <w:rsid w:val="0032409F"/>
    <w:rsid w:val="003254F8"/>
    <w:rsid w:val="00325715"/>
    <w:rsid w:val="00326641"/>
    <w:rsid w:val="0032761D"/>
    <w:rsid w:val="00331486"/>
    <w:rsid w:val="0033164E"/>
    <w:rsid w:val="00333142"/>
    <w:rsid w:val="00333BBC"/>
    <w:rsid w:val="00334237"/>
    <w:rsid w:val="003345D3"/>
    <w:rsid w:val="003347A1"/>
    <w:rsid w:val="00336298"/>
    <w:rsid w:val="00336348"/>
    <w:rsid w:val="003364C3"/>
    <w:rsid w:val="00336EE9"/>
    <w:rsid w:val="0033707E"/>
    <w:rsid w:val="00337F09"/>
    <w:rsid w:val="00341ED5"/>
    <w:rsid w:val="00342BEE"/>
    <w:rsid w:val="00345E97"/>
    <w:rsid w:val="003466A3"/>
    <w:rsid w:val="00346E34"/>
    <w:rsid w:val="00346E49"/>
    <w:rsid w:val="003472A2"/>
    <w:rsid w:val="00350D3D"/>
    <w:rsid w:val="003510A8"/>
    <w:rsid w:val="003510FD"/>
    <w:rsid w:val="00352469"/>
    <w:rsid w:val="00352643"/>
    <w:rsid w:val="00353E6A"/>
    <w:rsid w:val="0035463C"/>
    <w:rsid w:val="003553FF"/>
    <w:rsid w:val="00355FEB"/>
    <w:rsid w:val="0035625B"/>
    <w:rsid w:val="00356459"/>
    <w:rsid w:val="00356B69"/>
    <w:rsid w:val="00356D60"/>
    <w:rsid w:val="00357667"/>
    <w:rsid w:val="003577C7"/>
    <w:rsid w:val="00357E8A"/>
    <w:rsid w:val="0036126A"/>
    <w:rsid w:val="0036188B"/>
    <w:rsid w:val="00361A7E"/>
    <w:rsid w:val="00362F03"/>
    <w:rsid w:val="0036435E"/>
    <w:rsid w:val="00364CD4"/>
    <w:rsid w:val="00364EC6"/>
    <w:rsid w:val="003651B1"/>
    <w:rsid w:val="0036708E"/>
    <w:rsid w:val="00371A0A"/>
    <w:rsid w:val="00372996"/>
    <w:rsid w:val="00373730"/>
    <w:rsid w:val="00373B87"/>
    <w:rsid w:val="00374548"/>
    <w:rsid w:val="00374640"/>
    <w:rsid w:val="00376CE2"/>
    <w:rsid w:val="00377853"/>
    <w:rsid w:val="00380202"/>
    <w:rsid w:val="0038064D"/>
    <w:rsid w:val="0038064E"/>
    <w:rsid w:val="003806C0"/>
    <w:rsid w:val="00380C2B"/>
    <w:rsid w:val="0038169D"/>
    <w:rsid w:val="003822B6"/>
    <w:rsid w:val="00382AA1"/>
    <w:rsid w:val="00382D02"/>
    <w:rsid w:val="00383D12"/>
    <w:rsid w:val="00384B4D"/>
    <w:rsid w:val="00385894"/>
    <w:rsid w:val="00386149"/>
    <w:rsid w:val="00386EB3"/>
    <w:rsid w:val="003871DC"/>
    <w:rsid w:val="00387B6F"/>
    <w:rsid w:val="0039004B"/>
    <w:rsid w:val="003908BE"/>
    <w:rsid w:val="00390D23"/>
    <w:rsid w:val="003910DC"/>
    <w:rsid w:val="003936A3"/>
    <w:rsid w:val="00394A7D"/>
    <w:rsid w:val="0039654D"/>
    <w:rsid w:val="00397B8B"/>
    <w:rsid w:val="003A17D7"/>
    <w:rsid w:val="003A1C53"/>
    <w:rsid w:val="003A2AC9"/>
    <w:rsid w:val="003A308D"/>
    <w:rsid w:val="003A51AD"/>
    <w:rsid w:val="003A56C5"/>
    <w:rsid w:val="003A6118"/>
    <w:rsid w:val="003A6304"/>
    <w:rsid w:val="003A69BF"/>
    <w:rsid w:val="003B1061"/>
    <w:rsid w:val="003B1A66"/>
    <w:rsid w:val="003B1F31"/>
    <w:rsid w:val="003B218F"/>
    <w:rsid w:val="003B31FD"/>
    <w:rsid w:val="003B368F"/>
    <w:rsid w:val="003B39B4"/>
    <w:rsid w:val="003B4B55"/>
    <w:rsid w:val="003B4B8A"/>
    <w:rsid w:val="003B523F"/>
    <w:rsid w:val="003B6053"/>
    <w:rsid w:val="003B6E4F"/>
    <w:rsid w:val="003B6F67"/>
    <w:rsid w:val="003B7D8C"/>
    <w:rsid w:val="003B7DC3"/>
    <w:rsid w:val="003C0CDC"/>
    <w:rsid w:val="003C1E2C"/>
    <w:rsid w:val="003C279E"/>
    <w:rsid w:val="003C575C"/>
    <w:rsid w:val="003C6331"/>
    <w:rsid w:val="003D003D"/>
    <w:rsid w:val="003D1288"/>
    <w:rsid w:val="003D14B5"/>
    <w:rsid w:val="003D1A8C"/>
    <w:rsid w:val="003D287A"/>
    <w:rsid w:val="003D2F86"/>
    <w:rsid w:val="003D3B0C"/>
    <w:rsid w:val="003D3CE1"/>
    <w:rsid w:val="003D471F"/>
    <w:rsid w:val="003D4F46"/>
    <w:rsid w:val="003D5440"/>
    <w:rsid w:val="003D6A7D"/>
    <w:rsid w:val="003D6CE0"/>
    <w:rsid w:val="003E0514"/>
    <w:rsid w:val="003E175E"/>
    <w:rsid w:val="003E2227"/>
    <w:rsid w:val="003E2E14"/>
    <w:rsid w:val="003E3F87"/>
    <w:rsid w:val="003E5C5F"/>
    <w:rsid w:val="003E66B7"/>
    <w:rsid w:val="003E74D0"/>
    <w:rsid w:val="003F05EF"/>
    <w:rsid w:val="003F3BE3"/>
    <w:rsid w:val="003F4232"/>
    <w:rsid w:val="003F4A15"/>
    <w:rsid w:val="003F4D5F"/>
    <w:rsid w:val="003F5C77"/>
    <w:rsid w:val="003F7E68"/>
    <w:rsid w:val="00400073"/>
    <w:rsid w:val="00400A31"/>
    <w:rsid w:val="0040199A"/>
    <w:rsid w:val="00401F55"/>
    <w:rsid w:val="00402F4B"/>
    <w:rsid w:val="00403AE9"/>
    <w:rsid w:val="00403B17"/>
    <w:rsid w:val="00404058"/>
    <w:rsid w:val="00404B4C"/>
    <w:rsid w:val="00405C5B"/>
    <w:rsid w:val="0040668C"/>
    <w:rsid w:val="004069E9"/>
    <w:rsid w:val="0041142D"/>
    <w:rsid w:val="00412D45"/>
    <w:rsid w:val="00413658"/>
    <w:rsid w:val="00414EC6"/>
    <w:rsid w:val="00415922"/>
    <w:rsid w:val="004159D6"/>
    <w:rsid w:val="00415BC4"/>
    <w:rsid w:val="00416CFC"/>
    <w:rsid w:val="00416D40"/>
    <w:rsid w:val="00416E87"/>
    <w:rsid w:val="00417481"/>
    <w:rsid w:val="00417D6C"/>
    <w:rsid w:val="00420418"/>
    <w:rsid w:val="00421775"/>
    <w:rsid w:val="00421896"/>
    <w:rsid w:val="004219D5"/>
    <w:rsid w:val="00422772"/>
    <w:rsid w:val="00422775"/>
    <w:rsid w:val="00423D7A"/>
    <w:rsid w:val="00424ECD"/>
    <w:rsid w:val="00424F53"/>
    <w:rsid w:val="00427342"/>
    <w:rsid w:val="00427D22"/>
    <w:rsid w:val="00430BF4"/>
    <w:rsid w:val="00432619"/>
    <w:rsid w:val="004327B7"/>
    <w:rsid w:val="00433D21"/>
    <w:rsid w:val="00435788"/>
    <w:rsid w:val="0043588A"/>
    <w:rsid w:val="004358C8"/>
    <w:rsid w:val="00436274"/>
    <w:rsid w:val="00436AE7"/>
    <w:rsid w:val="00437168"/>
    <w:rsid w:val="00437702"/>
    <w:rsid w:val="00437CEE"/>
    <w:rsid w:val="004400B2"/>
    <w:rsid w:val="004402AD"/>
    <w:rsid w:val="00440FEE"/>
    <w:rsid w:val="004412EA"/>
    <w:rsid w:val="00442158"/>
    <w:rsid w:val="004422A1"/>
    <w:rsid w:val="00442992"/>
    <w:rsid w:val="00442C07"/>
    <w:rsid w:val="00443338"/>
    <w:rsid w:val="00444AC8"/>
    <w:rsid w:val="00444CF6"/>
    <w:rsid w:val="00444D2A"/>
    <w:rsid w:val="004455A5"/>
    <w:rsid w:val="00446826"/>
    <w:rsid w:val="00447826"/>
    <w:rsid w:val="004512AC"/>
    <w:rsid w:val="004516A4"/>
    <w:rsid w:val="0045181B"/>
    <w:rsid w:val="0045310B"/>
    <w:rsid w:val="004535B9"/>
    <w:rsid w:val="004556E0"/>
    <w:rsid w:val="00455825"/>
    <w:rsid w:val="00455C31"/>
    <w:rsid w:val="00461B45"/>
    <w:rsid w:val="00461FB8"/>
    <w:rsid w:val="00462183"/>
    <w:rsid w:val="004646E9"/>
    <w:rsid w:val="004648AE"/>
    <w:rsid w:val="00466792"/>
    <w:rsid w:val="00466D8A"/>
    <w:rsid w:val="00467F6D"/>
    <w:rsid w:val="00471742"/>
    <w:rsid w:val="00472633"/>
    <w:rsid w:val="00473315"/>
    <w:rsid w:val="00473FF7"/>
    <w:rsid w:val="004754F2"/>
    <w:rsid w:val="00480697"/>
    <w:rsid w:val="00481139"/>
    <w:rsid w:val="004838E7"/>
    <w:rsid w:val="00483AD6"/>
    <w:rsid w:val="00483FCD"/>
    <w:rsid w:val="0048480F"/>
    <w:rsid w:val="004850E6"/>
    <w:rsid w:val="00486ED6"/>
    <w:rsid w:val="00487AE9"/>
    <w:rsid w:val="00490288"/>
    <w:rsid w:val="0049046F"/>
    <w:rsid w:val="00490EE5"/>
    <w:rsid w:val="0049100B"/>
    <w:rsid w:val="00491491"/>
    <w:rsid w:val="00491903"/>
    <w:rsid w:val="00492F09"/>
    <w:rsid w:val="004938AC"/>
    <w:rsid w:val="00493D95"/>
    <w:rsid w:val="0049456D"/>
    <w:rsid w:val="00494829"/>
    <w:rsid w:val="00495A71"/>
    <w:rsid w:val="00495ABC"/>
    <w:rsid w:val="00495CD0"/>
    <w:rsid w:val="004965E9"/>
    <w:rsid w:val="004A20CA"/>
    <w:rsid w:val="004A2482"/>
    <w:rsid w:val="004A3C09"/>
    <w:rsid w:val="004A3C91"/>
    <w:rsid w:val="004A40EE"/>
    <w:rsid w:val="004A642B"/>
    <w:rsid w:val="004A6C13"/>
    <w:rsid w:val="004A7A36"/>
    <w:rsid w:val="004B00F5"/>
    <w:rsid w:val="004B1F21"/>
    <w:rsid w:val="004B265E"/>
    <w:rsid w:val="004B2CB7"/>
    <w:rsid w:val="004B3525"/>
    <w:rsid w:val="004B3C5A"/>
    <w:rsid w:val="004B4B3E"/>
    <w:rsid w:val="004B5A00"/>
    <w:rsid w:val="004B5E68"/>
    <w:rsid w:val="004B6C2A"/>
    <w:rsid w:val="004B70AE"/>
    <w:rsid w:val="004B7D49"/>
    <w:rsid w:val="004C03E2"/>
    <w:rsid w:val="004C1874"/>
    <w:rsid w:val="004C2223"/>
    <w:rsid w:val="004C3C61"/>
    <w:rsid w:val="004C3D7A"/>
    <w:rsid w:val="004C40CE"/>
    <w:rsid w:val="004C4F55"/>
    <w:rsid w:val="004C5773"/>
    <w:rsid w:val="004C60A8"/>
    <w:rsid w:val="004C62BD"/>
    <w:rsid w:val="004C69A2"/>
    <w:rsid w:val="004C6EE3"/>
    <w:rsid w:val="004D09E3"/>
    <w:rsid w:val="004D13C8"/>
    <w:rsid w:val="004D2A76"/>
    <w:rsid w:val="004D2E6C"/>
    <w:rsid w:val="004D3294"/>
    <w:rsid w:val="004D425D"/>
    <w:rsid w:val="004D451E"/>
    <w:rsid w:val="004D4871"/>
    <w:rsid w:val="004D6430"/>
    <w:rsid w:val="004D69BC"/>
    <w:rsid w:val="004D7A42"/>
    <w:rsid w:val="004E02CC"/>
    <w:rsid w:val="004E165F"/>
    <w:rsid w:val="004E1C5A"/>
    <w:rsid w:val="004E22A7"/>
    <w:rsid w:val="004E2599"/>
    <w:rsid w:val="004E3825"/>
    <w:rsid w:val="004E3F32"/>
    <w:rsid w:val="004E44BA"/>
    <w:rsid w:val="004E5A79"/>
    <w:rsid w:val="004E5DA4"/>
    <w:rsid w:val="004E7656"/>
    <w:rsid w:val="004E7CD3"/>
    <w:rsid w:val="004F0216"/>
    <w:rsid w:val="004F049B"/>
    <w:rsid w:val="004F051C"/>
    <w:rsid w:val="004F05C7"/>
    <w:rsid w:val="004F0E7D"/>
    <w:rsid w:val="004F3558"/>
    <w:rsid w:val="004F48C4"/>
    <w:rsid w:val="004F4BC9"/>
    <w:rsid w:val="004F4E0A"/>
    <w:rsid w:val="004F52FE"/>
    <w:rsid w:val="004F5A6A"/>
    <w:rsid w:val="004F62C1"/>
    <w:rsid w:val="004F6481"/>
    <w:rsid w:val="004F7341"/>
    <w:rsid w:val="004F786A"/>
    <w:rsid w:val="00500433"/>
    <w:rsid w:val="005015C8"/>
    <w:rsid w:val="00502349"/>
    <w:rsid w:val="005024CE"/>
    <w:rsid w:val="005028A4"/>
    <w:rsid w:val="00502B48"/>
    <w:rsid w:val="00503E25"/>
    <w:rsid w:val="00505522"/>
    <w:rsid w:val="005070E2"/>
    <w:rsid w:val="00512449"/>
    <w:rsid w:val="00512A45"/>
    <w:rsid w:val="00516CFA"/>
    <w:rsid w:val="005175F2"/>
    <w:rsid w:val="0051763C"/>
    <w:rsid w:val="0052203E"/>
    <w:rsid w:val="00522545"/>
    <w:rsid w:val="00524E21"/>
    <w:rsid w:val="00525B53"/>
    <w:rsid w:val="00526AC0"/>
    <w:rsid w:val="00526D28"/>
    <w:rsid w:val="005274DC"/>
    <w:rsid w:val="00531132"/>
    <w:rsid w:val="005315D4"/>
    <w:rsid w:val="00531A8D"/>
    <w:rsid w:val="005321AF"/>
    <w:rsid w:val="00534820"/>
    <w:rsid w:val="0053745D"/>
    <w:rsid w:val="005375E4"/>
    <w:rsid w:val="005400D3"/>
    <w:rsid w:val="005426B8"/>
    <w:rsid w:val="0054283E"/>
    <w:rsid w:val="00542CF5"/>
    <w:rsid w:val="00543800"/>
    <w:rsid w:val="00544015"/>
    <w:rsid w:val="00544691"/>
    <w:rsid w:val="0054519D"/>
    <w:rsid w:val="00546006"/>
    <w:rsid w:val="00546BDA"/>
    <w:rsid w:val="005477D8"/>
    <w:rsid w:val="005510FA"/>
    <w:rsid w:val="005516C9"/>
    <w:rsid w:val="005520DA"/>
    <w:rsid w:val="0055267A"/>
    <w:rsid w:val="00552D04"/>
    <w:rsid w:val="005539A2"/>
    <w:rsid w:val="00553CAF"/>
    <w:rsid w:val="0055441C"/>
    <w:rsid w:val="005548C5"/>
    <w:rsid w:val="005550C4"/>
    <w:rsid w:val="00556035"/>
    <w:rsid w:val="005569B2"/>
    <w:rsid w:val="00557C4D"/>
    <w:rsid w:val="00560F53"/>
    <w:rsid w:val="00561E85"/>
    <w:rsid w:val="00562C14"/>
    <w:rsid w:val="00562C58"/>
    <w:rsid w:val="00564318"/>
    <w:rsid w:val="0056443D"/>
    <w:rsid w:val="00564870"/>
    <w:rsid w:val="005652A6"/>
    <w:rsid w:val="00565656"/>
    <w:rsid w:val="00565A0C"/>
    <w:rsid w:val="00566472"/>
    <w:rsid w:val="00566630"/>
    <w:rsid w:val="005674C4"/>
    <w:rsid w:val="005708F9"/>
    <w:rsid w:val="005714BE"/>
    <w:rsid w:val="0057217F"/>
    <w:rsid w:val="0057321B"/>
    <w:rsid w:val="005735A0"/>
    <w:rsid w:val="005749DF"/>
    <w:rsid w:val="00574F13"/>
    <w:rsid w:val="0057502C"/>
    <w:rsid w:val="0057577A"/>
    <w:rsid w:val="005772DE"/>
    <w:rsid w:val="005807A4"/>
    <w:rsid w:val="00580FDD"/>
    <w:rsid w:val="005835E8"/>
    <w:rsid w:val="00584217"/>
    <w:rsid w:val="00586687"/>
    <w:rsid w:val="00586D07"/>
    <w:rsid w:val="005872D3"/>
    <w:rsid w:val="0058763C"/>
    <w:rsid w:val="00587929"/>
    <w:rsid w:val="0059063F"/>
    <w:rsid w:val="00590B48"/>
    <w:rsid w:val="00594E57"/>
    <w:rsid w:val="005954DC"/>
    <w:rsid w:val="00595E48"/>
    <w:rsid w:val="005961B9"/>
    <w:rsid w:val="0059640E"/>
    <w:rsid w:val="005A1349"/>
    <w:rsid w:val="005A18CC"/>
    <w:rsid w:val="005A3935"/>
    <w:rsid w:val="005A41A3"/>
    <w:rsid w:val="005A4AA0"/>
    <w:rsid w:val="005A632A"/>
    <w:rsid w:val="005A6EAF"/>
    <w:rsid w:val="005A7104"/>
    <w:rsid w:val="005A743F"/>
    <w:rsid w:val="005A7F99"/>
    <w:rsid w:val="005B0598"/>
    <w:rsid w:val="005B11F8"/>
    <w:rsid w:val="005B2ABD"/>
    <w:rsid w:val="005B2CF7"/>
    <w:rsid w:val="005B328A"/>
    <w:rsid w:val="005B5233"/>
    <w:rsid w:val="005B5D19"/>
    <w:rsid w:val="005B62FB"/>
    <w:rsid w:val="005B6E74"/>
    <w:rsid w:val="005C0A15"/>
    <w:rsid w:val="005C1CC2"/>
    <w:rsid w:val="005C2AEB"/>
    <w:rsid w:val="005C3369"/>
    <w:rsid w:val="005C3981"/>
    <w:rsid w:val="005C4E0C"/>
    <w:rsid w:val="005C558A"/>
    <w:rsid w:val="005D02B4"/>
    <w:rsid w:val="005D05DD"/>
    <w:rsid w:val="005D1C16"/>
    <w:rsid w:val="005D27A1"/>
    <w:rsid w:val="005D27FA"/>
    <w:rsid w:val="005D2FAB"/>
    <w:rsid w:val="005D45DD"/>
    <w:rsid w:val="005D483A"/>
    <w:rsid w:val="005D489E"/>
    <w:rsid w:val="005D5013"/>
    <w:rsid w:val="005D6C6A"/>
    <w:rsid w:val="005D72A6"/>
    <w:rsid w:val="005D76F8"/>
    <w:rsid w:val="005E0301"/>
    <w:rsid w:val="005E0412"/>
    <w:rsid w:val="005E227E"/>
    <w:rsid w:val="005E24C2"/>
    <w:rsid w:val="005E2B52"/>
    <w:rsid w:val="005E3D1D"/>
    <w:rsid w:val="005E690A"/>
    <w:rsid w:val="005E6D2D"/>
    <w:rsid w:val="005E70B8"/>
    <w:rsid w:val="005F0B20"/>
    <w:rsid w:val="005F199D"/>
    <w:rsid w:val="005F2F87"/>
    <w:rsid w:val="005F3534"/>
    <w:rsid w:val="005F3EDD"/>
    <w:rsid w:val="005F4116"/>
    <w:rsid w:val="005F6833"/>
    <w:rsid w:val="005F688F"/>
    <w:rsid w:val="006001DB"/>
    <w:rsid w:val="00600B23"/>
    <w:rsid w:val="006011CE"/>
    <w:rsid w:val="0060395F"/>
    <w:rsid w:val="00603B0C"/>
    <w:rsid w:val="0060595D"/>
    <w:rsid w:val="00605DCE"/>
    <w:rsid w:val="0061022A"/>
    <w:rsid w:val="00611855"/>
    <w:rsid w:val="00611A09"/>
    <w:rsid w:val="00612069"/>
    <w:rsid w:val="006125B2"/>
    <w:rsid w:val="006129BB"/>
    <w:rsid w:val="00613E49"/>
    <w:rsid w:val="0061402D"/>
    <w:rsid w:val="0061499E"/>
    <w:rsid w:val="00615023"/>
    <w:rsid w:val="00615F48"/>
    <w:rsid w:val="00616010"/>
    <w:rsid w:val="00616789"/>
    <w:rsid w:val="00616BE2"/>
    <w:rsid w:val="006170BF"/>
    <w:rsid w:val="006176BC"/>
    <w:rsid w:val="00620AAD"/>
    <w:rsid w:val="00620B57"/>
    <w:rsid w:val="00621527"/>
    <w:rsid w:val="00621D6A"/>
    <w:rsid w:val="006223F7"/>
    <w:rsid w:val="00622D80"/>
    <w:rsid w:val="00622FEA"/>
    <w:rsid w:val="00623450"/>
    <w:rsid w:val="006278D5"/>
    <w:rsid w:val="00631A7A"/>
    <w:rsid w:val="00632571"/>
    <w:rsid w:val="00632755"/>
    <w:rsid w:val="00634213"/>
    <w:rsid w:val="00635C25"/>
    <w:rsid w:val="00636290"/>
    <w:rsid w:val="0063693A"/>
    <w:rsid w:val="00637A1C"/>
    <w:rsid w:val="00640B02"/>
    <w:rsid w:val="006459C8"/>
    <w:rsid w:val="006460EB"/>
    <w:rsid w:val="00646517"/>
    <w:rsid w:val="00650B60"/>
    <w:rsid w:val="0065202C"/>
    <w:rsid w:val="0065217B"/>
    <w:rsid w:val="006524FD"/>
    <w:rsid w:val="00652BC1"/>
    <w:rsid w:val="00653614"/>
    <w:rsid w:val="006548E7"/>
    <w:rsid w:val="00656D72"/>
    <w:rsid w:val="00657204"/>
    <w:rsid w:val="0065779F"/>
    <w:rsid w:val="00657A9A"/>
    <w:rsid w:val="00661453"/>
    <w:rsid w:val="00661A14"/>
    <w:rsid w:val="0066227F"/>
    <w:rsid w:val="0066280D"/>
    <w:rsid w:val="00662ED8"/>
    <w:rsid w:val="0066317D"/>
    <w:rsid w:val="0066344B"/>
    <w:rsid w:val="006642D4"/>
    <w:rsid w:val="00665CA5"/>
    <w:rsid w:val="006662EF"/>
    <w:rsid w:val="00666ACB"/>
    <w:rsid w:val="00670138"/>
    <w:rsid w:val="00670A0D"/>
    <w:rsid w:val="00671E3C"/>
    <w:rsid w:val="00671F03"/>
    <w:rsid w:val="00672F24"/>
    <w:rsid w:val="00673D3C"/>
    <w:rsid w:val="00676542"/>
    <w:rsid w:val="006776F5"/>
    <w:rsid w:val="00677B68"/>
    <w:rsid w:val="00677BAA"/>
    <w:rsid w:val="006809BE"/>
    <w:rsid w:val="00680ABD"/>
    <w:rsid w:val="00680AEC"/>
    <w:rsid w:val="0068131B"/>
    <w:rsid w:val="00683B72"/>
    <w:rsid w:val="00686C59"/>
    <w:rsid w:val="006873E0"/>
    <w:rsid w:val="006900B6"/>
    <w:rsid w:val="00690286"/>
    <w:rsid w:val="006903C3"/>
    <w:rsid w:val="00691162"/>
    <w:rsid w:val="0069391A"/>
    <w:rsid w:val="00694B30"/>
    <w:rsid w:val="006955BD"/>
    <w:rsid w:val="006963EF"/>
    <w:rsid w:val="006964AA"/>
    <w:rsid w:val="00696ABA"/>
    <w:rsid w:val="006A159C"/>
    <w:rsid w:val="006A26FB"/>
    <w:rsid w:val="006A3BA8"/>
    <w:rsid w:val="006A4791"/>
    <w:rsid w:val="006A5108"/>
    <w:rsid w:val="006A67BF"/>
    <w:rsid w:val="006A6D3C"/>
    <w:rsid w:val="006A6F69"/>
    <w:rsid w:val="006A7EED"/>
    <w:rsid w:val="006B058B"/>
    <w:rsid w:val="006B14AE"/>
    <w:rsid w:val="006B3FBA"/>
    <w:rsid w:val="006B4329"/>
    <w:rsid w:val="006B4DBC"/>
    <w:rsid w:val="006B6DBD"/>
    <w:rsid w:val="006B7D76"/>
    <w:rsid w:val="006C21EE"/>
    <w:rsid w:val="006C228F"/>
    <w:rsid w:val="006C2DB6"/>
    <w:rsid w:val="006C4F04"/>
    <w:rsid w:val="006C4F05"/>
    <w:rsid w:val="006C5198"/>
    <w:rsid w:val="006C5989"/>
    <w:rsid w:val="006C704B"/>
    <w:rsid w:val="006C7449"/>
    <w:rsid w:val="006C7566"/>
    <w:rsid w:val="006D12DC"/>
    <w:rsid w:val="006D2788"/>
    <w:rsid w:val="006D3295"/>
    <w:rsid w:val="006D32E2"/>
    <w:rsid w:val="006D4EA6"/>
    <w:rsid w:val="006D6894"/>
    <w:rsid w:val="006D69C4"/>
    <w:rsid w:val="006D6A26"/>
    <w:rsid w:val="006E0D57"/>
    <w:rsid w:val="006E129C"/>
    <w:rsid w:val="006E1AA8"/>
    <w:rsid w:val="006E1BF7"/>
    <w:rsid w:val="006E22EB"/>
    <w:rsid w:val="006E3862"/>
    <w:rsid w:val="006E55BC"/>
    <w:rsid w:val="006E5F49"/>
    <w:rsid w:val="006E63ED"/>
    <w:rsid w:val="006E6ED7"/>
    <w:rsid w:val="006E7170"/>
    <w:rsid w:val="006E73DB"/>
    <w:rsid w:val="006E7425"/>
    <w:rsid w:val="006E7C5D"/>
    <w:rsid w:val="006E7FC6"/>
    <w:rsid w:val="006F2486"/>
    <w:rsid w:val="006F37AE"/>
    <w:rsid w:val="006F596A"/>
    <w:rsid w:val="006F634D"/>
    <w:rsid w:val="006F6E06"/>
    <w:rsid w:val="006F7344"/>
    <w:rsid w:val="007019C3"/>
    <w:rsid w:val="00703181"/>
    <w:rsid w:val="00703E0C"/>
    <w:rsid w:val="00703EFD"/>
    <w:rsid w:val="00704E92"/>
    <w:rsid w:val="007056BF"/>
    <w:rsid w:val="00710F86"/>
    <w:rsid w:val="00711B2D"/>
    <w:rsid w:val="007132F9"/>
    <w:rsid w:val="00713F05"/>
    <w:rsid w:val="00715D9B"/>
    <w:rsid w:val="007160A6"/>
    <w:rsid w:val="0071666D"/>
    <w:rsid w:val="00717732"/>
    <w:rsid w:val="007177F6"/>
    <w:rsid w:val="007178B1"/>
    <w:rsid w:val="007203A0"/>
    <w:rsid w:val="007204BF"/>
    <w:rsid w:val="00720585"/>
    <w:rsid w:val="00722419"/>
    <w:rsid w:val="00724183"/>
    <w:rsid w:val="007253A0"/>
    <w:rsid w:val="0073027E"/>
    <w:rsid w:val="00732DCC"/>
    <w:rsid w:val="007330D1"/>
    <w:rsid w:val="00733B68"/>
    <w:rsid w:val="007346D3"/>
    <w:rsid w:val="007360E3"/>
    <w:rsid w:val="0073626E"/>
    <w:rsid w:val="007368C7"/>
    <w:rsid w:val="00736AEB"/>
    <w:rsid w:val="007409EA"/>
    <w:rsid w:val="00742D88"/>
    <w:rsid w:val="00743C2E"/>
    <w:rsid w:val="0074412E"/>
    <w:rsid w:val="00744CC8"/>
    <w:rsid w:val="00747592"/>
    <w:rsid w:val="00750869"/>
    <w:rsid w:val="00751C85"/>
    <w:rsid w:val="00753AF5"/>
    <w:rsid w:val="00753D13"/>
    <w:rsid w:val="007544C5"/>
    <w:rsid w:val="00754EC9"/>
    <w:rsid w:val="007555A6"/>
    <w:rsid w:val="007555F5"/>
    <w:rsid w:val="00757149"/>
    <w:rsid w:val="00760680"/>
    <w:rsid w:val="007609C1"/>
    <w:rsid w:val="00760CA4"/>
    <w:rsid w:val="00761FFD"/>
    <w:rsid w:val="00762DCA"/>
    <w:rsid w:val="00763361"/>
    <w:rsid w:val="00763E37"/>
    <w:rsid w:val="00764292"/>
    <w:rsid w:val="00764D15"/>
    <w:rsid w:val="00764D30"/>
    <w:rsid w:val="007650D9"/>
    <w:rsid w:val="00765C31"/>
    <w:rsid w:val="0076617B"/>
    <w:rsid w:val="0076788D"/>
    <w:rsid w:val="00770291"/>
    <w:rsid w:val="0077040E"/>
    <w:rsid w:val="007709CC"/>
    <w:rsid w:val="00770D35"/>
    <w:rsid w:val="00771778"/>
    <w:rsid w:val="0077188B"/>
    <w:rsid w:val="007721D3"/>
    <w:rsid w:val="00772218"/>
    <w:rsid w:val="007733CD"/>
    <w:rsid w:val="007766EE"/>
    <w:rsid w:val="007811B3"/>
    <w:rsid w:val="00781672"/>
    <w:rsid w:val="00781816"/>
    <w:rsid w:val="00782BB4"/>
    <w:rsid w:val="0078421B"/>
    <w:rsid w:val="00784B99"/>
    <w:rsid w:val="00790EBD"/>
    <w:rsid w:val="00792599"/>
    <w:rsid w:val="00793E13"/>
    <w:rsid w:val="007941A0"/>
    <w:rsid w:val="0079439F"/>
    <w:rsid w:val="00794EA3"/>
    <w:rsid w:val="00794FC4"/>
    <w:rsid w:val="00796402"/>
    <w:rsid w:val="0079660C"/>
    <w:rsid w:val="00796730"/>
    <w:rsid w:val="007971FB"/>
    <w:rsid w:val="007A030A"/>
    <w:rsid w:val="007A12DE"/>
    <w:rsid w:val="007A1668"/>
    <w:rsid w:val="007A25E4"/>
    <w:rsid w:val="007A4053"/>
    <w:rsid w:val="007A58B3"/>
    <w:rsid w:val="007A616D"/>
    <w:rsid w:val="007A61AF"/>
    <w:rsid w:val="007B11ED"/>
    <w:rsid w:val="007B12DE"/>
    <w:rsid w:val="007B2114"/>
    <w:rsid w:val="007B3183"/>
    <w:rsid w:val="007B4311"/>
    <w:rsid w:val="007B4D32"/>
    <w:rsid w:val="007B68D6"/>
    <w:rsid w:val="007B6B62"/>
    <w:rsid w:val="007B7166"/>
    <w:rsid w:val="007C00EB"/>
    <w:rsid w:val="007C0431"/>
    <w:rsid w:val="007C0A3A"/>
    <w:rsid w:val="007C2DF2"/>
    <w:rsid w:val="007C3CAC"/>
    <w:rsid w:val="007C3CFB"/>
    <w:rsid w:val="007C739F"/>
    <w:rsid w:val="007D0367"/>
    <w:rsid w:val="007D099F"/>
    <w:rsid w:val="007D199D"/>
    <w:rsid w:val="007D205E"/>
    <w:rsid w:val="007D2809"/>
    <w:rsid w:val="007D2869"/>
    <w:rsid w:val="007D2953"/>
    <w:rsid w:val="007D6275"/>
    <w:rsid w:val="007D7670"/>
    <w:rsid w:val="007D7F57"/>
    <w:rsid w:val="007E0D33"/>
    <w:rsid w:val="007E17D4"/>
    <w:rsid w:val="007E26C3"/>
    <w:rsid w:val="007E424D"/>
    <w:rsid w:val="007E4605"/>
    <w:rsid w:val="007E4785"/>
    <w:rsid w:val="007E4A93"/>
    <w:rsid w:val="007E518C"/>
    <w:rsid w:val="007E6459"/>
    <w:rsid w:val="007E7475"/>
    <w:rsid w:val="007E7B87"/>
    <w:rsid w:val="007F1AE0"/>
    <w:rsid w:val="007F1B3E"/>
    <w:rsid w:val="007F1B8B"/>
    <w:rsid w:val="007F3629"/>
    <w:rsid w:val="007F3892"/>
    <w:rsid w:val="007F3B24"/>
    <w:rsid w:val="007F3B88"/>
    <w:rsid w:val="007F3D66"/>
    <w:rsid w:val="007F4218"/>
    <w:rsid w:val="007F5160"/>
    <w:rsid w:val="007F58AA"/>
    <w:rsid w:val="007F68BC"/>
    <w:rsid w:val="007F68E1"/>
    <w:rsid w:val="007F7646"/>
    <w:rsid w:val="008008BA"/>
    <w:rsid w:val="00800971"/>
    <w:rsid w:val="008015CC"/>
    <w:rsid w:val="0080203B"/>
    <w:rsid w:val="0080304F"/>
    <w:rsid w:val="00803F3B"/>
    <w:rsid w:val="008056CB"/>
    <w:rsid w:val="00805B69"/>
    <w:rsid w:val="008060E2"/>
    <w:rsid w:val="008064F0"/>
    <w:rsid w:val="00806BE6"/>
    <w:rsid w:val="00807C69"/>
    <w:rsid w:val="00810EE0"/>
    <w:rsid w:val="00814725"/>
    <w:rsid w:val="00816A33"/>
    <w:rsid w:val="0081717A"/>
    <w:rsid w:val="008179AC"/>
    <w:rsid w:val="00817BAD"/>
    <w:rsid w:val="008201FD"/>
    <w:rsid w:val="0082186F"/>
    <w:rsid w:val="00822CD3"/>
    <w:rsid w:val="0082505D"/>
    <w:rsid w:val="0082576D"/>
    <w:rsid w:val="00825FFC"/>
    <w:rsid w:val="00826A47"/>
    <w:rsid w:val="00827CE4"/>
    <w:rsid w:val="0083008B"/>
    <w:rsid w:val="00831C21"/>
    <w:rsid w:val="00832364"/>
    <w:rsid w:val="00833A4C"/>
    <w:rsid w:val="00835443"/>
    <w:rsid w:val="008358C5"/>
    <w:rsid w:val="008369AE"/>
    <w:rsid w:val="008374B3"/>
    <w:rsid w:val="0084143E"/>
    <w:rsid w:val="00841473"/>
    <w:rsid w:val="00841A54"/>
    <w:rsid w:val="008420B5"/>
    <w:rsid w:val="0084466E"/>
    <w:rsid w:val="0084480E"/>
    <w:rsid w:val="00844999"/>
    <w:rsid w:val="00845891"/>
    <w:rsid w:val="008466D5"/>
    <w:rsid w:val="0084708C"/>
    <w:rsid w:val="00847F87"/>
    <w:rsid w:val="008503D6"/>
    <w:rsid w:val="00850B8D"/>
    <w:rsid w:val="00851386"/>
    <w:rsid w:val="008524A7"/>
    <w:rsid w:val="00853B90"/>
    <w:rsid w:val="00853EB1"/>
    <w:rsid w:val="00857800"/>
    <w:rsid w:val="008602AD"/>
    <w:rsid w:val="008611EC"/>
    <w:rsid w:val="008616A2"/>
    <w:rsid w:val="0086195D"/>
    <w:rsid w:val="0086258F"/>
    <w:rsid w:val="00862771"/>
    <w:rsid w:val="00865158"/>
    <w:rsid w:val="0086592A"/>
    <w:rsid w:val="008700B6"/>
    <w:rsid w:val="00871665"/>
    <w:rsid w:val="00871C8B"/>
    <w:rsid w:val="008723CA"/>
    <w:rsid w:val="00872967"/>
    <w:rsid w:val="00872E23"/>
    <w:rsid w:val="00873C99"/>
    <w:rsid w:val="00873CD6"/>
    <w:rsid w:val="00873CF0"/>
    <w:rsid w:val="00874CCD"/>
    <w:rsid w:val="00874EB4"/>
    <w:rsid w:val="008755FB"/>
    <w:rsid w:val="00876929"/>
    <w:rsid w:val="00876AC3"/>
    <w:rsid w:val="00876BAB"/>
    <w:rsid w:val="00876DD8"/>
    <w:rsid w:val="00876FB6"/>
    <w:rsid w:val="0088013C"/>
    <w:rsid w:val="00880986"/>
    <w:rsid w:val="00880F86"/>
    <w:rsid w:val="00881372"/>
    <w:rsid w:val="00882344"/>
    <w:rsid w:val="00884D18"/>
    <w:rsid w:val="008854FB"/>
    <w:rsid w:val="00885F03"/>
    <w:rsid w:val="00885F43"/>
    <w:rsid w:val="00887171"/>
    <w:rsid w:val="008876ED"/>
    <w:rsid w:val="008917BB"/>
    <w:rsid w:val="00891FE1"/>
    <w:rsid w:val="00895D65"/>
    <w:rsid w:val="00897586"/>
    <w:rsid w:val="008A0B6B"/>
    <w:rsid w:val="008A1E3C"/>
    <w:rsid w:val="008A1EC6"/>
    <w:rsid w:val="008A3B84"/>
    <w:rsid w:val="008A42C0"/>
    <w:rsid w:val="008A4782"/>
    <w:rsid w:val="008A4D9C"/>
    <w:rsid w:val="008A6AD1"/>
    <w:rsid w:val="008A71F8"/>
    <w:rsid w:val="008B1440"/>
    <w:rsid w:val="008B287D"/>
    <w:rsid w:val="008B3CAB"/>
    <w:rsid w:val="008B40C5"/>
    <w:rsid w:val="008B4120"/>
    <w:rsid w:val="008B6099"/>
    <w:rsid w:val="008B62BF"/>
    <w:rsid w:val="008B6B0D"/>
    <w:rsid w:val="008B75B5"/>
    <w:rsid w:val="008B76E2"/>
    <w:rsid w:val="008C02DB"/>
    <w:rsid w:val="008C035B"/>
    <w:rsid w:val="008C2921"/>
    <w:rsid w:val="008C4248"/>
    <w:rsid w:val="008C48A4"/>
    <w:rsid w:val="008C506D"/>
    <w:rsid w:val="008D09BB"/>
    <w:rsid w:val="008D0B5C"/>
    <w:rsid w:val="008D1CF6"/>
    <w:rsid w:val="008D4707"/>
    <w:rsid w:val="008D47E2"/>
    <w:rsid w:val="008E0A13"/>
    <w:rsid w:val="008E160E"/>
    <w:rsid w:val="008E2030"/>
    <w:rsid w:val="008E23A9"/>
    <w:rsid w:val="008E3302"/>
    <w:rsid w:val="008E3383"/>
    <w:rsid w:val="008E4DCA"/>
    <w:rsid w:val="008E4EF4"/>
    <w:rsid w:val="008E522E"/>
    <w:rsid w:val="008E53AA"/>
    <w:rsid w:val="008E55DF"/>
    <w:rsid w:val="008E5EE0"/>
    <w:rsid w:val="008E69EE"/>
    <w:rsid w:val="008E77E2"/>
    <w:rsid w:val="008E7FA7"/>
    <w:rsid w:val="008F0F28"/>
    <w:rsid w:val="008F2F4D"/>
    <w:rsid w:val="008F3D46"/>
    <w:rsid w:val="008F5CEC"/>
    <w:rsid w:val="008F5EAC"/>
    <w:rsid w:val="008F637E"/>
    <w:rsid w:val="008F68D8"/>
    <w:rsid w:val="008F6F5D"/>
    <w:rsid w:val="008F7AC6"/>
    <w:rsid w:val="008F7B72"/>
    <w:rsid w:val="00900435"/>
    <w:rsid w:val="00901F8B"/>
    <w:rsid w:val="00902501"/>
    <w:rsid w:val="0090270C"/>
    <w:rsid w:val="0090447F"/>
    <w:rsid w:val="00906BF0"/>
    <w:rsid w:val="009100C7"/>
    <w:rsid w:val="00910199"/>
    <w:rsid w:val="00911A63"/>
    <w:rsid w:val="00911FED"/>
    <w:rsid w:val="00913B25"/>
    <w:rsid w:val="00913FAA"/>
    <w:rsid w:val="009148DA"/>
    <w:rsid w:val="009156D8"/>
    <w:rsid w:val="00916970"/>
    <w:rsid w:val="009176FF"/>
    <w:rsid w:val="009202DA"/>
    <w:rsid w:val="00920997"/>
    <w:rsid w:val="00920FD9"/>
    <w:rsid w:val="00921073"/>
    <w:rsid w:val="00921B90"/>
    <w:rsid w:val="00921C59"/>
    <w:rsid w:val="00922DA8"/>
    <w:rsid w:val="00923192"/>
    <w:rsid w:val="009236C9"/>
    <w:rsid w:val="009236CB"/>
    <w:rsid w:val="00923D1B"/>
    <w:rsid w:val="00925983"/>
    <w:rsid w:val="009274B5"/>
    <w:rsid w:val="009276B5"/>
    <w:rsid w:val="00927A34"/>
    <w:rsid w:val="00927AB8"/>
    <w:rsid w:val="009301F0"/>
    <w:rsid w:val="00930357"/>
    <w:rsid w:val="0093035B"/>
    <w:rsid w:val="00934404"/>
    <w:rsid w:val="00940105"/>
    <w:rsid w:val="00942D71"/>
    <w:rsid w:val="009439D6"/>
    <w:rsid w:val="00944929"/>
    <w:rsid w:val="00945955"/>
    <w:rsid w:val="00945C45"/>
    <w:rsid w:val="00947FD1"/>
    <w:rsid w:val="0095114D"/>
    <w:rsid w:val="0095165F"/>
    <w:rsid w:val="00951F51"/>
    <w:rsid w:val="0095238E"/>
    <w:rsid w:val="009543AD"/>
    <w:rsid w:val="00957435"/>
    <w:rsid w:val="00957930"/>
    <w:rsid w:val="00960EAD"/>
    <w:rsid w:val="00961C45"/>
    <w:rsid w:val="00963B94"/>
    <w:rsid w:val="00964BE1"/>
    <w:rsid w:val="00966022"/>
    <w:rsid w:val="0096701D"/>
    <w:rsid w:val="00967360"/>
    <w:rsid w:val="009676FC"/>
    <w:rsid w:val="00967D85"/>
    <w:rsid w:val="009713A4"/>
    <w:rsid w:val="00973AB1"/>
    <w:rsid w:val="00974B27"/>
    <w:rsid w:val="00977F2B"/>
    <w:rsid w:val="0098054C"/>
    <w:rsid w:val="00980F82"/>
    <w:rsid w:val="00981798"/>
    <w:rsid w:val="00981D33"/>
    <w:rsid w:val="00981F5D"/>
    <w:rsid w:val="009826D4"/>
    <w:rsid w:val="009839E5"/>
    <w:rsid w:val="0099176A"/>
    <w:rsid w:val="00993BE9"/>
    <w:rsid w:val="00994C4F"/>
    <w:rsid w:val="00996438"/>
    <w:rsid w:val="009966C6"/>
    <w:rsid w:val="009967B8"/>
    <w:rsid w:val="009969A2"/>
    <w:rsid w:val="009974E5"/>
    <w:rsid w:val="00997BBB"/>
    <w:rsid w:val="009A0278"/>
    <w:rsid w:val="009A03D2"/>
    <w:rsid w:val="009A2EEE"/>
    <w:rsid w:val="009A307E"/>
    <w:rsid w:val="009A3143"/>
    <w:rsid w:val="009A332F"/>
    <w:rsid w:val="009A59DD"/>
    <w:rsid w:val="009A6419"/>
    <w:rsid w:val="009A683E"/>
    <w:rsid w:val="009A787B"/>
    <w:rsid w:val="009A7B67"/>
    <w:rsid w:val="009B0B12"/>
    <w:rsid w:val="009B10C3"/>
    <w:rsid w:val="009B1AC4"/>
    <w:rsid w:val="009B1CFE"/>
    <w:rsid w:val="009B2575"/>
    <w:rsid w:val="009B3337"/>
    <w:rsid w:val="009B3C5E"/>
    <w:rsid w:val="009B4EE2"/>
    <w:rsid w:val="009B53F1"/>
    <w:rsid w:val="009B5B00"/>
    <w:rsid w:val="009B716E"/>
    <w:rsid w:val="009B75D6"/>
    <w:rsid w:val="009C00BB"/>
    <w:rsid w:val="009C35EC"/>
    <w:rsid w:val="009C4204"/>
    <w:rsid w:val="009C5517"/>
    <w:rsid w:val="009C5E4A"/>
    <w:rsid w:val="009C5EAF"/>
    <w:rsid w:val="009D0889"/>
    <w:rsid w:val="009D0E78"/>
    <w:rsid w:val="009D1B25"/>
    <w:rsid w:val="009D2227"/>
    <w:rsid w:val="009D22F2"/>
    <w:rsid w:val="009D2F1D"/>
    <w:rsid w:val="009D2FAA"/>
    <w:rsid w:val="009D2FDF"/>
    <w:rsid w:val="009D3400"/>
    <w:rsid w:val="009D4024"/>
    <w:rsid w:val="009D4852"/>
    <w:rsid w:val="009D4D4B"/>
    <w:rsid w:val="009D53F0"/>
    <w:rsid w:val="009D596D"/>
    <w:rsid w:val="009D59C2"/>
    <w:rsid w:val="009D5D05"/>
    <w:rsid w:val="009D5DE3"/>
    <w:rsid w:val="009D6838"/>
    <w:rsid w:val="009D6843"/>
    <w:rsid w:val="009E2543"/>
    <w:rsid w:val="009E3324"/>
    <w:rsid w:val="009E48F2"/>
    <w:rsid w:val="009E49EA"/>
    <w:rsid w:val="009E4A56"/>
    <w:rsid w:val="009E6912"/>
    <w:rsid w:val="009F0F2A"/>
    <w:rsid w:val="009F2D89"/>
    <w:rsid w:val="009F4D42"/>
    <w:rsid w:val="009F5323"/>
    <w:rsid w:val="009F55F4"/>
    <w:rsid w:val="009F59FD"/>
    <w:rsid w:val="009F5D88"/>
    <w:rsid w:val="009F6728"/>
    <w:rsid w:val="009F7707"/>
    <w:rsid w:val="00A015A7"/>
    <w:rsid w:val="00A028DD"/>
    <w:rsid w:val="00A03771"/>
    <w:rsid w:val="00A0394D"/>
    <w:rsid w:val="00A0565C"/>
    <w:rsid w:val="00A05697"/>
    <w:rsid w:val="00A05AF5"/>
    <w:rsid w:val="00A0645E"/>
    <w:rsid w:val="00A06471"/>
    <w:rsid w:val="00A0733F"/>
    <w:rsid w:val="00A07688"/>
    <w:rsid w:val="00A1031A"/>
    <w:rsid w:val="00A11B76"/>
    <w:rsid w:val="00A12ECE"/>
    <w:rsid w:val="00A12F29"/>
    <w:rsid w:val="00A130C8"/>
    <w:rsid w:val="00A13272"/>
    <w:rsid w:val="00A13C3E"/>
    <w:rsid w:val="00A149A8"/>
    <w:rsid w:val="00A14B20"/>
    <w:rsid w:val="00A14F08"/>
    <w:rsid w:val="00A15C07"/>
    <w:rsid w:val="00A15D31"/>
    <w:rsid w:val="00A16F94"/>
    <w:rsid w:val="00A2044B"/>
    <w:rsid w:val="00A206FD"/>
    <w:rsid w:val="00A2134F"/>
    <w:rsid w:val="00A21709"/>
    <w:rsid w:val="00A22B16"/>
    <w:rsid w:val="00A22F4C"/>
    <w:rsid w:val="00A24E18"/>
    <w:rsid w:val="00A25117"/>
    <w:rsid w:val="00A255FC"/>
    <w:rsid w:val="00A25984"/>
    <w:rsid w:val="00A265B5"/>
    <w:rsid w:val="00A26B7F"/>
    <w:rsid w:val="00A30826"/>
    <w:rsid w:val="00A30B58"/>
    <w:rsid w:val="00A32293"/>
    <w:rsid w:val="00A328DF"/>
    <w:rsid w:val="00A32A96"/>
    <w:rsid w:val="00A33099"/>
    <w:rsid w:val="00A34B43"/>
    <w:rsid w:val="00A34BB7"/>
    <w:rsid w:val="00A34FD7"/>
    <w:rsid w:val="00A35E81"/>
    <w:rsid w:val="00A41587"/>
    <w:rsid w:val="00A41592"/>
    <w:rsid w:val="00A41D15"/>
    <w:rsid w:val="00A420BA"/>
    <w:rsid w:val="00A42455"/>
    <w:rsid w:val="00A4373E"/>
    <w:rsid w:val="00A4416C"/>
    <w:rsid w:val="00A44357"/>
    <w:rsid w:val="00A455B6"/>
    <w:rsid w:val="00A4603C"/>
    <w:rsid w:val="00A46694"/>
    <w:rsid w:val="00A46E42"/>
    <w:rsid w:val="00A508BA"/>
    <w:rsid w:val="00A50A71"/>
    <w:rsid w:val="00A50D5E"/>
    <w:rsid w:val="00A52B74"/>
    <w:rsid w:val="00A53000"/>
    <w:rsid w:val="00A531DE"/>
    <w:rsid w:val="00A53225"/>
    <w:rsid w:val="00A5474E"/>
    <w:rsid w:val="00A54E67"/>
    <w:rsid w:val="00A54E85"/>
    <w:rsid w:val="00A57AD0"/>
    <w:rsid w:val="00A60800"/>
    <w:rsid w:val="00A62680"/>
    <w:rsid w:val="00A6329C"/>
    <w:rsid w:val="00A644D9"/>
    <w:rsid w:val="00A65EDC"/>
    <w:rsid w:val="00A66934"/>
    <w:rsid w:val="00A6750A"/>
    <w:rsid w:val="00A67CD5"/>
    <w:rsid w:val="00A708B8"/>
    <w:rsid w:val="00A72610"/>
    <w:rsid w:val="00A72B8A"/>
    <w:rsid w:val="00A744F2"/>
    <w:rsid w:val="00A753D8"/>
    <w:rsid w:val="00A75F3B"/>
    <w:rsid w:val="00A77ACA"/>
    <w:rsid w:val="00A77C9C"/>
    <w:rsid w:val="00A77E89"/>
    <w:rsid w:val="00A80CC3"/>
    <w:rsid w:val="00A8131F"/>
    <w:rsid w:val="00A81FED"/>
    <w:rsid w:val="00A82A48"/>
    <w:rsid w:val="00A83751"/>
    <w:rsid w:val="00A83F8C"/>
    <w:rsid w:val="00A84799"/>
    <w:rsid w:val="00A85105"/>
    <w:rsid w:val="00A85AC2"/>
    <w:rsid w:val="00A86B6C"/>
    <w:rsid w:val="00A86B78"/>
    <w:rsid w:val="00A87617"/>
    <w:rsid w:val="00A902F1"/>
    <w:rsid w:val="00A91486"/>
    <w:rsid w:val="00A92152"/>
    <w:rsid w:val="00A92249"/>
    <w:rsid w:val="00A948CE"/>
    <w:rsid w:val="00A9696B"/>
    <w:rsid w:val="00A97194"/>
    <w:rsid w:val="00AA0579"/>
    <w:rsid w:val="00AA0662"/>
    <w:rsid w:val="00AA0CD0"/>
    <w:rsid w:val="00AA1185"/>
    <w:rsid w:val="00AA2633"/>
    <w:rsid w:val="00AA3014"/>
    <w:rsid w:val="00AA3DD7"/>
    <w:rsid w:val="00AA4460"/>
    <w:rsid w:val="00AA5337"/>
    <w:rsid w:val="00AA5807"/>
    <w:rsid w:val="00AA5A88"/>
    <w:rsid w:val="00AA7259"/>
    <w:rsid w:val="00AB0DD0"/>
    <w:rsid w:val="00AB20A0"/>
    <w:rsid w:val="00AB30ED"/>
    <w:rsid w:val="00AB32E5"/>
    <w:rsid w:val="00AB3379"/>
    <w:rsid w:val="00AB3ED4"/>
    <w:rsid w:val="00AB51F4"/>
    <w:rsid w:val="00AB55B0"/>
    <w:rsid w:val="00AB5E53"/>
    <w:rsid w:val="00AB792E"/>
    <w:rsid w:val="00AC0B17"/>
    <w:rsid w:val="00AC0CFE"/>
    <w:rsid w:val="00AC2032"/>
    <w:rsid w:val="00AC21CA"/>
    <w:rsid w:val="00AC24CA"/>
    <w:rsid w:val="00AC46C7"/>
    <w:rsid w:val="00AC571E"/>
    <w:rsid w:val="00AC591E"/>
    <w:rsid w:val="00AC5F3D"/>
    <w:rsid w:val="00AC6018"/>
    <w:rsid w:val="00AC6EBE"/>
    <w:rsid w:val="00AC7214"/>
    <w:rsid w:val="00AC79E5"/>
    <w:rsid w:val="00AC7B17"/>
    <w:rsid w:val="00AD0B02"/>
    <w:rsid w:val="00AD12C8"/>
    <w:rsid w:val="00AD3485"/>
    <w:rsid w:val="00AD3D23"/>
    <w:rsid w:val="00AD439E"/>
    <w:rsid w:val="00AD474B"/>
    <w:rsid w:val="00AD47FE"/>
    <w:rsid w:val="00AD52A4"/>
    <w:rsid w:val="00AD6107"/>
    <w:rsid w:val="00AD6DA1"/>
    <w:rsid w:val="00AE01F5"/>
    <w:rsid w:val="00AE0C8C"/>
    <w:rsid w:val="00AE2B1F"/>
    <w:rsid w:val="00AE3D54"/>
    <w:rsid w:val="00AE402C"/>
    <w:rsid w:val="00AE4213"/>
    <w:rsid w:val="00AE4CF6"/>
    <w:rsid w:val="00AE5EAD"/>
    <w:rsid w:val="00AE65A9"/>
    <w:rsid w:val="00AE7B36"/>
    <w:rsid w:val="00AF09B1"/>
    <w:rsid w:val="00AF2207"/>
    <w:rsid w:val="00AF5287"/>
    <w:rsid w:val="00AF6ACA"/>
    <w:rsid w:val="00AF7730"/>
    <w:rsid w:val="00B032EF"/>
    <w:rsid w:val="00B04E7E"/>
    <w:rsid w:val="00B057B6"/>
    <w:rsid w:val="00B05D9C"/>
    <w:rsid w:val="00B06153"/>
    <w:rsid w:val="00B061D3"/>
    <w:rsid w:val="00B066DA"/>
    <w:rsid w:val="00B06C95"/>
    <w:rsid w:val="00B06DA6"/>
    <w:rsid w:val="00B100ED"/>
    <w:rsid w:val="00B11C7A"/>
    <w:rsid w:val="00B12C74"/>
    <w:rsid w:val="00B132E4"/>
    <w:rsid w:val="00B13CB2"/>
    <w:rsid w:val="00B14B3F"/>
    <w:rsid w:val="00B162A3"/>
    <w:rsid w:val="00B16681"/>
    <w:rsid w:val="00B16759"/>
    <w:rsid w:val="00B16856"/>
    <w:rsid w:val="00B16D3C"/>
    <w:rsid w:val="00B16EBA"/>
    <w:rsid w:val="00B201EF"/>
    <w:rsid w:val="00B2276A"/>
    <w:rsid w:val="00B231A1"/>
    <w:rsid w:val="00B23295"/>
    <w:rsid w:val="00B2430A"/>
    <w:rsid w:val="00B24675"/>
    <w:rsid w:val="00B257C0"/>
    <w:rsid w:val="00B26805"/>
    <w:rsid w:val="00B269CF"/>
    <w:rsid w:val="00B30472"/>
    <w:rsid w:val="00B310FD"/>
    <w:rsid w:val="00B31447"/>
    <w:rsid w:val="00B31E62"/>
    <w:rsid w:val="00B33378"/>
    <w:rsid w:val="00B35566"/>
    <w:rsid w:val="00B35791"/>
    <w:rsid w:val="00B36C86"/>
    <w:rsid w:val="00B36F9D"/>
    <w:rsid w:val="00B3714C"/>
    <w:rsid w:val="00B376E4"/>
    <w:rsid w:val="00B40847"/>
    <w:rsid w:val="00B40B5F"/>
    <w:rsid w:val="00B41AF1"/>
    <w:rsid w:val="00B42F27"/>
    <w:rsid w:val="00B43E0F"/>
    <w:rsid w:val="00B44850"/>
    <w:rsid w:val="00B44C99"/>
    <w:rsid w:val="00B46569"/>
    <w:rsid w:val="00B467A3"/>
    <w:rsid w:val="00B5025B"/>
    <w:rsid w:val="00B50928"/>
    <w:rsid w:val="00B50A16"/>
    <w:rsid w:val="00B519D3"/>
    <w:rsid w:val="00B52257"/>
    <w:rsid w:val="00B5267D"/>
    <w:rsid w:val="00B52A78"/>
    <w:rsid w:val="00B53A55"/>
    <w:rsid w:val="00B53AB0"/>
    <w:rsid w:val="00B54529"/>
    <w:rsid w:val="00B54894"/>
    <w:rsid w:val="00B54AF4"/>
    <w:rsid w:val="00B55CE2"/>
    <w:rsid w:val="00B56DDA"/>
    <w:rsid w:val="00B5723B"/>
    <w:rsid w:val="00B5776C"/>
    <w:rsid w:val="00B6026E"/>
    <w:rsid w:val="00B60403"/>
    <w:rsid w:val="00B60B8A"/>
    <w:rsid w:val="00B60FC7"/>
    <w:rsid w:val="00B6306B"/>
    <w:rsid w:val="00B6307C"/>
    <w:rsid w:val="00B631BF"/>
    <w:rsid w:val="00B632B1"/>
    <w:rsid w:val="00B646E1"/>
    <w:rsid w:val="00B649DE"/>
    <w:rsid w:val="00B64E9F"/>
    <w:rsid w:val="00B6661F"/>
    <w:rsid w:val="00B7100F"/>
    <w:rsid w:val="00B713C2"/>
    <w:rsid w:val="00B71766"/>
    <w:rsid w:val="00B721C4"/>
    <w:rsid w:val="00B722A2"/>
    <w:rsid w:val="00B72860"/>
    <w:rsid w:val="00B72FCB"/>
    <w:rsid w:val="00B73B3E"/>
    <w:rsid w:val="00B759D4"/>
    <w:rsid w:val="00B75A45"/>
    <w:rsid w:val="00B77A7F"/>
    <w:rsid w:val="00B77C8D"/>
    <w:rsid w:val="00B8034D"/>
    <w:rsid w:val="00B810EF"/>
    <w:rsid w:val="00B81137"/>
    <w:rsid w:val="00B8114D"/>
    <w:rsid w:val="00B82EA6"/>
    <w:rsid w:val="00B836D6"/>
    <w:rsid w:val="00B838F0"/>
    <w:rsid w:val="00B8404A"/>
    <w:rsid w:val="00B84974"/>
    <w:rsid w:val="00B85E93"/>
    <w:rsid w:val="00B864E6"/>
    <w:rsid w:val="00B87109"/>
    <w:rsid w:val="00B87A18"/>
    <w:rsid w:val="00B90455"/>
    <w:rsid w:val="00B91094"/>
    <w:rsid w:val="00B938A5"/>
    <w:rsid w:val="00B946AB"/>
    <w:rsid w:val="00B95FB9"/>
    <w:rsid w:val="00B97109"/>
    <w:rsid w:val="00B97596"/>
    <w:rsid w:val="00B97939"/>
    <w:rsid w:val="00BA14D6"/>
    <w:rsid w:val="00BA15FF"/>
    <w:rsid w:val="00BA1F4E"/>
    <w:rsid w:val="00BA2C28"/>
    <w:rsid w:val="00BA3DDF"/>
    <w:rsid w:val="00BA53FB"/>
    <w:rsid w:val="00BA67FE"/>
    <w:rsid w:val="00BB1362"/>
    <w:rsid w:val="00BB201D"/>
    <w:rsid w:val="00BB2336"/>
    <w:rsid w:val="00BB40D2"/>
    <w:rsid w:val="00BB5541"/>
    <w:rsid w:val="00BB5DFF"/>
    <w:rsid w:val="00BB709E"/>
    <w:rsid w:val="00BB732A"/>
    <w:rsid w:val="00BC01BB"/>
    <w:rsid w:val="00BC1123"/>
    <w:rsid w:val="00BC11C0"/>
    <w:rsid w:val="00BC1642"/>
    <w:rsid w:val="00BC170C"/>
    <w:rsid w:val="00BC21F3"/>
    <w:rsid w:val="00BC252C"/>
    <w:rsid w:val="00BC2586"/>
    <w:rsid w:val="00BC363F"/>
    <w:rsid w:val="00BC4DEE"/>
    <w:rsid w:val="00BC55F4"/>
    <w:rsid w:val="00BC6B6A"/>
    <w:rsid w:val="00BD09F0"/>
    <w:rsid w:val="00BD3513"/>
    <w:rsid w:val="00BD3A1E"/>
    <w:rsid w:val="00BD60B4"/>
    <w:rsid w:val="00BD60EA"/>
    <w:rsid w:val="00BD6E0D"/>
    <w:rsid w:val="00BD79E3"/>
    <w:rsid w:val="00BE0A44"/>
    <w:rsid w:val="00BE0E9E"/>
    <w:rsid w:val="00BE108C"/>
    <w:rsid w:val="00BE281D"/>
    <w:rsid w:val="00BE2AC8"/>
    <w:rsid w:val="00BE3091"/>
    <w:rsid w:val="00BE3E12"/>
    <w:rsid w:val="00BE3F5E"/>
    <w:rsid w:val="00BE7130"/>
    <w:rsid w:val="00BE7C11"/>
    <w:rsid w:val="00BF0543"/>
    <w:rsid w:val="00BF0D86"/>
    <w:rsid w:val="00BF2AF4"/>
    <w:rsid w:val="00BF3DC8"/>
    <w:rsid w:val="00BF3DE7"/>
    <w:rsid w:val="00BF54EF"/>
    <w:rsid w:val="00BF7445"/>
    <w:rsid w:val="00C021FF"/>
    <w:rsid w:val="00C03F0B"/>
    <w:rsid w:val="00C04110"/>
    <w:rsid w:val="00C044DA"/>
    <w:rsid w:val="00C05CCC"/>
    <w:rsid w:val="00C060E2"/>
    <w:rsid w:val="00C075AF"/>
    <w:rsid w:val="00C107D3"/>
    <w:rsid w:val="00C10D6E"/>
    <w:rsid w:val="00C1161C"/>
    <w:rsid w:val="00C12BE9"/>
    <w:rsid w:val="00C1467A"/>
    <w:rsid w:val="00C14A10"/>
    <w:rsid w:val="00C14B8C"/>
    <w:rsid w:val="00C14D42"/>
    <w:rsid w:val="00C15608"/>
    <w:rsid w:val="00C1735A"/>
    <w:rsid w:val="00C17792"/>
    <w:rsid w:val="00C204CC"/>
    <w:rsid w:val="00C20D9E"/>
    <w:rsid w:val="00C21CED"/>
    <w:rsid w:val="00C22C7F"/>
    <w:rsid w:val="00C23C56"/>
    <w:rsid w:val="00C23F98"/>
    <w:rsid w:val="00C24531"/>
    <w:rsid w:val="00C24A2E"/>
    <w:rsid w:val="00C24CDD"/>
    <w:rsid w:val="00C262B0"/>
    <w:rsid w:val="00C2720B"/>
    <w:rsid w:val="00C272B1"/>
    <w:rsid w:val="00C27429"/>
    <w:rsid w:val="00C30969"/>
    <w:rsid w:val="00C31AEA"/>
    <w:rsid w:val="00C32F89"/>
    <w:rsid w:val="00C34848"/>
    <w:rsid w:val="00C35FDD"/>
    <w:rsid w:val="00C368CE"/>
    <w:rsid w:val="00C37153"/>
    <w:rsid w:val="00C37591"/>
    <w:rsid w:val="00C37C57"/>
    <w:rsid w:val="00C400BA"/>
    <w:rsid w:val="00C408BA"/>
    <w:rsid w:val="00C40DDC"/>
    <w:rsid w:val="00C4100C"/>
    <w:rsid w:val="00C43A05"/>
    <w:rsid w:val="00C4462B"/>
    <w:rsid w:val="00C44D07"/>
    <w:rsid w:val="00C4638C"/>
    <w:rsid w:val="00C46ACD"/>
    <w:rsid w:val="00C472D0"/>
    <w:rsid w:val="00C47C09"/>
    <w:rsid w:val="00C50074"/>
    <w:rsid w:val="00C52264"/>
    <w:rsid w:val="00C5383E"/>
    <w:rsid w:val="00C53BDC"/>
    <w:rsid w:val="00C5492B"/>
    <w:rsid w:val="00C54ECE"/>
    <w:rsid w:val="00C55A33"/>
    <w:rsid w:val="00C606E5"/>
    <w:rsid w:val="00C60E32"/>
    <w:rsid w:val="00C63DCE"/>
    <w:rsid w:val="00C64A9F"/>
    <w:rsid w:val="00C6503F"/>
    <w:rsid w:val="00C6515B"/>
    <w:rsid w:val="00C67793"/>
    <w:rsid w:val="00C701E7"/>
    <w:rsid w:val="00C70D3A"/>
    <w:rsid w:val="00C70FB1"/>
    <w:rsid w:val="00C7121A"/>
    <w:rsid w:val="00C71F58"/>
    <w:rsid w:val="00C7260A"/>
    <w:rsid w:val="00C72FAF"/>
    <w:rsid w:val="00C7336D"/>
    <w:rsid w:val="00C73564"/>
    <w:rsid w:val="00C73F95"/>
    <w:rsid w:val="00C7403B"/>
    <w:rsid w:val="00C754FF"/>
    <w:rsid w:val="00C76156"/>
    <w:rsid w:val="00C7733F"/>
    <w:rsid w:val="00C777A2"/>
    <w:rsid w:val="00C77ED2"/>
    <w:rsid w:val="00C80E12"/>
    <w:rsid w:val="00C80E68"/>
    <w:rsid w:val="00C827AD"/>
    <w:rsid w:val="00C830C6"/>
    <w:rsid w:val="00C83829"/>
    <w:rsid w:val="00C85069"/>
    <w:rsid w:val="00C85419"/>
    <w:rsid w:val="00C859BA"/>
    <w:rsid w:val="00C863D7"/>
    <w:rsid w:val="00C86803"/>
    <w:rsid w:val="00C87520"/>
    <w:rsid w:val="00C877CB"/>
    <w:rsid w:val="00C9007B"/>
    <w:rsid w:val="00C910C7"/>
    <w:rsid w:val="00C916B1"/>
    <w:rsid w:val="00C91A2D"/>
    <w:rsid w:val="00C9271B"/>
    <w:rsid w:val="00C935A8"/>
    <w:rsid w:val="00C93AFC"/>
    <w:rsid w:val="00C9432C"/>
    <w:rsid w:val="00C944D2"/>
    <w:rsid w:val="00C94D66"/>
    <w:rsid w:val="00C95E71"/>
    <w:rsid w:val="00C9620E"/>
    <w:rsid w:val="00C96A3A"/>
    <w:rsid w:val="00C9753B"/>
    <w:rsid w:val="00C97EDB"/>
    <w:rsid w:val="00CA0E32"/>
    <w:rsid w:val="00CA1159"/>
    <w:rsid w:val="00CA2805"/>
    <w:rsid w:val="00CA29F7"/>
    <w:rsid w:val="00CA389C"/>
    <w:rsid w:val="00CA4623"/>
    <w:rsid w:val="00CA52D1"/>
    <w:rsid w:val="00CA5AAE"/>
    <w:rsid w:val="00CA5B0F"/>
    <w:rsid w:val="00CA739C"/>
    <w:rsid w:val="00CB0AD7"/>
    <w:rsid w:val="00CB20D9"/>
    <w:rsid w:val="00CB263C"/>
    <w:rsid w:val="00CB29A9"/>
    <w:rsid w:val="00CB3BD5"/>
    <w:rsid w:val="00CB5BBC"/>
    <w:rsid w:val="00CB5FC1"/>
    <w:rsid w:val="00CC0100"/>
    <w:rsid w:val="00CC1F46"/>
    <w:rsid w:val="00CC250F"/>
    <w:rsid w:val="00CC2777"/>
    <w:rsid w:val="00CC3E75"/>
    <w:rsid w:val="00CC5776"/>
    <w:rsid w:val="00CC5D63"/>
    <w:rsid w:val="00CC6A8C"/>
    <w:rsid w:val="00CC7F16"/>
    <w:rsid w:val="00CD01D6"/>
    <w:rsid w:val="00CD17D6"/>
    <w:rsid w:val="00CD218F"/>
    <w:rsid w:val="00CD3770"/>
    <w:rsid w:val="00CD3916"/>
    <w:rsid w:val="00CD5003"/>
    <w:rsid w:val="00CD506B"/>
    <w:rsid w:val="00CD535C"/>
    <w:rsid w:val="00CD5A46"/>
    <w:rsid w:val="00CD73F5"/>
    <w:rsid w:val="00CE0AB9"/>
    <w:rsid w:val="00CE17DA"/>
    <w:rsid w:val="00CE1FF9"/>
    <w:rsid w:val="00CE255A"/>
    <w:rsid w:val="00CE261D"/>
    <w:rsid w:val="00CE425C"/>
    <w:rsid w:val="00CE4A50"/>
    <w:rsid w:val="00CE4E03"/>
    <w:rsid w:val="00CE573B"/>
    <w:rsid w:val="00CE5E42"/>
    <w:rsid w:val="00CE5F53"/>
    <w:rsid w:val="00CE6246"/>
    <w:rsid w:val="00CE73F8"/>
    <w:rsid w:val="00CF0B53"/>
    <w:rsid w:val="00CF0B80"/>
    <w:rsid w:val="00CF1769"/>
    <w:rsid w:val="00CF32A9"/>
    <w:rsid w:val="00CF4C94"/>
    <w:rsid w:val="00CF4FD0"/>
    <w:rsid w:val="00CF787C"/>
    <w:rsid w:val="00D003C6"/>
    <w:rsid w:val="00D012C4"/>
    <w:rsid w:val="00D0237A"/>
    <w:rsid w:val="00D02BCA"/>
    <w:rsid w:val="00D02D90"/>
    <w:rsid w:val="00D044B7"/>
    <w:rsid w:val="00D05167"/>
    <w:rsid w:val="00D05258"/>
    <w:rsid w:val="00D0554C"/>
    <w:rsid w:val="00D06FC2"/>
    <w:rsid w:val="00D0739A"/>
    <w:rsid w:val="00D07CEC"/>
    <w:rsid w:val="00D10981"/>
    <w:rsid w:val="00D11849"/>
    <w:rsid w:val="00D12210"/>
    <w:rsid w:val="00D1488F"/>
    <w:rsid w:val="00D14ED3"/>
    <w:rsid w:val="00D156B1"/>
    <w:rsid w:val="00D160AD"/>
    <w:rsid w:val="00D174AA"/>
    <w:rsid w:val="00D17704"/>
    <w:rsid w:val="00D20533"/>
    <w:rsid w:val="00D21A60"/>
    <w:rsid w:val="00D21B5A"/>
    <w:rsid w:val="00D21ECE"/>
    <w:rsid w:val="00D2207D"/>
    <w:rsid w:val="00D23AFC"/>
    <w:rsid w:val="00D23E91"/>
    <w:rsid w:val="00D2469F"/>
    <w:rsid w:val="00D25154"/>
    <w:rsid w:val="00D26A1B"/>
    <w:rsid w:val="00D27B38"/>
    <w:rsid w:val="00D27BCB"/>
    <w:rsid w:val="00D30CFE"/>
    <w:rsid w:val="00D30E55"/>
    <w:rsid w:val="00D316E6"/>
    <w:rsid w:val="00D3213A"/>
    <w:rsid w:val="00D3247E"/>
    <w:rsid w:val="00D32691"/>
    <w:rsid w:val="00D32D07"/>
    <w:rsid w:val="00D32F1C"/>
    <w:rsid w:val="00D342B3"/>
    <w:rsid w:val="00D355A7"/>
    <w:rsid w:val="00D35BF6"/>
    <w:rsid w:val="00D3678B"/>
    <w:rsid w:val="00D369F0"/>
    <w:rsid w:val="00D413D9"/>
    <w:rsid w:val="00D41E3B"/>
    <w:rsid w:val="00D42124"/>
    <w:rsid w:val="00D43A86"/>
    <w:rsid w:val="00D43F7A"/>
    <w:rsid w:val="00D44137"/>
    <w:rsid w:val="00D45881"/>
    <w:rsid w:val="00D45885"/>
    <w:rsid w:val="00D463C2"/>
    <w:rsid w:val="00D4640A"/>
    <w:rsid w:val="00D46876"/>
    <w:rsid w:val="00D471B2"/>
    <w:rsid w:val="00D47C8A"/>
    <w:rsid w:val="00D50A7A"/>
    <w:rsid w:val="00D50AE1"/>
    <w:rsid w:val="00D514D4"/>
    <w:rsid w:val="00D517D2"/>
    <w:rsid w:val="00D51AA2"/>
    <w:rsid w:val="00D525AE"/>
    <w:rsid w:val="00D527C7"/>
    <w:rsid w:val="00D53143"/>
    <w:rsid w:val="00D55D99"/>
    <w:rsid w:val="00D561CD"/>
    <w:rsid w:val="00D56552"/>
    <w:rsid w:val="00D569F3"/>
    <w:rsid w:val="00D6050A"/>
    <w:rsid w:val="00D6058C"/>
    <w:rsid w:val="00D612A9"/>
    <w:rsid w:val="00D61C5B"/>
    <w:rsid w:val="00D63566"/>
    <w:rsid w:val="00D639EE"/>
    <w:rsid w:val="00D6697A"/>
    <w:rsid w:val="00D672C5"/>
    <w:rsid w:val="00D7286D"/>
    <w:rsid w:val="00D72DD3"/>
    <w:rsid w:val="00D73C0D"/>
    <w:rsid w:val="00D741A7"/>
    <w:rsid w:val="00D750DA"/>
    <w:rsid w:val="00D81274"/>
    <w:rsid w:val="00D81718"/>
    <w:rsid w:val="00D8174A"/>
    <w:rsid w:val="00D82361"/>
    <w:rsid w:val="00D8357E"/>
    <w:rsid w:val="00D84BA6"/>
    <w:rsid w:val="00D85E67"/>
    <w:rsid w:val="00D868B1"/>
    <w:rsid w:val="00D90EB1"/>
    <w:rsid w:val="00D93C01"/>
    <w:rsid w:val="00D93E4C"/>
    <w:rsid w:val="00D945D8"/>
    <w:rsid w:val="00D94A17"/>
    <w:rsid w:val="00D9678F"/>
    <w:rsid w:val="00D97A85"/>
    <w:rsid w:val="00DA1410"/>
    <w:rsid w:val="00DA1F18"/>
    <w:rsid w:val="00DA46DC"/>
    <w:rsid w:val="00DA4B05"/>
    <w:rsid w:val="00DA54DA"/>
    <w:rsid w:val="00DA5E9C"/>
    <w:rsid w:val="00DA5EFE"/>
    <w:rsid w:val="00DA7055"/>
    <w:rsid w:val="00DA76DC"/>
    <w:rsid w:val="00DA7B6C"/>
    <w:rsid w:val="00DA7C66"/>
    <w:rsid w:val="00DB044A"/>
    <w:rsid w:val="00DB0FF9"/>
    <w:rsid w:val="00DB101F"/>
    <w:rsid w:val="00DB12F0"/>
    <w:rsid w:val="00DB37D7"/>
    <w:rsid w:val="00DB42EE"/>
    <w:rsid w:val="00DB49A3"/>
    <w:rsid w:val="00DB5216"/>
    <w:rsid w:val="00DB5DA9"/>
    <w:rsid w:val="00DB5F8D"/>
    <w:rsid w:val="00DB780F"/>
    <w:rsid w:val="00DC176F"/>
    <w:rsid w:val="00DC26CB"/>
    <w:rsid w:val="00DC2A98"/>
    <w:rsid w:val="00DC44E5"/>
    <w:rsid w:val="00DC50ED"/>
    <w:rsid w:val="00DC5354"/>
    <w:rsid w:val="00DC5F9E"/>
    <w:rsid w:val="00DD0789"/>
    <w:rsid w:val="00DD0A40"/>
    <w:rsid w:val="00DD20BF"/>
    <w:rsid w:val="00DD2A41"/>
    <w:rsid w:val="00DD2C62"/>
    <w:rsid w:val="00DD2C73"/>
    <w:rsid w:val="00DD3842"/>
    <w:rsid w:val="00DD47E2"/>
    <w:rsid w:val="00DD5ED1"/>
    <w:rsid w:val="00DD73A5"/>
    <w:rsid w:val="00DD7489"/>
    <w:rsid w:val="00DE1DE0"/>
    <w:rsid w:val="00DE269C"/>
    <w:rsid w:val="00DE2CAE"/>
    <w:rsid w:val="00DE2E15"/>
    <w:rsid w:val="00DE3161"/>
    <w:rsid w:val="00DE4A0F"/>
    <w:rsid w:val="00DE4D27"/>
    <w:rsid w:val="00DE5AF3"/>
    <w:rsid w:val="00DE6CC2"/>
    <w:rsid w:val="00DE6E6D"/>
    <w:rsid w:val="00DE70C7"/>
    <w:rsid w:val="00DE7DED"/>
    <w:rsid w:val="00DF0388"/>
    <w:rsid w:val="00DF1766"/>
    <w:rsid w:val="00DF1ABB"/>
    <w:rsid w:val="00DF2099"/>
    <w:rsid w:val="00DF2271"/>
    <w:rsid w:val="00DF29C6"/>
    <w:rsid w:val="00DF2A85"/>
    <w:rsid w:val="00DF3231"/>
    <w:rsid w:val="00DF357B"/>
    <w:rsid w:val="00DF4E17"/>
    <w:rsid w:val="00DF4E32"/>
    <w:rsid w:val="00DF5690"/>
    <w:rsid w:val="00DF5F3C"/>
    <w:rsid w:val="00DF61EC"/>
    <w:rsid w:val="00DF6E87"/>
    <w:rsid w:val="00DF79BB"/>
    <w:rsid w:val="00E0112A"/>
    <w:rsid w:val="00E020BC"/>
    <w:rsid w:val="00E037A8"/>
    <w:rsid w:val="00E07619"/>
    <w:rsid w:val="00E1032D"/>
    <w:rsid w:val="00E11802"/>
    <w:rsid w:val="00E1184B"/>
    <w:rsid w:val="00E1190F"/>
    <w:rsid w:val="00E11CB7"/>
    <w:rsid w:val="00E17723"/>
    <w:rsid w:val="00E177CE"/>
    <w:rsid w:val="00E17ACF"/>
    <w:rsid w:val="00E21FDB"/>
    <w:rsid w:val="00E2430C"/>
    <w:rsid w:val="00E26F6F"/>
    <w:rsid w:val="00E301BB"/>
    <w:rsid w:val="00E31372"/>
    <w:rsid w:val="00E32234"/>
    <w:rsid w:val="00E33B8C"/>
    <w:rsid w:val="00E34277"/>
    <w:rsid w:val="00E348BA"/>
    <w:rsid w:val="00E34ADD"/>
    <w:rsid w:val="00E3638C"/>
    <w:rsid w:val="00E36AE7"/>
    <w:rsid w:val="00E47259"/>
    <w:rsid w:val="00E473EF"/>
    <w:rsid w:val="00E506A1"/>
    <w:rsid w:val="00E50B99"/>
    <w:rsid w:val="00E50CCA"/>
    <w:rsid w:val="00E52770"/>
    <w:rsid w:val="00E531A4"/>
    <w:rsid w:val="00E53507"/>
    <w:rsid w:val="00E5489A"/>
    <w:rsid w:val="00E55B46"/>
    <w:rsid w:val="00E5636B"/>
    <w:rsid w:val="00E56F47"/>
    <w:rsid w:val="00E602EE"/>
    <w:rsid w:val="00E60559"/>
    <w:rsid w:val="00E60DB3"/>
    <w:rsid w:val="00E60E6B"/>
    <w:rsid w:val="00E61CB7"/>
    <w:rsid w:val="00E62E9F"/>
    <w:rsid w:val="00E64599"/>
    <w:rsid w:val="00E649A0"/>
    <w:rsid w:val="00E64A34"/>
    <w:rsid w:val="00E65188"/>
    <w:rsid w:val="00E65601"/>
    <w:rsid w:val="00E663C7"/>
    <w:rsid w:val="00E6723E"/>
    <w:rsid w:val="00E676FF"/>
    <w:rsid w:val="00E7109C"/>
    <w:rsid w:val="00E71BE2"/>
    <w:rsid w:val="00E71E90"/>
    <w:rsid w:val="00E73BE1"/>
    <w:rsid w:val="00E73F96"/>
    <w:rsid w:val="00E744FD"/>
    <w:rsid w:val="00E74532"/>
    <w:rsid w:val="00E74A46"/>
    <w:rsid w:val="00E751A3"/>
    <w:rsid w:val="00E763C3"/>
    <w:rsid w:val="00E76A3D"/>
    <w:rsid w:val="00E77046"/>
    <w:rsid w:val="00E77DD2"/>
    <w:rsid w:val="00E80003"/>
    <w:rsid w:val="00E80182"/>
    <w:rsid w:val="00E80701"/>
    <w:rsid w:val="00E81715"/>
    <w:rsid w:val="00E8177F"/>
    <w:rsid w:val="00E819A5"/>
    <w:rsid w:val="00E8235E"/>
    <w:rsid w:val="00E8264C"/>
    <w:rsid w:val="00E83FBC"/>
    <w:rsid w:val="00E84E72"/>
    <w:rsid w:val="00E859E8"/>
    <w:rsid w:val="00E85B11"/>
    <w:rsid w:val="00E864B7"/>
    <w:rsid w:val="00E86B85"/>
    <w:rsid w:val="00E86E87"/>
    <w:rsid w:val="00E87120"/>
    <w:rsid w:val="00E930DB"/>
    <w:rsid w:val="00E930E2"/>
    <w:rsid w:val="00E93ABD"/>
    <w:rsid w:val="00E93EFE"/>
    <w:rsid w:val="00E94183"/>
    <w:rsid w:val="00E94886"/>
    <w:rsid w:val="00E9603F"/>
    <w:rsid w:val="00E96A59"/>
    <w:rsid w:val="00E978D8"/>
    <w:rsid w:val="00EA2565"/>
    <w:rsid w:val="00EA295E"/>
    <w:rsid w:val="00EA2CB2"/>
    <w:rsid w:val="00EA52CC"/>
    <w:rsid w:val="00EA55DD"/>
    <w:rsid w:val="00EA59D2"/>
    <w:rsid w:val="00EA66A2"/>
    <w:rsid w:val="00EA6A83"/>
    <w:rsid w:val="00EB0077"/>
    <w:rsid w:val="00EB02C5"/>
    <w:rsid w:val="00EB0B2C"/>
    <w:rsid w:val="00EB15B2"/>
    <w:rsid w:val="00EB1BAC"/>
    <w:rsid w:val="00EB1E62"/>
    <w:rsid w:val="00EB2261"/>
    <w:rsid w:val="00EB2667"/>
    <w:rsid w:val="00EB33B9"/>
    <w:rsid w:val="00EB454F"/>
    <w:rsid w:val="00EB6406"/>
    <w:rsid w:val="00EB6E94"/>
    <w:rsid w:val="00EB7B5A"/>
    <w:rsid w:val="00EC15A4"/>
    <w:rsid w:val="00EC7998"/>
    <w:rsid w:val="00ED0E12"/>
    <w:rsid w:val="00ED1689"/>
    <w:rsid w:val="00ED1A9D"/>
    <w:rsid w:val="00ED246C"/>
    <w:rsid w:val="00ED2C0D"/>
    <w:rsid w:val="00ED3030"/>
    <w:rsid w:val="00ED4D0E"/>
    <w:rsid w:val="00ED6A04"/>
    <w:rsid w:val="00ED6F53"/>
    <w:rsid w:val="00EE305A"/>
    <w:rsid w:val="00EE4ABA"/>
    <w:rsid w:val="00EE5A7D"/>
    <w:rsid w:val="00EE603F"/>
    <w:rsid w:val="00EE67D8"/>
    <w:rsid w:val="00EE7D2C"/>
    <w:rsid w:val="00EF0E23"/>
    <w:rsid w:val="00EF1BB2"/>
    <w:rsid w:val="00EF1F65"/>
    <w:rsid w:val="00EF2383"/>
    <w:rsid w:val="00EF49CF"/>
    <w:rsid w:val="00EF5079"/>
    <w:rsid w:val="00EF6810"/>
    <w:rsid w:val="00EF742F"/>
    <w:rsid w:val="00EF779F"/>
    <w:rsid w:val="00EF7E85"/>
    <w:rsid w:val="00F00F9E"/>
    <w:rsid w:val="00F05344"/>
    <w:rsid w:val="00F0551E"/>
    <w:rsid w:val="00F05DA5"/>
    <w:rsid w:val="00F064A6"/>
    <w:rsid w:val="00F073B7"/>
    <w:rsid w:val="00F07B00"/>
    <w:rsid w:val="00F07ECA"/>
    <w:rsid w:val="00F11889"/>
    <w:rsid w:val="00F11BAC"/>
    <w:rsid w:val="00F12580"/>
    <w:rsid w:val="00F165D2"/>
    <w:rsid w:val="00F167BE"/>
    <w:rsid w:val="00F2029A"/>
    <w:rsid w:val="00F20793"/>
    <w:rsid w:val="00F225D8"/>
    <w:rsid w:val="00F226FA"/>
    <w:rsid w:val="00F23B07"/>
    <w:rsid w:val="00F250D7"/>
    <w:rsid w:val="00F25416"/>
    <w:rsid w:val="00F26873"/>
    <w:rsid w:val="00F32417"/>
    <w:rsid w:val="00F32AFB"/>
    <w:rsid w:val="00F33342"/>
    <w:rsid w:val="00F343D8"/>
    <w:rsid w:val="00F35D9B"/>
    <w:rsid w:val="00F37DEF"/>
    <w:rsid w:val="00F41369"/>
    <w:rsid w:val="00F413AA"/>
    <w:rsid w:val="00F41813"/>
    <w:rsid w:val="00F42663"/>
    <w:rsid w:val="00F426D9"/>
    <w:rsid w:val="00F42A81"/>
    <w:rsid w:val="00F42F34"/>
    <w:rsid w:val="00F45AB0"/>
    <w:rsid w:val="00F45B14"/>
    <w:rsid w:val="00F45B26"/>
    <w:rsid w:val="00F462ED"/>
    <w:rsid w:val="00F46D6F"/>
    <w:rsid w:val="00F504D5"/>
    <w:rsid w:val="00F50D1E"/>
    <w:rsid w:val="00F51639"/>
    <w:rsid w:val="00F521A0"/>
    <w:rsid w:val="00F52FA9"/>
    <w:rsid w:val="00F539CC"/>
    <w:rsid w:val="00F53D8B"/>
    <w:rsid w:val="00F554DA"/>
    <w:rsid w:val="00F63DB1"/>
    <w:rsid w:val="00F64247"/>
    <w:rsid w:val="00F645F8"/>
    <w:rsid w:val="00F6474D"/>
    <w:rsid w:val="00F65C8E"/>
    <w:rsid w:val="00F67694"/>
    <w:rsid w:val="00F67C8F"/>
    <w:rsid w:val="00F70FFE"/>
    <w:rsid w:val="00F71915"/>
    <w:rsid w:val="00F71DE0"/>
    <w:rsid w:val="00F720D1"/>
    <w:rsid w:val="00F72753"/>
    <w:rsid w:val="00F72822"/>
    <w:rsid w:val="00F74726"/>
    <w:rsid w:val="00F762BC"/>
    <w:rsid w:val="00F76CA3"/>
    <w:rsid w:val="00F773E3"/>
    <w:rsid w:val="00F8081D"/>
    <w:rsid w:val="00F80E8F"/>
    <w:rsid w:val="00F8198B"/>
    <w:rsid w:val="00F839C1"/>
    <w:rsid w:val="00F846CF"/>
    <w:rsid w:val="00F84DF9"/>
    <w:rsid w:val="00F853D8"/>
    <w:rsid w:val="00F86002"/>
    <w:rsid w:val="00F8688E"/>
    <w:rsid w:val="00F8705B"/>
    <w:rsid w:val="00F87BED"/>
    <w:rsid w:val="00F90483"/>
    <w:rsid w:val="00F90FAA"/>
    <w:rsid w:val="00F911A9"/>
    <w:rsid w:val="00F91B0A"/>
    <w:rsid w:val="00F9375C"/>
    <w:rsid w:val="00F93984"/>
    <w:rsid w:val="00F95540"/>
    <w:rsid w:val="00F958F9"/>
    <w:rsid w:val="00F95F6D"/>
    <w:rsid w:val="00F964B3"/>
    <w:rsid w:val="00F96832"/>
    <w:rsid w:val="00FA18A9"/>
    <w:rsid w:val="00FA1AE7"/>
    <w:rsid w:val="00FA2FC5"/>
    <w:rsid w:val="00FA4DAB"/>
    <w:rsid w:val="00FA5876"/>
    <w:rsid w:val="00FA6048"/>
    <w:rsid w:val="00FA6144"/>
    <w:rsid w:val="00FA623E"/>
    <w:rsid w:val="00FA7359"/>
    <w:rsid w:val="00FA7ABB"/>
    <w:rsid w:val="00FA7EBF"/>
    <w:rsid w:val="00FB1D21"/>
    <w:rsid w:val="00FB20BC"/>
    <w:rsid w:val="00FB2884"/>
    <w:rsid w:val="00FB338D"/>
    <w:rsid w:val="00FB36A5"/>
    <w:rsid w:val="00FB43A2"/>
    <w:rsid w:val="00FB688F"/>
    <w:rsid w:val="00FB6D8F"/>
    <w:rsid w:val="00FB7581"/>
    <w:rsid w:val="00FC011E"/>
    <w:rsid w:val="00FC0552"/>
    <w:rsid w:val="00FC0EC2"/>
    <w:rsid w:val="00FC1B3D"/>
    <w:rsid w:val="00FC4041"/>
    <w:rsid w:val="00FC40B6"/>
    <w:rsid w:val="00FC5299"/>
    <w:rsid w:val="00FC55C9"/>
    <w:rsid w:val="00FC55F7"/>
    <w:rsid w:val="00FC6257"/>
    <w:rsid w:val="00FC747E"/>
    <w:rsid w:val="00FC75B7"/>
    <w:rsid w:val="00FC7C7A"/>
    <w:rsid w:val="00FC7D76"/>
    <w:rsid w:val="00FC7EDF"/>
    <w:rsid w:val="00FD306B"/>
    <w:rsid w:val="00FD4BDA"/>
    <w:rsid w:val="00FD4C30"/>
    <w:rsid w:val="00FD5634"/>
    <w:rsid w:val="00FD5796"/>
    <w:rsid w:val="00FD69AD"/>
    <w:rsid w:val="00FD73E9"/>
    <w:rsid w:val="00FD76FF"/>
    <w:rsid w:val="00FE092A"/>
    <w:rsid w:val="00FE11C8"/>
    <w:rsid w:val="00FE2588"/>
    <w:rsid w:val="00FE33FB"/>
    <w:rsid w:val="00FE382E"/>
    <w:rsid w:val="00FE3A57"/>
    <w:rsid w:val="00FE495F"/>
    <w:rsid w:val="00FE52F0"/>
    <w:rsid w:val="00FE58D0"/>
    <w:rsid w:val="00FE5A38"/>
    <w:rsid w:val="00FE5AB7"/>
    <w:rsid w:val="00FE7543"/>
    <w:rsid w:val="00FF0566"/>
    <w:rsid w:val="00FF0D36"/>
    <w:rsid w:val="00FF0E36"/>
    <w:rsid w:val="00FF167C"/>
    <w:rsid w:val="00FF1A59"/>
    <w:rsid w:val="00FF30D6"/>
    <w:rsid w:val="00FF30EE"/>
    <w:rsid w:val="00FF38FC"/>
    <w:rsid w:val="00FF5172"/>
    <w:rsid w:val="00FF7729"/>
    <w:rsid w:val="00FF7D9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A028"/>
  <w15:docId w15:val="{E2616BC5-A8DC-45AF-9411-14734669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rsid w:val="009176FF"/>
    <w:pPr>
      <w:tabs>
        <w:tab w:val="center" w:pos="4320"/>
        <w:tab w:val="right" w:pos="8640"/>
      </w:tabs>
    </w:pPr>
  </w:style>
  <w:style w:type="character" w:customStyle="1" w:styleId="PtaChar">
    <w:name w:val="Päta Char"/>
    <w:basedOn w:val="Predvolenpsmoodseku"/>
    <w:link w:val="Pta"/>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table" w:styleId="Mriekatabuky">
    <w:name w:val="Table Grid"/>
    <w:basedOn w:val="Normlnatabuka"/>
    <w:uiPriority w:val="59"/>
    <w:rsid w:val="00C6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606E5"/>
    <w:rPr>
      <w:sz w:val="16"/>
      <w:szCs w:val="16"/>
    </w:rPr>
  </w:style>
  <w:style w:type="paragraph" w:styleId="Textkomentra">
    <w:name w:val="annotation text"/>
    <w:basedOn w:val="Normlny"/>
    <w:link w:val="TextkomentraChar"/>
    <w:uiPriority w:val="99"/>
    <w:semiHidden/>
    <w:unhideWhenUsed/>
    <w:rsid w:val="00C606E5"/>
    <w:pPr>
      <w:spacing w:line="240" w:lineRule="auto"/>
    </w:pPr>
    <w:rPr>
      <w:rFonts w:ascii="Arial" w:eastAsia="Frutiger LT Com 45 Light" w:hAnsi="Arial" w:cs="Frutiger LT Com 45 Light"/>
      <w:sz w:val="20"/>
      <w:szCs w:val="20"/>
    </w:rPr>
  </w:style>
  <w:style w:type="character" w:customStyle="1" w:styleId="TextkomentraChar">
    <w:name w:val="Text komentára Char"/>
    <w:basedOn w:val="Predvolenpsmoodseku"/>
    <w:link w:val="Textkomentra"/>
    <w:uiPriority w:val="99"/>
    <w:semiHidden/>
    <w:rsid w:val="00C606E5"/>
    <w:rPr>
      <w:rFonts w:ascii="Arial" w:eastAsia="Frutiger LT Com 45 Light" w:hAnsi="Arial" w:cs="Frutiger LT Com 45 Light"/>
      <w:sz w:val="20"/>
      <w:szCs w:val="20"/>
      <w:lang w:val="en-GB"/>
    </w:rPr>
  </w:style>
  <w:style w:type="character" w:styleId="Hypertextovprepojenie">
    <w:name w:val="Hyperlink"/>
    <w:basedOn w:val="Predvolenpsmoodseku"/>
    <w:uiPriority w:val="99"/>
    <w:semiHidden/>
    <w:unhideWhenUsed/>
    <w:rsid w:val="00C606E5"/>
    <w:rPr>
      <w:color w:val="0000FF"/>
      <w:u w:val="single"/>
    </w:rPr>
  </w:style>
  <w:style w:type="paragraph" w:styleId="Predmetkomentra">
    <w:name w:val="annotation subject"/>
    <w:basedOn w:val="Textkomentra"/>
    <w:next w:val="Textkomentra"/>
    <w:link w:val="PredmetkomentraChar"/>
    <w:uiPriority w:val="99"/>
    <w:semiHidden/>
    <w:unhideWhenUsed/>
    <w:rsid w:val="00D35BF6"/>
    <w:rPr>
      <w:rFonts w:ascii="Verdana" w:eastAsia="Times New Roman" w:hAnsi="Verdana" w:cs="Times New Roman"/>
      <w:b/>
      <w:bCs/>
    </w:rPr>
  </w:style>
  <w:style w:type="character" w:customStyle="1" w:styleId="PredmetkomentraChar">
    <w:name w:val="Predmet komentára Char"/>
    <w:basedOn w:val="TextkomentraChar"/>
    <w:link w:val="Predmetkomentra"/>
    <w:uiPriority w:val="99"/>
    <w:semiHidden/>
    <w:rsid w:val="00D35BF6"/>
    <w:rPr>
      <w:rFonts w:ascii="Verdana" w:eastAsia="Times New Roman" w:hAnsi="Verdana" w:cs="Times New Roman"/>
      <w:b/>
      <w:bCs/>
      <w:sz w:val="20"/>
      <w:szCs w:val="20"/>
      <w:lang w:val="en-GB"/>
    </w:rPr>
  </w:style>
  <w:style w:type="character" w:styleId="PouitHypertextovPrepojenie">
    <w:name w:val="FollowedHyperlink"/>
    <w:basedOn w:val="Predvolenpsmoodseku"/>
    <w:uiPriority w:val="99"/>
    <w:semiHidden/>
    <w:unhideWhenUsed/>
    <w:rsid w:val="00B5776C"/>
    <w:rPr>
      <w:color w:val="800080" w:themeColor="followedHyperlink"/>
      <w:u w:val="single"/>
    </w:rPr>
  </w:style>
  <w:style w:type="character" w:customStyle="1" w:styleId="HideTWBExt">
    <w:name w:val="HideTWBExt"/>
    <w:rsid w:val="006D12DC"/>
    <w:rPr>
      <w:rFonts w:ascii="Arial" w:hAnsi="Arial"/>
      <w:noProof/>
      <w:vanish/>
      <w:color w:val="000080"/>
      <w:sz w:val="20"/>
    </w:rPr>
  </w:style>
  <w:style w:type="paragraph" w:styleId="Revzia">
    <w:name w:val="Revision"/>
    <w:hidden/>
    <w:uiPriority w:val="99"/>
    <w:semiHidden/>
    <w:rsid w:val="00502B48"/>
    <w:pPr>
      <w:spacing w:after="0" w:line="240" w:lineRule="auto"/>
    </w:pPr>
    <w:rPr>
      <w:rFonts w:ascii="Verdana" w:eastAsia="Times New Roman" w:hAnsi="Verdana" w:cs="Times New Roman"/>
      <w:sz w:val="17"/>
      <w:szCs w:val="24"/>
      <w:lang w:val="en-GB"/>
    </w:rPr>
  </w:style>
  <w:style w:type="paragraph" w:customStyle="1" w:styleId="NormalBold">
    <w:name w:val="NormalBold"/>
    <w:basedOn w:val="Normlny"/>
    <w:link w:val="NormalBoldChar"/>
    <w:rsid w:val="00A30826"/>
    <w:pPr>
      <w:widowControl w:val="0"/>
      <w:spacing w:line="240" w:lineRule="auto"/>
      <w:jc w:val="left"/>
    </w:pPr>
    <w:rPr>
      <w:rFonts w:ascii="Times New Roman" w:hAnsi="Times New Roman"/>
      <w:b/>
      <w:sz w:val="24"/>
      <w:szCs w:val="20"/>
      <w:lang w:eastAsia="en-GB"/>
    </w:rPr>
  </w:style>
  <w:style w:type="character" w:customStyle="1" w:styleId="NormalBoldChar">
    <w:name w:val="NormalBold Char"/>
    <w:basedOn w:val="Predvolenpsmoodseku"/>
    <w:link w:val="NormalBold"/>
    <w:rsid w:val="00A30826"/>
    <w:rPr>
      <w:rFonts w:ascii="Times New Roman" w:eastAsia="Times New Roman" w:hAnsi="Times New Roman" w:cs="Times New Roman"/>
      <w:b/>
      <w:sz w:val="24"/>
      <w:szCs w:val="20"/>
      <w:lang w:val="en-GB" w:eastAsia="en-GB"/>
    </w:rPr>
  </w:style>
  <w:style w:type="paragraph" w:styleId="Odsekzoznamu">
    <w:name w:val="List Paragraph"/>
    <w:basedOn w:val="Normlny"/>
    <w:uiPriority w:val="34"/>
    <w:qFormat/>
    <w:rsid w:val="00FA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3" ma:contentTypeDescription="Published Documents Content types for Insurance Europe" ma:contentTypeScope="" ma:versionID="4a4162a0ba2cac1c20994b0a19fbf2fb">
  <xsd:schema xmlns:xsd="http://www.w3.org/2001/XMLSchema" xmlns:xs="http://www.w3.org/2001/XMLSchema" xmlns:p="http://schemas.microsoft.com/office/2006/metadata/properties" xmlns:ns2="d352728d-c7aa-455d-bd83-40fe44122be8" targetNamespace="http://schemas.microsoft.com/office/2006/metadata/properties" ma:root="true" ma:fieldsID="a27679d9f9c8b495199064f15733cb20"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Props1.xml><?xml version="1.0" encoding="utf-8"?>
<ds:datastoreItem xmlns:ds="http://schemas.openxmlformats.org/officeDocument/2006/customXml" ds:itemID="{2ACD1EB1-8A4E-475C-B785-63E2E5AB4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3.xml><?xml version="1.0" encoding="utf-8"?>
<ds:datastoreItem xmlns:ds="http://schemas.openxmlformats.org/officeDocument/2006/customXml" ds:itemID="{71D7A0EA-14CF-4487-AFCD-561CDD8E319F}">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d352728d-c7aa-455d-bd83-40fe44122be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6080</Words>
  <Characters>34657</Characters>
  <Application>Microsoft Office Word</Application>
  <DocSecurity>4</DocSecurity>
  <Lines>288</Lines>
  <Paragraphs>81</Paragraphs>
  <ScaleCrop>false</ScaleCrop>
  <Company>Insurance Europe</Company>
  <LinksUpToDate>false</LinksUpToDate>
  <CharactersWithSpaces>40656</CharactersWithSpaces>
  <SharedDoc>false</SharedDoc>
  <HLinks>
    <vt:vector size="6" baseType="variant">
      <vt:variant>
        <vt:i4>8061023</vt:i4>
      </vt:variant>
      <vt:variant>
        <vt:i4>0</vt:i4>
      </vt:variant>
      <vt:variant>
        <vt:i4>0</vt:i4>
      </vt:variant>
      <vt:variant>
        <vt:i4>5</vt:i4>
      </vt:variant>
      <vt:variant>
        <vt:lpwstr>https://www.europarl.europa.eu/doceo/document/ECON-AM-735620_EN.pdf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Detailed assessment of SII EP amendments 413-596</dc:title>
  <dc:subject/>
  <dc:creator>Insurance Europe</dc:creator>
  <cp:keywords/>
  <cp:lastModifiedBy>jozef.bachnicek</cp:lastModifiedBy>
  <cp:revision>2</cp:revision>
  <dcterms:created xsi:type="dcterms:W3CDTF">2022-08-12T07:21:00Z</dcterms:created>
  <dcterms:modified xsi:type="dcterms:W3CDTF">2022-08-12T07:21:00Z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ies>
</file>