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99136" w14:textId="29338D3B" w:rsidR="00C606E5" w:rsidRPr="00D43554" w:rsidRDefault="0084620E" w:rsidP="00DA133E">
      <w:pPr>
        <w:shd w:val="clear" w:color="auto" w:fill="DBE5F1" w:themeFill="accent1" w:themeFillTint="33"/>
        <w:ind w:right="-2015"/>
        <w:rPr>
          <w:b/>
          <w:szCs w:val="17"/>
        </w:rPr>
      </w:pPr>
      <w:r w:rsidRPr="00D43554">
        <w:rPr>
          <w:b/>
          <w:szCs w:val="17"/>
        </w:rPr>
        <w:t>D</w:t>
      </w:r>
      <w:r w:rsidR="00C606E5" w:rsidRPr="00D43554">
        <w:rPr>
          <w:b/>
          <w:szCs w:val="17"/>
        </w:rPr>
        <w:t>etailed assessment of Solvency II Amendments</w:t>
      </w:r>
      <w:r w:rsidR="00FF30EE" w:rsidRPr="00D43554">
        <w:rPr>
          <w:b/>
          <w:szCs w:val="17"/>
        </w:rPr>
        <w:t xml:space="preserve"> 206-412</w:t>
      </w:r>
    </w:p>
    <w:p w14:paraId="4A249AA2" w14:textId="77777777" w:rsidR="00C606E5" w:rsidRPr="00614849" w:rsidRDefault="00C606E5" w:rsidP="00C606E5">
      <w:pPr>
        <w:autoSpaceDE w:val="0"/>
        <w:autoSpaceDN w:val="0"/>
        <w:adjustRightInd w:val="0"/>
        <w:rPr>
          <w:szCs w:val="17"/>
        </w:rPr>
      </w:pPr>
    </w:p>
    <w:tbl>
      <w:tblPr>
        <w:tblStyle w:val="Mriekatabuky"/>
        <w:tblW w:w="14459" w:type="dxa"/>
        <w:tblInd w:w="-176" w:type="dxa"/>
        <w:tblLayout w:type="fixed"/>
        <w:tblLook w:val="04A0" w:firstRow="1" w:lastRow="0" w:firstColumn="1" w:lastColumn="0" w:noHBand="0" w:noVBand="1"/>
      </w:tblPr>
      <w:tblGrid>
        <w:gridCol w:w="689"/>
        <w:gridCol w:w="1909"/>
        <w:gridCol w:w="6116"/>
        <w:gridCol w:w="1909"/>
        <w:gridCol w:w="2543"/>
        <w:gridCol w:w="1293"/>
      </w:tblGrid>
      <w:tr w:rsidR="00981D57" w:rsidRPr="00D43554" w14:paraId="4C7983AA" w14:textId="77777777" w:rsidTr="00424768">
        <w:trPr>
          <w:trHeight w:val="499"/>
        </w:trPr>
        <w:tc>
          <w:tcPr>
            <w:tcW w:w="689" w:type="dxa"/>
            <w:shd w:val="clear" w:color="auto" w:fill="595959" w:themeFill="text1" w:themeFillTint="A6"/>
            <w:vAlign w:val="center"/>
          </w:tcPr>
          <w:p w14:paraId="794D26C5" w14:textId="77777777" w:rsidR="00C606E5" w:rsidRPr="00C964BD" w:rsidRDefault="00C606E5" w:rsidP="00BD161F">
            <w:pPr>
              <w:jc w:val="center"/>
              <w:rPr>
                <w:b/>
                <w:color w:val="FFFFFF" w:themeColor="background1"/>
                <w:szCs w:val="17"/>
              </w:rPr>
            </w:pPr>
            <w:bookmarkStart w:id="0" w:name="OLE_LINK1"/>
            <w:r>
              <w:rPr>
                <w:b/>
                <w:color w:val="FFFFFF" w:themeColor="background1"/>
                <w:szCs w:val="17"/>
              </w:rPr>
              <w:t>AM number</w:t>
            </w:r>
          </w:p>
        </w:tc>
        <w:tc>
          <w:tcPr>
            <w:tcW w:w="1909" w:type="dxa"/>
            <w:shd w:val="clear" w:color="auto" w:fill="595959" w:themeFill="text1" w:themeFillTint="A6"/>
            <w:vAlign w:val="center"/>
          </w:tcPr>
          <w:p w14:paraId="1FD53F51" w14:textId="77777777" w:rsidR="00C606E5" w:rsidRPr="00C964BD" w:rsidRDefault="00C606E5" w:rsidP="00BD161F">
            <w:pPr>
              <w:jc w:val="center"/>
              <w:rPr>
                <w:b/>
                <w:color w:val="FFFFFF" w:themeColor="background1"/>
                <w:szCs w:val="17"/>
              </w:rPr>
            </w:pPr>
            <w:r w:rsidRPr="00C964BD">
              <w:rPr>
                <w:b/>
                <w:color w:val="FFFFFF" w:themeColor="background1"/>
                <w:szCs w:val="17"/>
              </w:rPr>
              <w:t>Recital/Article Number</w:t>
            </w:r>
          </w:p>
        </w:tc>
        <w:tc>
          <w:tcPr>
            <w:tcW w:w="6116" w:type="dxa"/>
            <w:shd w:val="clear" w:color="auto" w:fill="595959" w:themeFill="text1" w:themeFillTint="A6"/>
            <w:vAlign w:val="center"/>
          </w:tcPr>
          <w:p w14:paraId="52EAC1B1" w14:textId="77777777" w:rsidR="00C606E5" w:rsidRPr="00C964BD" w:rsidRDefault="00C606E5" w:rsidP="00BD161F">
            <w:pPr>
              <w:jc w:val="center"/>
              <w:rPr>
                <w:b/>
                <w:color w:val="FFFFFF" w:themeColor="background1"/>
                <w:szCs w:val="17"/>
              </w:rPr>
            </w:pPr>
            <w:r w:rsidRPr="00C964BD">
              <w:rPr>
                <w:b/>
                <w:color w:val="FFFFFF" w:themeColor="background1"/>
                <w:szCs w:val="17"/>
              </w:rPr>
              <w:t>A</w:t>
            </w:r>
            <w:r>
              <w:rPr>
                <w:b/>
                <w:color w:val="FFFFFF" w:themeColor="background1"/>
                <w:szCs w:val="17"/>
              </w:rPr>
              <w:t xml:space="preserve">mendment </w:t>
            </w:r>
            <w:r w:rsidRPr="00C964BD">
              <w:rPr>
                <w:b/>
                <w:color w:val="FFFFFF" w:themeColor="background1"/>
                <w:szCs w:val="17"/>
              </w:rPr>
              <w:t>description</w:t>
            </w:r>
          </w:p>
        </w:tc>
        <w:tc>
          <w:tcPr>
            <w:tcW w:w="1909" w:type="dxa"/>
            <w:shd w:val="clear" w:color="auto" w:fill="595959" w:themeFill="text1" w:themeFillTint="A6"/>
            <w:vAlign w:val="center"/>
          </w:tcPr>
          <w:p w14:paraId="13159725" w14:textId="77777777" w:rsidR="00C606E5" w:rsidRPr="00C964BD" w:rsidRDefault="00C606E5" w:rsidP="00BD161F">
            <w:pPr>
              <w:jc w:val="center"/>
              <w:rPr>
                <w:b/>
                <w:color w:val="FFFFFF" w:themeColor="background1"/>
                <w:szCs w:val="17"/>
              </w:rPr>
            </w:pPr>
            <w:r w:rsidRPr="00C964BD">
              <w:rPr>
                <w:b/>
                <w:color w:val="FFFFFF" w:themeColor="background1"/>
                <w:szCs w:val="17"/>
              </w:rPr>
              <w:t>Proposed by</w:t>
            </w:r>
          </w:p>
        </w:tc>
        <w:tc>
          <w:tcPr>
            <w:tcW w:w="2543" w:type="dxa"/>
            <w:shd w:val="clear" w:color="auto" w:fill="595959" w:themeFill="text1" w:themeFillTint="A6"/>
            <w:vAlign w:val="center"/>
          </w:tcPr>
          <w:p w14:paraId="3E5412E0" w14:textId="77777777" w:rsidR="00C606E5" w:rsidRPr="00C964BD" w:rsidRDefault="00C606E5" w:rsidP="00BD161F">
            <w:pPr>
              <w:jc w:val="center"/>
              <w:rPr>
                <w:b/>
                <w:color w:val="FFFFFF" w:themeColor="background1"/>
                <w:szCs w:val="17"/>
              </w:rPr>
            </w:pPr>
            <w:r>
              <w:rPr>
                <w:b/>
                <w:color w:val="FFFFFF" w:themeColor="background1"/>
                <w:szCs w:val="17"/>
              </w:rPr>
              <w:t>Area</w:t>
            </w:r>
          </w:p>
        </w:tc>
        <w:tc>
          <w:tcPr>
            <w:tcW w:w="1293" w:type="dxa"/>
            <w:shd w:val="clear" w:color="auto" w:fill="595959" w:themeFill="text1" w:themeFillTint="A6"/>
            <w:vAlign w:val="center"/>
          </w:tcPr>
          <w:p w14:paraId="3A64EA33" w14:textId="77777777" w:rsidR="00C606E5" w:rsidRPr="00C964BD" w:rsidRDefault="00C606E5" w:rsidP="00BD161F">
            <w:pPr>
              <w:jc w:val="center"/>
              <w:rPr>
                <w:b/>
                <w:color w:val="FFFFFF" w:themeColor="background1"/>
                <w:szCs w:val="17"/>
              </w:rPr>
            </w:pPr>
            <w:r w:rsidRPr="00C964BD">
              <w:rPr>
                <w:b/>
                <w:color w:val="FFFFFF" w:themeColor="background1"/>
                <w:szCs w:val="17"/>
              </w:rPr>
              <w:t>Assessment</w:t>
            </w:r>
          </w:p>
        </w:tc>
      </w:tr>
      <w:tr w:rsidR="009C7162" w:rsidRPr="00D43554" w14:paraId="7A946680" w14:textId="77777777" w:rsidTr="00424768">
        <w:trPr>
          <w:trHeight w:val="499"/>
        </w:trPr>
        <w:tc>
          <w:tcPr>
            <w:tcW w:w="689" w:type="dxa"/>
            <w:vAlign w:val="center"/>
          </w:tcPr>
          <w:p w14:paraId="463FBB25" w14:textId="77777777" w:rsidR="009C7162" w:rsidRPr="009A2EFA" w:rsidRDefault="009C7162" w:rsidP="0028355F">
            <w:pPr>
              <w:jc w:val="center"/>
              <w:rPr>
                <w:bCs/>
                <w:szCs w:val="17"/>
              </w:rPr>
            </w:pPr>
            <w:r w:rsidRPr="009A2EFA">
              <w:rPr>
                <w:bCs/>
                <w:szCs w:val="17"/>
              </w:rPr>
              <w:t>206</w:t>
            </w:r>
          </w:p>
        </w:tc>
        <w:tc>
          <w:tcPr>
            <w:tcW w:w="1909" w:type="dxa"/>
            <w:vAlign w:val="center"/>
          </w:tcPr>
          <w:p w14:paraId="15FB636B" w14:textId="77777777" w:rsidR="009C7162" w:rsidRPr="009A2EFA" w:rsidRDefault="009C7162" w:rsidP="0028355F">
            <w:pPr>
              <w:jc w:val="center"/>
              <w:rPr>
                <w:bCs/>
                <w:szCs w:val="17"/>
              </w:rPr>
            </w:pPr>
            <w:r>
              <w:rPr>
                <w:bCs/>
                <w:szCs w:val="17"/>
              </w:rPr>
              <w:t>Recital 2</w:t>
            </w:r>
          </w:p>
        </w:tc>
        <w:tc>
          <w:tcPr>
            <w:tcW w:w="6116" w:type="dxa"/>
          </w:tcPr>
          <w:p w14:paraId="6821C5B4" w14:textId="77777777" w:rsidR="009C7162" w:rsidRPr="009A2EFA" w:rsidRDefault="009C7162" w:rsidP="0028355F">
            <w:pPr>
              <w:jc w:val="left"/>
              <w:rPr>
                <w:bCs/>
                <w:szCs w:val="17"/>
              </w:rPr>
            </w:pPr>
            <w:r>
              <w:rPr>
                <w:bCs/>
                <w:szCs w:val="17"/>
              </w:rPr>
              <w:t>Added Russian invasion as one of the causes for making the work on the Union’s political priorities even more urgent.</w:t>
            </w:r>
          </w:p>
        </w:tc>
        <w:tc>
          <w:tcPr>
            <w:tcW w:w="1909" w:type="dxa"/>
            <w:vAlign w:val="center"/>
          </w:tcPr>
          <w:p w14:paraId="72AA6F51" w14:textId="77777777" w:rsidR="009C7162" w:rsidRPr="009A2EFA" w:rsidRDefault="009C7162" w:rsidP="0028355F">
            <w:pPr>
              <w:jc w:val="center"/>
              <w:rPr>
                <w:bCs/>
                <w:szCs w:val="17"/>
              </w:rPr>
            </w:pPr>
            <w:r w:rsidRPr="003F7287">
              <w:rPr>
                <w:bCs/>
                <w:szCs w:val="17"/>
              </w:rPr>
              <w:t>Hahn</w:t>
            </w:r>
          </w:p>
        </w:tc>
        <w:tc>
          <w:tcPr>
            <w:tcW w:w="2543" w:type="dxa"/>
            <w:vAlign w:val="center"/>
          </w:tcPr>
          <w:p w14:paraId="0F7D69F8" w14:textId="77777777" w:rsidR="009C7162" w:rsidRPr="009A2EFA" w:rsidRDefault="009C7162" w:rsidP="0028355F">
            <w:pPr>
              <w:jc w:val="center"/>
              <w:rPr>
                <w:bCs/>
                <w:szCs w:val="17"/>
              </w:rPr>
            </w:pPr>
          </w:p>
        </w:tc>
        <w:tc>
          <w:tcPr>
            <w:tcW w:w="1293" w:type="dxa"/>
            <w:vAlign w:val="center"/>
          </w:tcPr>
          <w:p w14:paraId="5957062A" w14:textId="77777777" w:rsidR="009C7162" w:rsidRPr="00F63B3C" w:rsidRDefault="009C7162" w:rsidP="0028355F">
            <w:pPr>
              <w:jc w:val="center"/>
              <w:rPr>
                <w:b/>
                <w:color w:val="808080" w:themeColor="background1" w:themeShade="80"/>
                <w:szCs w:val="17"/>
              </w:rPr>
            </w:pPr>
            <w:r w:rsidRPr="00F63B3C">
              <w:rPr>
                <w:b/>
                <w:color w:val="808080" w:themeColor="background1" w:themeShade="80"/>
                <w:szCs w:val="17"/>
              </w:rPr>
              <w:t>Neutral</w:t>
            </w:r>
          </w:p>
        </w:tc>
      </w:tr>
      <w:tr w:rsidR="008A2F9A" w:rsidRPr="00D43554" w14:paraId="22244C04" w14:textId="77777777" w:rsidTr="00424768">
        <w:trPr>
          <w:trHeight w:val="499"/>
        </w:trPr>
        <w:tc>
          <w:tcPr>
            <w:tcW w:w="689" w:type="dxa"/>
            <w:vAlign w:val="center"/>
          </w:tcPr>
          <w:p w14:paraId="2A2D3643" w14:textId="77777777" w:rsidR="008A2F9A" w:rsidRPr="009A2EFA" w:rsidRDefault="008A2F9A" w:rsidP="008A2F9A">
            <w:pPr>
              <w:jc w:val="center"/>
              <w:rPr>
                <w:bCs/>
                <w:szCs w:val="17"/>
              </w:rPr>
            </w:pPr>
            <w:r>
              <w:rPr>
                <w:bCs/>
                <w:szCs w:val="17"/>
              </w:rPr>
              <w:t>207</w:t>
            </w:r>
          </w:p>
        </w:tc>
        <w:tc>
          <w:tcPr>
            <w:tcW w:w="1909" w:type="dxa"/>
            <w:vAlign w:val="center"/>
          </w:tcPr>
          <w:p w14:paraId="23876243" w14:textId="77777777" w:rsidR="008A2F9A" w:rsidRDefault="008A2F9A" w:rsidP="008A2F9A">
            <w:pPr>
              <w:jc w:val="center"/>
              <w:rPr>
                <w:bCs/>
                <w:szCs w:val="17"/>
              </w:rPr>
            </w:pPr>
            <w:r>
              <w:rPr>
                <w:bCs/>
                <w:szCs w:val="17"/>
              </w:rPr>
              <w:t>Recital 3</w:t>
            </w:r>
          </w:p>
        </w:tc>
        <w:tc>
          <w:tcPr>
            <w:tcW w:w="6116" w:type="dxa"/>
          </w:tcPr>
          <w:p w14:paraId="1BD1677A" w14:textId="65CA2BA8" w:rsidR="008A2F9A" w:rsidRDefault="008A2F9A" w:rsidP="008A2F9A">
            <w:pPr>
              <w:jc w:val="left"/>
              <w:rPr>
                <w:bCs/>
                <w:szCs w:val="17"/>
              </w:rPr>
            </w:pPr>
            <w:r>
              <w:rPr>
                <w:bCs/>
                <w:szCs w:val="17"/>
              </w:rPr>
              <w:t xml:space="preserve">Added </w:t>
            </w:r>
            <w:r w:rsidR="00996AA9">
              <w:rPr>
                <w:bCs/>
                <w:szCs w:val="17"/>
              </w:rPr>
              <w:t>reference</w:t>
            </w:r>
            <w:r>
              <w:rPr>
                <w:bCs/>
                <w:szCs w:val="17"/>
              </w:rPr>
              <w:t xml:space="preserve"> on necessity of insurance sector </w:t>
            </w:r>
            <w:r w:rsidR="00F172FF">
              <w:rPr>
                <w:bCs/>
                <w:szCs w:val="17"/>
              </w:rPr>
              <w:t>to</w:t>
            </w:r>
            <w:r w:rsidR="00E76BF4">
              <w:rPr>
                <w:bCs/>
                <w:szCs w:val="17"/>
              </w:rPr>
              <w:t xml:space="preserve"> make </w:t>
            </w:r>
            <w:r>
              <w:rPr>
                <w:bCs/>
                <w:szCs w:val="17"/>
              </w:rPr>
              <w:t>long-term investment</w:t>
            </w:r>
            <w:r w:rsidR="00E76BF4">
              <w:rPr>
                <w:bCs/>
                <w:szCs w:val="17"/>
              </w:rPr>
              <w:t>s</w:t>
            </w:r>
            <w:r>
              <w:rPr>
                <w:bCs/>
                <w:szCs w:val="17"/>
              </w:rPr>
              <w:t xml:space="preserve"> </w:t>
            </w:r>
            <w:r w:rsidR="00E76BF4">
              <w:rPr>
                <w:bCs/>
                <w:szCs w:val="17"/>
              </w:rPr>
              <w:t>within</w:t>
            </w:r>
            <w:r>
              <w:rPr>
                <w:bCs/>
                <w:szCs w:val="17"/>
              </w:rPr>
              <w:t xml:space="preserve"> finance green and digital transition.</w:t>
            </w:r>
          </w:p>
          <w:p w14:paraId="4B7B8391" w14:textId="77777777" w:rsidR="008A2F9A" w:rsidRDefault="008A2F9A" w:rsidP="008A2F9A">
            <w:pPr>
              <w:jc w:val="left"/>
              <w:rPr>
                <w:bCs/>
                <w:szCs w:val="17"/>
              </w:rPr>
            </w:pPr>
          </w:p>
          <w:p w14:paraId="5C73401E" w14:textId="55425E17" w:rsidR="008A2F9A" w:rsidRDefault="008A2F9A" w:rsidP="008A2F9A">
            <w:pPr>
              <w:jc w:val="left"/>
              <w:rPr>
                <w:bCs/>
                <w:szCs w:val="17"/>
              </w:rPr>
            </w:pPr>
            <w:r>
              <w:rPr>
                <w:bCs/>
                <w:szCs w:val="17"/>
              </w:rPr>
              <w:t>To facilitate undertakings to financing the recovery of the Union, changes in the standard formula of the SCR should consider the long-term nature of the business. MEP</w:t>
            </w:r>
            <w:r w:rsidR="00DD1E69">
              <w:rPr>
                <w:bCs/>
                <w:szCs w:val="17"/>
              </w:rPr>
              <w:t xml:space="preserve"> </w:t>
            </w:r>
            <w:r>
              <w:rPr>
                <w:bCs/>
                <w:szCs w:val="17"/>
              </w:rPr>
              <w:t xml:space="preserve">notes that the </w:t>
            </w:r>
            <w:r w:rsidR="00325CFC">
              <w:rPr>
                <w:bCs/>
                <w:szCs w:val="17"/>
              </w:rPr>
              <w:t>LTE stress parameter</w:t>
            </w:r>
            <w:r>
              <w:rPr>
                <w:bCs/>
                <w:szCs w:val="17"/>
              </w:rPr>
              <w:t xml:space="preserve"> should be strictly conditioned to the long-t</w:t>
            </w:r>
            <w:r w:rsidRPr="00E0008C">
              <w:rPr>
                <w:bCs/>
                <w:szCs w:val="17"/>
              </w:rPr>
              <w:t>erm nature of the insurer’s liabilities and to the ability of the insurer to properly manage its risks</w:t>
            </w:r>
            <w:r>
              <w:rPr>
                <w:bCs/>
                <w:szCs w:val="17"/>
              </w:rPr>
              <w:t>, removing the previous conditions of complying with robust criteria, where policyholder protection is secured and forced selling of long-term equities is avoided.</w:t>
            </w:r>
          </w:p>
        </w:tc>
        <w:tc>
          <w:tcPr>
            <w:tcW w:w="1909" w:type="dxa"/>
            <w:vAlign w:val="center"/>
          </w:tcPr>
          <w:p w14:paraId="4C6FB50F" w14:textId="77777777" w:rsidR="008A2F9A" w:rsidRPr="003F7287" w:rsidRDefault="008A2F9A" w:rsidP="008A2F9A">
            <w:pPr>
              <w:jc w:val="center"/>
              <w:rPr>
                <w:bCs/>
                <w:szCs w:val="17"/>
              </w:rPr>
            </w:pPr>
            <w:r w:rsidRPr="003F7287">
              <w:rPr>
                <w:bCs/>
                <w:szCs w:val="17"/>
              </w:rPr>
              <w:t>Hahn</w:t>
            </w:r>
          </w:p>
        </w:tc>
        <w:tc>
          <w:tcPr>
            <w:tcW w:w="2543" w:type="dxa"/>
            <w:vAlign w:val="center"/>
          </w:tcPr>
          <w:p w14:paraId="7481EB72" w14:textId="6F7326B1" w:rsidR="008A2F9A" w:rsidRPr="009A2EFA" w:rsidRDefault="00EB299E" w:rsidP="008A2F9A">
            <w:pPr>
              <w:jc w:val="center"/>
              <w:rPr>
                <w:bCs/>
                <w:szCs w:val="17"/>
              </w:rPr>
            </w:pPr>
            <w:r w:rsidRPr="00B9005C">
              <w:rPr>
                <w:bCs/>
                <w:szCs w:val="17"/>
              </w:rPr>
              <w:t>Long term equity</w:t>
            </w:r>
          </w:p>
        </w:tc>
        <w:tc>
          <w:tcPr>
            <w:tcW w:w="1293" w:type="dxa"/>
            <w:vAlign w:val="center"/>
          </w:tcPr>
          <w:p w14:paraId="37325CF1" w14:textId="6EBF6BD8" w:rsidR="008A2F9A" w:rsidRPr="00F63B3C" w:rsidRDefault="008A2F9A" w:rsidP="008A2F9A">
            <w:pPr>
              <w:jc w:val="center"/>
              <w:rPr>
                <w:b/>
                <w:color w:val="808080" w:themeColor="background1" w:themeShade="80"/>
                <w:szCs w:val="17"/>
              </w:rPr>
            </w:pPr>
            <w:r w:rsidRPr="00CF149B">
              <w:rPr>
                <w:b/>
                <w:color w:val="808080" w:themeColor="background1" w:themeShade="80"/>
                <w:szCs w:val="17"/>
              </w:rPr>
              <w:t>Neutral</w:t>
            </w:r>
          </w:p>
        </w:tc>
      </w:tr>
      <w:tr w:rsidR="008A2F9A" w:rsidRPr="00D43554" w14:paraId="1C7D709A" w14:textId="77777777" w:rsidTr="00424768">
        <w:trPr>
          <w:trHeight w:val="499"/>
        </w:trPr>
        <w:tc>
          <w:tcPr>
            <w:tcW w:w="689" w:type="dxa"/>
            <w:vAlign w:val="center"/>
          </w:tcPr>
          <w:p w14:paraId="6584ED59" w14:textId="77777777" w:rsidR="008A2F9A" w:rsidRDefault="008A2F9A" w:rsidP="008A2F9A">
            <w:pPr>
              <w:jc w:val="center"/>
              <w:rPr>
                <w:bCs/>
                <w:szCs w:val="17"/>
              </w:rPr>
            </w:pPr>
            <w:r>
              <w:rPr>
                <w:bCs/>
                <w:szCs w:val="17"/>
              </w:rPr>
              <w:t>208</w:t>
            </w:r>
          </w:p>
        </w:tc>
        <w:tc>
          <w:tcPr>
            <w:tcW w:w="1909" w:type="dxa"/>
            <w:vAlign w:val="center"/>
          </w:tcPr>
          <w:p w14:paraId="37925C81" w14:textId="77777777" w:rsidR="008A2F9A" w:rsidRDefault="008A2F9A" w:rsidP="008A2F9A">
            <w:pPr>
              <w:jc w:val="center"/>
              <w:rPr>
                <w:bCs/>
                <w:szCs w:val="17"/>
              </w:rPr>
            </w:pPr>
            <w:r>
              <w:rPr>
                <w:bCs/>
                <w:szCs w:val="17"/>
              </w:rPr>
              <w:t>Recital 3</w:t>
            </w:r>
          </w:p>
        </w:tc>
        <w:tc>
          <w:tcPr>
            <w:tcW w:w="6116" w:type="dxa"/>
          </w:tcPr>
          <w:p w14:paraId="04F38D4B" w14:textId="32492C12" w:rsidR="008A2F9A" w:rsidRDefault="008A2F9A" w:rsidP="008A2F9A">
            <w:pPr>
              <w:jc w:val="left"/>
              <w:rPr>
                <w:bCs/>
                <w:szCs w:val="17"/>
              </w:rPr>
            </w:pPr>
            <w:r>
              <w:rPr>
                <w:bCs/>
                <w:szCs w:val="17"/>
              </w:rPr>
              <w:t>T</w:t>
            </w:r>
            <w:r w:rsidRPr="00C24BD1">
              <w:rPr>
                <w:bCs/>
                <w:szCs w:val="17"/>
              </w:rPr>
              <w:t>o benefit from the more favourable standard parameter for equity investments</w:t>
            </w:r>
            <w:r>
              <w:rPr>
                <w:bCs/>
                <w:szCs w:val="17"/>
              </w:rPr>
              <w:t xml:space="preserve">, undertakings should comply with criteria to avoid </w:t>
            </w:r>
            <w:r w:rsidRPr="008955B4">
              <w:rPr>
                <w:bCs/>
                <w:szCs w:val="17"/>
              </w:rPr>
              <w:t>forced selling</w:t>
            </w:r>
            <w:r>
              <w:rPr>
                <w:bCs/>
                <w:szCs w:val="17"/>
              </w:rPr>
              <w:t>. MEP clarif</w:t>
            </w:r>
            <w:r w:rsidR="00B9005C">
              <w:rPr>
                <w:bCs/>
                <w:szCs w:val="17"/>
              </w:rPr>
              <w:t xml:space="preserve">ies </w:t>
            </w:r>
            <w:r>
              <w:rPr>
                <w:bCs/>
                <w:szCs w:val="17"/>
              </w:rPr>
              <w:t xml:space="preserve">that this criterion </w:t>
            </w:r>
            <w:r w:rsidRPr="00301D40">
              <w:rPr>
                <w:bCs/>
                <w:szCs w:val="17"/>
              </w:rPr>
              <w:t>should not require legal or contractual ring-fencing of long-term investment assets</w:t>
            </w:r>
            <w:r w:rsidR="00600D30">
              <w:rPr>
                <w:bCs/>
                <w:szCs w:val="17"/>
              </w:rPr>
              <w:t xml:space="preserve">. On the other </w:t>
            </w:r>
            <w:proofErr w:type="gramStart"/>
            <w:r w:rsidR="00600D30">
              <w:rPr>
                <w:bCs/>
                <w:szCs w:val="17"/>
              </w:rPr>
              <w:t>hand</w:t>
            </w:r>
            <w:proofErr w:type="gramEnd"/>
            <w:r w:rsidR="00600D30">
              <w:rPr>
                <w:bCs/>
                <w:szCs w:val="17"/>
              </w:rPr>
              <w:t xml:space="preserve"> </w:t>
            </w:r>
            <w:r>
              <w:rPr>
                <w:bCs/>
                <w:szCs w:val="17"/>
              </w:rPr>
              <w:t>undertaking</w:t>
            </w:r>
            <w:r w:rsidR="00600D30">
              <w:rPr>
                <w:bCs/>
                <w:szCs w:val="17"/>
              </w:rPr>
              <w:t>s</w:t>
            </w:r>
            <w:r>
              <w:rPr>
                <w:bCs/>
                <w:szCs w:val="17"/>
              </w:rPr>
              <w:t xml:space="preserve"> should commit </w:t>
            </w:r>
            <w:r w:rsidRPr="00F7041F">
              <w:rPr>
                <w:bCs/>
                <w:szCs w:val="17"/>
              </w:rPr>
              <w:t>to a minimum holding period of the equities through written policies and demonstrate its ability to maintain this portfolio over this holding period</w:t>
            </w:r>
            <w:r>
              <w:rPr>
                <w:bCs/>
                <w:szCs w:val="17"/>
              </w:rPr>
              <w:t>.</w:t>
            </w:r>
          </w:p>
        </w:tc>
        <w:tc>
          <w:tcPr>
            <w:tcW w:w="1909" w:type="dxa"/>
            <w:vAlign w:val="center"/>
          </w:tcPr>
          <w:p w14:paraId="0E803437" w14:textId="77777777" w:rsidR="008A2F9A" w:rsidRPr="003F7287" w:rsidRDefault="008A2F9A" w:rsidP="008A2F9A">
            <w:pPr>
              <w:jc w:val="center"/>
              <w:rPr>
                <w:bCs/>
                <w:szCs w:val="17"/>
              </w:rPr>
            </w:pPr>
            <w:r w:rsidRPr="00615BCF">
              <w:rPr>
                <w:bCs/>
                <w:szCs w:val="17"/>
              </w:rPr>
              <w:t>Yon-Courtin, Boyer</w:t>
            </w:r>
          </w:p>
        </w:tc>
        <w:tc>
          <w:tcPr>
            <w:tcW w:w="2543" w:type="dxa"/>
            <w:vAlign w:val="center"/>
          </w:tcPr>
          <w:p w14:paraId="675FDDC5" w14:textId="2AB9193C" w:rsidR="008A2F9A" w:rsidRPr="009A2EFA" w:rsidRDefault="00B9005C" w:rsidP="008A2F9A">
            <w:pPr>
              <w:jc w:val="center"/>
              <w:rPr>
                <w:bCs/>
                <w:szCs w:val="17"/>
              </w:rPr>
            </w:pPr>
            <w:r w:rsidRPr="00B9005C">
              <w:rPr>
                <w:bCs/>
                <w:szCs w:val="17"/>
              </w:rPr>
              <w:t>Long term equity</w:t>
            </w:r>
          </w:p>
        </w:tc>
        <w:tc>
          <w:tcPr>
            <w:tcW w:w="1293" w:type="dxa"/>
            <w:vAlign w:val="center"/>
          </w:tcPr>
          <w:p w14:paraId="63CBCCD2" w14:textId="77777777" w:rsidR="008A2F9A" w:rsidRPr="003F7287" w:rsidRDefault="008A2F9A" w:rsidP="008A2F9A">
            <w:pPr>
              <w:jc w:val="center"/>
              <w:rPr>
                <w:b/>
                <w:color w:val="F79646" w:themeColor="accent6"/>
                <w:szCs w:val="17"/>
              </w:rPr>
            </w:pPr>
            <w:r w:rsidRPr="00F63B3C">
              <w:rPr>
                <w:b/>
                <w:color w:val="00B050"/>
                <w:szCs w:val="17"/>
              </w:rPr>
              <w:t>Positive</w:t>
            </w:r>
          </w:p>
        </w:tc>
      </w:tr>
      <w:tr w:rsidR="008A2F9A" w:rsidRPr="00D43554" w14:paraId="6BBBAFB9" w14:textId="77777777" w:rsidTr="00424768">
        <w:trPr>
          <w:trHeight w:val="499"/>
        </w:trPr>
        <w:tc>
          <w:tcPr>
            <w:tcW w:w="689" w:type="dxa"/>
            <w:vAlign w:val="center"/>
          </w:tcPr>
          <w:p w14:paraId="13559565" w14:textId="77777777" w:rsidR="008A2F9A" w:rsidRDefault="008A2F9A" w:rsidP="008A2F9A">
            <w:pPr>
              <w:jc w:val="center"/>
              <w:rPr>
                <w:bCs/>
                <w:szCs w:val="17"/>
              </w:rPr>
            </w:pPr>
            <w:r>
              <w:rPr>
                <w:bCs/>
                <w:szCs w:val="17"/>
              </w:rPr>
              <w:t>209</w:t>
            </w:r>
          </w:p>
        </w:tc>
        <w:tc>
          <w:tcPr>
            <w:tcW w:w="1909" w:type="dxa"/>
            <w:vAlign w:val="center"/>
          </w:tcPr>
          <w:p w14:paraId="5551082D" w14:textId="77777777" w:rsidR="008A2F9A" w:rsidRDefault="008A2F9A" w:rsidP="008A2F9A">
            <w:pPr>
              <w:jc w:val="center"/>
              <w:rPr>
                <w:bCs/>
                <w:szCs w:val="17"/>
              </w:rPr>
            </w:pPr>
            <w:r>
              <w:rPr>
                <w:bCs/>
                <w:szCs w:val="17"/>
              </w:rPr>
              <w:t>Recital 3</w:t>
            </w:r>
          </w:p>
        </w:tc>
        <w:tc>
          <w:tcPr>
            <w:tcW w:w="6116" w:type="dxa"/>
          </w:tcPr>
          <w:p w14:paraId="20B380F0" w14:textId="3C2C7C9D" w:rsidR="008A2F9A" w:rsidRDefault="008A2F9A" w:rsidP="008A2F9A">
            <w:pPr>
              <w:jc w:val="left"/>
              <w:rPr>
                <w:bCs/>
                <w:szCs w:val="17"/>
              </w:rPr>
            </w:pPr>
            <w:r>
              <w:rPr>
                <w:bCs/>
                <w:szCs w:val="17"/>
              </w:rPr>
              <w:t>T</w:t>
            </w:r>
            <w:r w:rsidRPr="00C24BD1">
              <w:rPr>
                <w:bCs/>
                <w:szCs w:val="17"/>
              </w:rPr>
              <w:t>o benefit from the more favourable standard parameter for equity investments</w:t>
            </w:r>
            <w:r>
              <w:rPr>
                <w:bCs/>
                <w:szCs w:val="17"/>
              </w:rPr>
              <w:t xml:space="preserve">, undertakings should comply with criteria to avoid </w:t>
            </w:r>
            <w:r w:rsidRPr="008955B4">
              <w:rPr>
                <w:bCs/>
                <w:szCs w:val="17"/>
              </w:rPr>
              <w:t>forced selling</w:t>
            </w:r>
            <w:r>
              <w:rPr>
                <w:bCs/>
                <w:szCs w:val="17"/>
              </w:rPr>
              <w:t xml:space="preserve">. MEPs clarify that this criterion </w:t>
            </w:r>
            <w:r w:rsidRPr="00301D40">
              <w:rPr>
                <w:bCs/>
                <w:szCs w:val="17"/>
              </w:rPr>
              <w:t>should not require legal or contractual ring-fencing of long-term investment assets</w:t>
            </w:r>
            <w:r>
              <w:rPr>
                <w:bCs/>
                <w:szCs w:val="17"/>
              </w:rPr>
              <w:t>.</w:t>
            </w:r>
          </w:p>
        </w:tc>
        <w:tc>
          <w:tcPr>
            <w:tcW w:w="1909" w:type="dxa"/>
            <w:vAlign w:val="center"/>
          </w:tcPr>
          <w:p w14:paraId="216641D1" w14:textId="77777777" w:rsidR="008A2F9A" w:rsidRPr="00171490" w:rsidRDefault="008A2F9A" w:rsidP="008A2F9A">
            <w:pPr>
              <w:jc w:val="center"/>
              <w:rPr>
                <w:bCs/>
                <w:szCs w:val="17"/>
              </w:rPr>
            </w:pPr>
            <w:proofErr w:type="spellStart"/>
            <w:r w:rsidRPr="00E76E73">
              <w:rPr>
                <w:szCs w:val="17"/>
              </w:rPr>
              <w:t>Zanni</w:t>
            </w:r>
            <w:proofErr w:type="spellEnd"/>
            <w:r w:rsidRPr="00E76E73">
              <w:rPr>
                <w:szCs w:val="17"/>
              </w:rPr>
              <w:t>, Grant, Rinaldi</w:t>
            </w:r>
          </w:p>
        </w:tc>
        <w:tc>
          <w:tcPr>
            <w:tcW w:w="2543" w:type="dxa"/>
            <w:vAlign w:val="center"/>
          </w:tcPr>
          <w:p w14:paraId="4BC6D56C" w14:textId="77777777" w:rsidR="00637DC9" w:rsidRDefault="00637DC9" w:rsidP="00637DC9">
            <w:pPr>
              <w:spacing w:line="240" w:lineRule="auto"/>
              <w:jc w:val="center"/>
              <w:rPr>
                <w:rFonts w:cs="Calibri"/>
                <w:color w:val="000000"/>
                <w:szCs w:val="17"/>
              </w:rPr>
            </w:pPr>
            <w:r>
              <w:rPr>
                <w:rFonts w:cs="Calibri"/>
                <w:bCs/>
                <w:color w:val="000000"/>
                <w:szCs w:val="17"/>
              </w:rPr>
              <w:t>Long term equity</w:t>
            </w:r>
          </w:p>
          <w:p w14:paraId="6AF7C577" w14:textId="77777777" w:rsidR="008A2F9A" w:rsidRPr="00171490" w:rsidRDefault="008A2F9A" w:rsidP="008A2F9A">
            <w:pPr>
              <w:jc w:val="center"/>
              <w:rPr>
                <w:bCs/>
                <w:szCs w:val="17"/>
              </w:rPr>
            </w:pPr>
          </w:p>
        </w:tc>
        <w:tc>
          <w:tcPr>
            <w:tcW w:w="1293" w:type="dxa"/>
            <w:vAlign w:val="center"/>
          </w:tcPr>
          <w:p w14:paraId="3E5F5E91" w14:textId="77777777" w:rsidR="008A2F9A" w:rsidRPr="00E76E73" w:rsidRDefault="008A2F9A" w:rsidP="008A2F9A">
            <w:pPr>
              <w:jc w:val="center"/>
              <w:rPr>
                <w:b/>
                <w:color w:val="00B050"/>
                <w:szCs w:val="17"/>
              </w:rPr>
            </w:pPr>
            <w:r w:rsidRPr="00F63B3C">
              <w:rPr>
                <w:b/>
                <w:color w:val="00B050"/>
                <w:szCs w:val="17"/>
              </w:rPr>
              <w:t>Positive</w:t>
            </w:r>
          </w:p>
        </w:tc>
      </w:tr>
      <w:tr w:rsidR="008A2F9A" w:rsidRPr="00D43554" w14:paraId="5CE0771E" w14:textId="77777777" w:rsidTr="00424768">
        <w:trPr>
          <w:trHeight w:val="499"/>
        </w:trPr>
        <w:tc>
          <w:tcPr>
            <w:tcW w:w="689" w:type="dxa"/>
            <w:vAlign w:val="center"/>
          </w:tcPr>
          <w:p w14:paraId="1A513E40" w14:textId="77777777" w:rsidR="008A2F9A" w:rsidRDefault="008A2F9A" w:rsidP="008A2F9A">
            <w:pPr>
              <w:jc w:val="center"/>
              <w:rPr>
                <w:bCs/>
                <w:szCs w:val="17"/>
              </w:rPr>
            </w:pPr>
            <w:r>
              <w:rPr>
                <w:bCs/>
                <w:szCs w:val="17"/>
              </w:rPr>
              <w:t>210</w:t>
            </w:r>
          </w:p>
        </w:tc>
        <w:tc>
          <w:tcPr>
            <w:tcW w:w="1909" w:type="dxa"/>
            <w:vAlign w:val="center"/>
          </w:tcPr>
          <w:p w14:paraId="39CDE269" w14:textId="77777777" w:rsidR="008A2F9A" w:rsidRDefault="008A2F9A" w:rsidP="008A2F9A">
            <w:pPr>
              <w:jc w:val="center"/>
              <w:rPr>
                <w:bCs/>
                <w:szCs w:val="17"/>
              </w:rPr>
            </w:pPr>
            <w:r>
              <w:rPr>
                <w:bCs/>
                <w:szCs w:val="17"/>
              </w:rPr>
              <w:t>Recital 3</w:t>
            </w:r>
          </w:p>
        </w:tc>
        <w:tc>
          <w:tcPr>
            <w:tcW w:w="6116" w:type="dxa"/>
          </w:tcPr>
          <w:p w14:paraId="2A73A2B9" w14:textId="150FB8D5" w:rsidR="008A2F9A" w:rsidRDefault="008A2F9A" w:rsidP="008A2F9A">
            <w:pPr>
              <w:jc w:val="left"/>
              <w:rPr>
                <w:bCs/>
                <w:szCs w:val="17"/>
              </w:rPr>
            </w:pPr>
            <w:r>
              <w:rPr>
                <w:bCs/>
                <w:szCs w:val="17"/>
              </w:rPr>
              <w:t>T</w:t>
            </w:r>
            <w:r w:rsidRPr="00C24BD1">
              <w:rPr>
                <w:bCs/>
                <w:szCs w:val="17"/>
              </w:rPr>
              <w:t>o benefit from the more favourable standard parameter for equity investments</w:t>
            </w:r>
            <w:r>
              <w:rPr>
                <w:bCs/>
                <w:szCs w:val="17"/>
              </w:rPr>
              <w:t xml:space="preserve">, undertakings should comply with criteria to avoid </w:t>
            </w:r>
            <w:r w:rsidRPr="008955B4">
              <w:rPr>
                <w:bCs/>
                <w:szCs w:val="17"/>
              </w:rPr>
              <w:t>forced selling</w:t>
            </w:r>
            <w:r>
              <w:rPr>
                <w:bCs/>
                <w:szCs w:val="17"/>
              </w:rPr>
              <w:t xml:space="preserve"> during stressed market conditions the MEP includes that</w:t>
            </w:r>
            <w:r w:rsidR="009856CF">
              <w:rPr>
                <w:bCs/>
                <w:szCs w:val="17"/>
              </w:rPr>
              <w:t xml:space="preserve"> this</w:t>
            </w:r>
            <w:r>
              <w:rPr>
                <w:bCs/>
                <w:szCs w:val="17"/>
              </w:rPr>
              <w:t xml:space="preserve"> </w:t>
            </w:r>
            <w:r w:rsidR="00DD4B31">
              <w:rPr>
                <w:bCs/>
                <w:szCs w:val="17"/>
              </w:rPr>
              <w:t xml:space="preserve">forced selling should be avoid </w:t>
            </w:r>
            <w:r w:rsidRPr="00611C2B">
              <w:rPr>
                <w:bCs/>
                <w:szCs w:val="17"/>
              </w:rPr>
              <w:t xml:space="preserve">irrespective of the line of business and the duration of the insurance obligations to preserve </w:t>
            </w:r>
            <w:r w:rsidRPr="00611C2B">
              <w:rPr>
                <w:bCs/>
                <w:szCs w:val="17"/>
              </w:rPr>
              <w:lastRenderedPageBreak/>
              <w:t>the level playing field throughout the Union.</w:t>
            </w:r>
          </w:p>
        </w:tc>
        <w:tc>
          <w:tcPr>
            <w:tcW w:w="1909" w:type="dxa"/>
            <w:vAlign w:val="center"/>
          </w:tcPr>
          <w:p w14:paraId="31365F1C" w14:textId="77777777" w:rsidR="008A2F9A" w:rsidRPr="00E76E73" w:rsidRDefault="008A2F9A" w:rsidP="008A2F9A">
            <w:pPr>
              <w:jc w:val="center"/>
              <w:rPr>
                <w:szCs w:val="17"/>
              </w:rPr>
            </w:pPr>
            <w:proofErr w:type="spellStart"/>
            <w:r w:rsidRPr="00E76E73">
              <w:rPr>
                <w:szCs w:val="17"/>
              </w:rPr>
              <w:lastRenderedPageBreak/>
              <w:t>Gualmini</w:t>
            </w:r>
            <w:proofErr w:type="spellEnd"/>
          </w:p>
        </w:tc>
        <w:tc>
          <w:tcPr>
            <w:tcW w:w="2543" w:type="dxa"/>
            <w:vAlign w:val="center"/>
          </w:tcPr>
          <w:p w14:paraId="2CD5B953" w14:textId="77777777" w:rsidR="00637DC9" w:rsidRDefault="00637DC9" w:rsidP="00637DC9">
            <w:pPr>
              <w:spacing w:line="240" w:lineRule="auto"/>
              <w:jc w:val="center"/>
              <w:rPr>
                <w:rFonts w:cs="Calibri"/>
                <w:color w:val="000000"/>
                <w:szCs w:val="17"/>
              </w:rPr>
            </w:pPr>
            <w:r>
              <w:rPr>
                <w:rFonts w:cs="Calibri"/>
                <w:bCs/>
                <w:color w:val="000000"/>
                <w:szCs w:val="17"/>
              </w:rPr>
              <w:t>Long term equity</w:t>
            </w:r>
          </w:p>
          <w:p w14:paraId="0DEB8F17" w14:textId="77777777" w:rsidR="008A2F9A" w:rsidRPr="00E76E73" w:rsidRDefault="008A2F9A" w:rsidP="008A2F9A">
            <w:pPr>
              <w:jc w:val="center"/>
              <w:rPr>
                <w:szCs w:val="17"/>
              </w:rPr>
            </w:pPr>
          </w:p>
        </w:tc>
        <w:tc>
          <w:tcPr>
            <w:tcW w:w="1293" w:type="dxa"/>
            <w:vAlign w:val="center"/>
          </w:tcPr>
          <w:p w14:paraId="20DD17A2" w14:textId="4A2CB168" w:rsidR="008A2F9A" w:rsidRPr="00E76E73" w:rsidRDefault="00DA133E" w:rsidP="008A2F9A">
            <w:pPr>
              <w:jc w:val="center"/>
              <w:rPr>
                <w:b/>
                <w:color w:val="00B050"/>
                <w:szCs w:val="17"/>
              </w:rPr>
            </w:pPr>
            <w:r w:rsidRPr="00E76E73">
              <w:rPr>
                <w:b/>
                <w:color w:val="00B050"/>
                <w:szCs w:val="17"/>
              </w:rPr>
              <w:t>Positive</w:t>
            </w:r>
          </w:p>
        </w:tc>
      </w:tr>
      <w:tr w:rsidR="008A2F9A" w:rsidRPr="00D43554" w14:paraId="2E6BF3B4" w14:textId="77777777" w:rsidTr="00424768">
        <w:trPr>
          <w:trHeight w:val="499"/>
        </w:trPr>
        <w:tc>
          <w:tcPr>
            <w:tcW w:w="689" w:type="dxa"/>
            <w:vAlign w:val="center"/>
          </w:tcPr>
          <w:p w14:paraId="2A46AEDD" w14:textId="77777777" w:rsidR="008A2F9A" w:rsidRDefault="008A2F9A" w:rsidP="008A2F9A">
            <w:pPr>
              <w:jc w:val="center"/>
              <w:rPr>
                <w:bCs/>
                <w:szCs w:val="17"/>
              </w:rPr>
            </w:pPr>
            <w:r>
              <w:rPr>
                <w:bCs/>
                <w:szCs w:val="17"/>
              </w:rPr>
              <w:t>211</w:t>
            </w:r>
          </w:p>
          <w:p w14:paraId="74AF1C83" w14:textId="77777777" w:rsidR="008A2F9A" w:rsidRDefault="008A2F9A" w:rsidP="008A2F9A">
            <w:pPr>
              <w:jc w:val="center"/>
              <w:rPr>
                <w:bCs/>
                <w:szCs w:val="17"/>
              </w:rPr>
            </w:pPr>
            <w:r>
              <w:rPr>
                <w:bCs/>
                <w:szCs w:val="17"/>
              </w:rPr>
              <w:t>212</w:t>
            </w:r>
          </w:p>
          <w:p w14:paraId="7CE5D1AF" w14:textId="77777777" w:rsidR="008A2F9A" w:rsidRDefault="008A2F9A" w:rsidP="008A2F9A">
            <w:pPr>
              <w:jc w:val="center"/>
              <w:rPr>
                <w:bCs/>
                <w:szCs w:val="17"/>
              </w:rPr>
            </w:pPr>
            <w:r>
              <w:rPr>
                <w:bCs/>
                <w:szCs w:val="17"/>
              </w:rPr>
              <w:t>213</w:t>
            </w:r>
          </w:p>
          <w:p w14:paraId="17AA2FC5" w14:textId="77777777" w:rsidR="008A2F9A" w:rsidRDefault="008A2F9A" w:rsidP="008A2F9A">
            <w:pPr>
              <w:jc w:val="center"/>
              <w:rPr>
                <w:bCs/>
                <w:szCs w:val="17"/>
              </w:rPr>
            </w:pPr>
            <w:r>
              <w:rPr>
                <w:bCs/>
                <w:szCs w:val="17"/>
              </w:rPr>
              <w:t>214</w:t>
            </w:r>
          </w:p>
        </w:tc>
        <w:tc>
          <w:tcPr>
            <w:tcW w:w="1909" w:type="dxa"/>
            <w:vAlign w:val="center"/>
          </w:tcPr>
          <w:p w14:paraId="76F76285" w14:textId="77777777" w:rsidR="008A2F9A" w:rsidRDefault="008A2F9A" w:rsidP="008A2F9A">
            <w:pPr>
              <w:jc w:val="center"/>
              <w:rPr>
                <w:bCs/>
                <w:szCs w:val="17"/>
              </w:rPr>
            </w:pPr>
            <w:r>
              <w:rPr>
                <w:bCs/>
                <w:szCs w:val="17"/>
              </w:rPr>
              <w:t>Recital 3 a (new)</w:t>
            </w:r>
          </w:p>
        </w:tc>
        <w:tc>
          <w:tcPr>
            <w:tcW w:w="6116" w:type="dxa"/>
          </w:tcPr>
          <w:p w14:paraId="0B8B6CE0" w14:textId="77777777" w:rsidR="008A2F9A" w:rsidRDefault="008A2F9A" w:rsidP="008A2F9A">
            <w:pPr>
              <w:jc w:val="left"/>
              <w:rPr>
                <w:bCs/>
                <w:szCs w:val="17"/>
              </w:rPr>
            </w:pPr>
            <w:r>
              <w:rPr>
                <w:bCs/>
                <w:szCs w:val="17"/>
              </w:rPr>
              <w:t>R</w:t>
            </w:r>
            <w:r w:rsidRPr="00D007AB">
              <w:rPr>
                <w:bCs/>
                <w:szCs w:val="17"/>
              </w:rPr>
              <w:t>ecalibration of the Interest Rate Risk sub-module to reflect the existence of a negative yield environment</w:t>
            </w:r>
            <w:r>
              <w:rPr>
                <w:bCs/>
                <w:szCs w:val="17"/>
              </w:rPr>
              <w:t xml:space="preserve"> (including a term-dependent floor)</w:t>
            </w:r>
          </w:p>
        </w:tc>
        <w:tc>
          <w:tcPr>
            <w:tcW w:w="1909" w:type="dxa"/>
            <w:vAlign w:val="center"/>
          </w:tcPr>
          <w:p w14:paraId="7EDC77DB" w14:textId="77777777" w:rsidR="008A2F9A" w:rsidRPr="00E76E73" w:rsidRDefault="008A2F9A" w:rsidP="008A2F9A">
            <w:pPr>
              <w:jc w:val="center"/>
              <w:rPr>
                <w:szCs w:val="17"/>
              </w:rPr>
            </w:pPr>
            <w:proofErr w:type="spellStart"/>
            <w:r w:rsidRPr="00E76E73">
              <w:rPr>
                <w:szCs w:val="17"/>
              </w:rPr>
              <w:t>Zanni</w:t>
            </w:r>
            <w:proofErr w:type="spellEnd"/>
            <w:r w:rsidRPr="00E76E73">
              <w:rPr>
                <w:szCs w:val="17"/>
              </w:rPr>
              <w:t>, Grant, Rinaldi</w:t>
            </w:r>
          </w:p>
          <w:p w14:paraId="6AEF0C62" w14:textId="77777777" w:rsidR="008A2F9A" w:rsidRPr="00E76E73" w:rsidRDefault="008A2F9A" w:rsidP="008A2F9A">
            <w:pPr>
              <w:jc w:val="center"/>
              <w:rPr>
                <w:szCs w:val="17"/>
              </w:rPr>
            </w:pPr>
            <w:r w:rsidRPr="00E76E73">
              <w:rPr>
                <w:szCs w:val="17"/>
              </w:rPr>
              <w:t>Calenda</w:t>
            </w:r>
          </w:p>
          <w:p w14:paraId="6FBB074E" w14:textId="77777777" w:rsidR="008A2F9A" w:rsidRPr="00E76E73" w:rsidRDefault="008A2F9A" w:rsidP="008A2F9A">
            <w:pPr>
              <w:jc w:val="center"/>
              <w:rPr>
                <w:szCs w:val="17"/>
              </w:rPr>
            </w:pPr>
            <w:r w:rsidRPr="00E76E73">
              <w:rPr>
                <w:szCs w:val="17"/>
              </w:rPr>
              <w:t>Castaldo</w:t>
            </w:r>
          </w:p>
          <w:p w14:paraId="75143757" w14:textId="77777777" w:rsidR="008A2F9A" w:rsidRPr="00DD13A8" w:rsidRDefault="008A2F9A" w:rsidP="008A2F9A">
            <w:pPr>
              <w:jc w:val="center"/>
              <w:rPr>
                <w:szCs w:val="17"/>
              </w:rPr>
            </w:pPr>
            <w:proofErr w:type="spellStart"/>
            <w:r w:rsidRPr="00DD13A8">
              <w:rPr>
                <w:szCs w:val="17"/>
              </w:rPr>
              <w:t>Fitto</w:t>
            </w:r>
            <w:proofErr w:type="spellEnd"/>
          </w:p>
        </w:tc>
        <w:tc>
          <w:tcPr>
            <w:tcW w:w="2543" w:type="dxa"/>
            <w:vAlign w:val="center"/>
          </w:tcPr>
          <w:p w14:paraId="239BF620" w14:textId="4B418912" w:rsidR="008A2F9A" w:rsidRPr="00D007AB" w:rsidRDefault="00321EA7" w:rsidP="008A2F9A">
            <w:pPr>
              <w:jc w:val="center"/>
              <w:rPr>
                <w:bCs/>
                <w:szCs w:val="17"/>
              </w:rPr>
            </w:pPr>
            <w:r>
              <w:rPr>
                <w:bCs/>
                <w:szCs w:val="17"/>
              </w:rPr>
              <w:t>Interest rate risk</w:t>
            </w:r>
          </w:p>
        </w:tc>
        <w:tc>
          <w:tcPr>
            <w:tcW w:w="1293" w:type="dxa"/>
            <w:vAlign w:val="center"/>
          </w:tcPr>
          <w:p w14:paraId="313DE44C" w14:textId="77777777" w:rsidR="008A2F9A" w:rsidRPr="00F63B3C" w:rsidRDefault="008A2F9A" w:rsidP="008A2F9A">
            <w:pPr>
              <w:jc w:val="center"/>
              <w:rPr>
                <w:b/>
                <w:color w:val="00B050"/>
                <w:szCs w:val="17"/>
              </w:rPr>
            </w:pPr>
            <w:r w:rsidRPr="00F63B3C">
              <w:rPr>
                <w:b/>
                <w:color w:val="00B050"/>
                <w:szCs w:val="17"/>
              </w:rPr>
              <w:t>Positive</w:t>
            </w:r>
          </w:p>
        </w:tc>
      </w:tr>
      <w:tr w:rsidR="008A2F9A" w:rsidRPr="00D43554" w14:paraId="3F60EE5E" w14:textId="77777777" w:rsidTr="00424768">
        <w:trPr>
          <w:trHeight w:val="499"/>
        </w:trPr>
        <w:tc>
          <w:tcPr>
            <w:tcW w:w="689" w:type="dxa"/>
            <w:vAlign w:val="center"/>
          </w:tcPr>
          <w:p w14:paraId="7E710DCA" w14:textId="77777777" w:rsidR="008A2F9A" w:rsidRDefault="008A2F9A" w:rsidP="008A2F9A">
            <w:pPr>
              <w:jc w:val="center"/>
              <w:rPr>
                <w:bCs/>
                <w:szCs w:val="17"/>
              </w:rPr>
            </w:pPr>
            <w:r>
              <w:rPr>
                <w:bCs/>
                <w:szCs w:val="17"/>
              </w:rPr>
              <w:t>215</w:t>
            </w:r>
          </w:p>
        </w:tc>
        <w:tc>
          <w:tcPr>
            <w:tcW w:w="1909" w:type="dxa"/>
            <w:vAlign w:val="center"/>
          </w:tcPr>
          <w:p w14:paraId="522AF093" w14:textId="77777777" w:rsidR="008A2F9A" w:rsidRDefault="008A2F9A" w:rsidP="008A2F9A">
            <w:pPr>
              <w:jc w:val="center"/>
              <w:rPr>
                <w:bCs/>
                <w:szCs w:val="17"/>
              </w:rPr>
            </w:pPr>
            <w:r>
              <w:rPr>
                <w:bCs/>
                <w:szCs w:val="17"/>
              </w:rPr>
              <w:t>Recital 4</w:t>
            </w:r>
          </w:p>
        </w:tc>
        <w:tc>
          <w:tcPr>
            <w:tcW w:w="6116" w:type="dxa"/>
          </w:tcPr>
          <w:p w14:paraId="545C0A59" w14:textId="655DAC95" w:rsidR="008A2F9A" w:rsidRDefault="008A2F9A" w:rsidP="008A2F9A">
            <w:pPr>
              <w:jc w:val="left"/>
              <w:rPr>
                <w:bCs/>
                <w:szCs w:val="17"/>
              </w:rPr>
            </w:pPr>
            <w:r>
              <w:rPr>
                <w:bCs/>
                <w:szCs w:val="17"/>
              </w:rPr>
              <w:t>Removal of the whole recital (European green deal)</w:t>
            </w:r>
          </w:p>
        </w:tc>
        <w:tc>
          <w:tcPr>
            <w:tcW w:w="1909" w:type="dxa"/>
            <w:vAlign w:val="center"/>
          </w:tcPr>
          <w:p w14:paraId="6A05D517" w14:textId="77777777" w:rsidR="008A2F9A" w:rsidRPr="00E76E73" w:rsidRDefault="008A2F9A" w:rsidP="008A2F9A">
            <w:pPr>
              <w:jc w:val="center"/>
              <w:rPr>
                <w:szCs w:val="17"/>
              </w:rPr>
            </w:pPr>
            <w:proofErr w:type="spellStart"/>
            <w:r w:rsidRPr="00E76E73">
              <w:rPr>
                <w:szCs w:val="17"/>
              </w:rPr>
              <w:t>Zanni</w:t>
            </w:r>
            <w:proofErr w:type="spellEnd"/>
            <w:r w:rsidRPr="00E76E73">
              <w:rPr>
                <w:szCs w:val="17"/>
              </w:rPr>
              <w:t>, Grant, Rinaldi</w:t>
            </w:r>
          </w:p>
        </w:tc>
        <w:tc>
          <w:tcPr>
            <w:tcW w:w="2543" w:type="dxa"/>
            <w:vAlign w:val="center"/>
          </w:tcPr>
          <w:p w14:paraId="654CB796" w14:textId="77777777" w:rsidR="00F068BD" w:rsidRDefault="00F068BD" w:rsidP="00F068BD">
            <w:pPr>
              <w:spacing w:line="240" w:lineRule="auto"/>
              <w:jc w:val="center"/>
              <w:rPr>
                <w:rFonts w:cs="Calibri"/>
                <w:color w:val="000000"/>
                <w:szCs w:val="17"/>
              </w:rPr>
            </w:pPr>
            <w:r>
              <w:rPr>
                <w:rFonts w:cs="Calibri"/>
                <w:bCs/>
                <w:color w:val="000000"/>
                <w:szCs w:val="17"/>
              </w:rPr>
              <w:t>Sustainable finance</w:t>
            </w:r>
          </w:p>
          <w:p w14:paraId="7CCCCE9C" w14:textId="77777777" w:rsidR="008A2F9A" w:rsidRPr="00D007AB" w:rsidRDefault="008A2F9A" w:rsidP="008A2F9A">
            <w:pPr>
              <w:jc w:val="center"/>
              <w:rPr>
                <w:bCs/>
                <w:szCs w:val="17"/>
              </w:rPr>
            </w:pPr>
          </w:p>
        </w:tc>
        <w:tc>
          <w:tcPr>
            <w:tcW w:w="1293" w:type="dxa"/>
            <w:vAlign w:val="center"/>
          </w:tcPr>
          <w:p w14:paraId="581F2F28" w14:textId="664B350F" w:rsidR="008A2F9A" w:rsidRPr="00F63B3C" w:rsidRDefault="00DA133E" w:rsidP="008A2F9A">
            <w:pPr>
              <w:jc w:val="center"/>
              <w:rPr>
                <w:b/>
                <w:color w:val="00B050"/>
                <w:szCs w:val="17"/>
              </w:rPr>
            </w:pPr>
            <w:r w:rsidRPr="00E76E73">
              <w:rPr>
                <w:b/>
                <w:color w:val="808080" w:themeColor="background1" w:themeShade="80"/>
                <w:szCs w:val="17"/>
              </w:rPr>
              <w:t>Neutral</w:t>
            </w:r>
          </w:p>
        </w:tc>
      </w:tr>
      <w:tr w:rsidR="008A2F9A" w:rsidRPr="00D43554" w14:paraId="1678D220" w14:textId="77777777" w:rsidTr="00424768">
        <w:trPr>
          <w:trHeight w:val="499"/>
        </w:trPr>
        <w:tc>
          <w:tcPr>
            <w:tcW w:w="689" w:type="dxa"/>
            <w:vAlign w:val="center"/>
          </w:tcPr>
          <w:p w14:paraId="04A56804" w14:textId="77777777" w:rsidR="008A2F9A" w:rsidRDefault="008A2F9A" w:rsidP="008A2F9A">
            <w:pPr>
              <w:jc w:val="center"/>
              <w:rPr>
                <w:bCs/>
                <w:szCs w:val="17"/>
              </w:rPr>
            </w:pPr>
            <w:r>
              <w:rPr>
                <w:bCs/>
                <w:szCs w:val="17"/>
              </w:rPr>
              <w:t>216</w:t>
            </w:r>
          </w:p>
        </w:tc>
        <w:tc>
          <w:tcPr>
            <w:tcW w:w="1909" w:type="dxa"/>
            <w:vAlign w:val="center"/>
          </w:tcPr>
          <w:p w14:paraId="58940917" w14:textId="77777777" w:rsidR="008A2F9A" w:rsidRDefault="008A2F9A" w:rsidP="008A2F9A">
            <w:pPr>
              <w:jc w:val="center"/>
              <w:rPr>
                <w:bCs/>
                <w:szCs w:val="17"/>
              </w:rPr>
            </w:pPr>
            <w:r>
              <w:rPr>
                <w:bCs/>
                <w:szCs w:val="17"/>
              </w:rPr>
              <w:t>Recital 4</w:t>
            </w:r>
          </w:p>
        </w:tc>
        <w:tc>
          <w:tcPr>
            <w:tcW w:w="6116" w:type="dxa"/>
          </w:tcPr>
          <w:p w14:paraId="422D9491" w14:textId="4D61281E" w:rsidR="008A2F9A" w:rsidRDefault="00E02D20" w:rsidP="008A2F9A">
            <w:pPr>
              <w:jc w:val="left"/>
              <w:rPr>
                <w:bCs/>
                <w:szCs w:val="17"/>
              </w:rPr>
            </w:pPr>
            <w:r>
              <w:rPr>
                <w:bCs/>
                <w:szCs w:val="17"/>
              </w:rPr>
              <w:t>I</w:t>
            </w:r>
            <w:r w:rsidR="008A2F9A" w:rsidRPr="008A225E">
              <w:rPr>
                <w:bCs/>
                <w:szCs w:val="17"/>
              </w:rPr>
              <w:t xml:space="preserve">nsurance framework should be updated to ensure that </w:t>
            </w:r>
            <w:r>
              <w:rPr>
                <w:bCs/>
                <w:szCs w:val="17"/>
              </w:rPr>
              <w:t xml:space="preserve">undertakings </w:t>
            </w:r>
            <w:r w:rsidR="008A2F9A" w:rsidRPr="008A225E">
              <w:rPr>
                <w:bCs/>
                <w:szCs w:val="17"/>
              </w:rPr>
              <w:t>manage and mitigate climate and environmental risks</w:t>
            </w:r>
            <w:r w:rsidR="008A2F9A">
              <w:rPr>
                <w:bCs/>
                <w:szCs w:val="17"/>
              </w:rPr>
              <w:t>.</w:t>
            </w:r>
          </w:p>
        </w:tc>
        <w:tc>
          <w:tcPr>
            <w:tcW w:w="1909" w:type="dxa"/>
            <w:vAlign w:val="center"/>
          </w:tcPr>
          <w:p w14:paraId="69A95704" w14:textId="77777777" w:rsidR="008A2F9A" w:rsidRPr="00E76E73" w:rsidRDefault="008A2F9A" w:rsidP="008A2F9A">
            <w:pPr>
              <w:jc w:val="center"/>
              <w:rPr>
                <w:szCs w:val="17"/>
              </w:rPr>
            </w:pPr>
            <w:r w:rsidRPr="00E76E73">
              <w:rPr>
                <w:szCs w:val="17"/>
              </w:rPr>
              <w:t xml:space="preserve">Yon-Courtin, Boyer, </w:t>
            </w:r>
            <w:proofErr w:type="spellStart"/>
            <w:r w:rsidRPr="00E76E73">
              <w:rPr>
                <w:szCs w:val="17"/>
              </w:rPr>
              <w:t>Canfin</w:t>
            </w:r>
            <w:proofErr w:type="spellEnd"/>
            <w:r w:rsidRPr="00E76E73">
              <w:rPr>
                <w:szCs w:val="17"/>
              </w:rPr>
              <w:t>, Durand</w:t>
            </w:r>
          </w:p>
        </w:tc>
        <w:tc>
          <w:tcPr>
            <w:tcW w:w="2543" w:type="dxa"/>
            <w:vAlign w:val="center"/>
          </w:tcPr>
          <w:p w14:paraId="409E6FB5" w14:textId="77777777" w:rsidR="00F068BD" w:rsidRDefault="00F068BD" w:rsidP="00F068BD">
            <w:pPr>
              <w:spacing w:line="240" w:lineRule="auto"/>
              <w:jc w:val="center"/>
              <w:rPr>
                <w:rFonts w:cs="Calibri"/>
                <w:color w:val="000000"/>
                <w:szCs w:val="17"/>
              </w:rPr>
            </w:pPr>
            <w:r>
              <w:rPr>
                <w:rFonts w:cs="Calibri"/>
                <w:bCs/>
                <w:color w:val="000000"/>
                <w:szCs w:val="17"/>
              </w:rPr>
              <w:t>Sustainable finance</w:t>
            </w:r>
          </w:p>
          <w:p w14:paraId="207C1437" w14:textId="77777777" w:rsidR="008A2F9A" w:rsidRPr="00D007AB" w:rsidRDefault="008A2F9A" w:rsidP="008A2F9A">
            <w:pPr>
              <w:jc w:val="center"/>
              <w:rPr>
                <w:bCs/>
                <w:szCs w:val="17"/>
              </w:rPr>
            </w:pPr>
          </w:p>
        </w:tc>
        <w:tc>
          <w:tcPr>
            <w:tcW w:w="1293" w:type="dxa"/>
            <w:vAlign w:val="center"/>
          </w:tcPr>
          <w:p w14:paraId="53203AB3" w14:textId="73A5CB1E" w:rsidR="008A2F9A" w:rsidRPr="002760F9" w:rsidRDefault="002760F9" w:rsidP="008A2F9A">
            <w:pPr>
              <w:jc w:val="center"/>
              <w:rPr>
                <w:b/>
                <w:color w:val="F79646" w:themeColor="accent6"/>
                <w:szCs w:val="17"/>
                <w:highlight w:val="yellow"/>
              </w:rPr>
            </w:pPr>
            <w:r w:rsidRPr="002760F9">
              <w:rPr>
                <w:b/>
                <w:bCs/>
                <w:color w:val="E36C0A" w:themeColor="accent6" w:themeShade="BF"/>
                <w:szCs w:val="17"/>
              </w:rPr>
              <w:t>Mixed</w:t>
            </w:r>
          </w:p>
        </w:tc>
      </w:tr>
      <w:tr w:rsidR="008A2F9A" w:rsidRPr="00D43554" w14:paraId="4C7AF0DB" w14:textId="77777777" w:rsidTr="00424768">
        <w:trPr>
          <w:trHeight w:val="499"/>
        </w:trPr>
        <w:tc>
          <w:tcPr>
            <w:tcW w:w="689" w:type="dxa"/>
            <w:vAlign w:val="center"/>
          </w:tcPr>
          <w:p w14:paraId="3421DB16" w14:textId="77777777" w:rsidR="008A2F9A" w:rsidRDefault="008A2F9A" w:rsidP="008A2F9A">
            <w:pPr>
              <w:jc w:val="center"/>
              <w:rPr>
                <w:bCs/>
                <w:szCs w:val="17"/>
              </w:rPr>
            </w:pPr>
            <w:r>
              <w:rPr>
                <w:bCs/>
                <w:szCs w:val="17"/>
              </w:rPr>
              <w:t>217</w:t>
            </w:r>
          </w:p>
        </w:tc>
        <w:tc>
          <w:tcPr>
            <w:tcW w:w="1909" w:type="dxa"/>
            <w:vAlign w:val="center"/>
          </w:tcPr>
          <w:p w14:paraId="11DE9D15" w14:textId="77777777" w:rsidR="008A2F9A" w:rsidRDefault="008A2F9A" w:rsidP="008A2F9A">
            <w:pPr>
              <w:jc w:val="center"/>
              <w:rPr>
                <w:bCs/>
                <w:szCs w:val="17"/>
              </w:rPr>
            </w:pPr>
            <w:r>
              <w:rPr>
                <w:bCs/>
                <w:szCs w:val="17"/>
              </w:rPr>
              <w:t>Recital 5</w:t>
            </w:r>
          </w:p>
        </w:tc>
        <w:tc>
          <w:tcPr>
            <w:tcW w:w="6116" w:type="dxa"/>
          </w:tcPr>
          <w:p w14:paraId="243CEA0D" w14:textId="3247209B" w:rsidR="008A2F9A" w:rsidRDefault="008A2F9A" w:rsidP="008A2F9A">
            <w:pPr>
              <w:jc w:val="left"/>
              <w:rPr>
                <w:bCs/>
                <w:szCs w:val="17"/>
              </w:rPr>
            </w:pPr>
            <w:r>
              <w:rPr>
                <w:bCs/>
                <w:szCs w:val="17"/>
              </w:rPr>
              <w:t>Removal of the whole recital (European green deal)</w:t>
            </w:r>
            <w:r w:rsidR="009D46F4">
              <w:rPr>
                <w:bCs/>
                <w:szCs w:val="17"/>
              </w:rPr>
              <w:t>.</w:t>
            </w:r>
          </w:p>
        </w:tc>
        <w:tc>
          <w:tcPr>
            <w:tcW w:w="1909" w:type="dxa"/>
            <w:vAlign w:val="center"/>
          </w:tcPr>
          <w:p w14:paraId="4FEBA9C5" w14:textId="77777777" w:rsidR="008A2F9A" w:rsidRPr="002E083E" w:rsidRDefault="008A2F9A" w:rsidP="008A2F9A">
            <w:pPr>
              <w:jc w:val="center"/>
              <w:rPr>
                <w:bCs/>
                <w:szCs w:val="17"/>
              </w:rPr>
            </w:pPr>
            <w:proofErr w:type="spellStart"/>
            <w:r w:rsidRPr="00E76E73">
              <w:rPr>
                <w:szCs w:val="17"/>
              </w:rPr>
              <w:t>Zanni</w:t>
            </w:r>
            <w:proofErr w:type="spellEnd"/>
            <w:r w:rsidRPr="00E76E73">
              <w:rPr>
                <w:szCs w:val="17"/>
              </w:rPr>
              <w:t>, Grant, Rinaldi</w:t>
            </w:r>
          </w:p>
        </w:tc>
        <w:tc>
          <w:tcPr>
            <w:tcW w:w="2543" w:type="dxa"/>
            <w:vAlign w:val="center"/>
          </w:tcPr>
          <w:p w14:paraId="28EE6B7E" w14:textId="77777777" w:rsidR="00F068BD" w:rsidRDefault="00F068BD" w:rsidP="00F068BD">
            <w:pPr>
              <w:spacing w:line="240" w:lineRule="auto"/>
              <w:jc w:val="center"/>
              <w:rPr>
                <w:rFonts w:cs="Calibri"/>
                <w:color w:val="000000"/>
                <w:szCs w:val="17"/>
              </w:rPr>
            </w:pPr>
            <w:r>
              <w:rPr>
                <w:rFonts w:cs="Calibri"/>
                <w:bCs/>
                <w:color w:val="000000"/>
                <w:szCs w:val="17"/>
              </w:rPr>
              <w:t>Sustainable finance</w:t>
            </w:r>
          </w:p>
          <w:p w14:paraId="1EDCDB7C" w14:textId="77777777" w:rsidR="008A2F9A" w:rsidRPr="00D007AB" w:rsidRDefault="008A2F9A" w:rsidP="008A2F9A">
            <w:pPr>
              <w:jc w:val="center"/>
              <w:rPr>
                <w:bCs/>
                <w:szCs w:val="17"/>
              </w:rPr>
            </w:pPr>
          </w:p>
        </w:tc>
        <w:tc>
          <w:tcPr>
            <w:tcW w:w="1293" w:type="dxa"/>
            <w:vAlign w:val="center"/>
          </w:tcPr>
          <w:p w14:paraId="19DCF3A0" w14:textId="1098BFB6" w:rsidR="008A2F9A" w:rsidRPr="00DA133E" w:rsidRDefault="00DA133E" w:rsidP="008A2F9A">
            <w:pPr>
              <w:jc w:val="center"/>
              <w:rPr>
                <w:b/>
                <w:color w:val="F79646" w:themeColor="accent6"/>
                <w:szCs w:val="17"/>
                <w:highlight w:val="yellow"/>
              </w:rPr>
            </w:pPr>
            <w:r w:rsidRPr="00E76E73">
              <w:rPr>
                <w:b/>
                <w:color w:val="808080" w:themeColor="background1" w:themeShade="80"/>
                <w:szCs w:val="17"/>
              </w:rPr>
              <w:t>Neutral</w:t>
            </w:r>
          </w:p>
        </w:tc>
      </w:tr>
      <w:tr w:rsidR="008A2F9A" w:rsidRPr="00D43554" w14:paraId="5F71FDE2" w14:textId="77777777" w:rsidTr="00424768">
        <w:trPr>
          <w:trHeight w:val="499"/>
        </w:trPr>
        <w:tc>
          <w:tcPr>
            <w:tcW w:w="689" w:type="dxa"/>
            <w:vAlign w:val="center"/>
          </w:tcPr>
          <w:p w14:paraId="2376D016" w14:textId="77777777" w:rsidR="008A2F9A" w:rsidRDefault="008A2F9A" w:rsidP="008A2F9A">
            <w:pPr>
              <w:jc w:val="center"/>
              <w:rPr>
                <w:bCs/>
                <w:szCs w:val="17"/>
              </w:rPr>
            </w:pPr>
            <w:r>
              <w:rPr>
                <w:bCs/>
                <w:szCs w:val="17"/>
              </w:rPr>
              <w:t>218</w:t>
            </w:r>
          </w:p>
        </w:tc>
        <w:tc>
          <w:tcPr>
            <w:tcW w:w="1909" w:type="dxa"/>
            <w:vAlign w:val="center"/>
          </w:tcPr>
          <w:p w14:paraId="20199D42" w14:textId="77777777" w:rsidR="008A2F9A" w:rsidRDefault="008A2F9A" w:rsidP="008A2F9A">
            <w:pPr>
              <w:jc w:val="center"/>
              <w:rPr>
                <w:bCs/>
                <w:szCs w:val="17"/>
              </w:rPr>
            </w:pPr>
            <w:r>
              <w:rPr>
                <w:bCs/>
                <w:szCs w:val="17"/>
              </w:rPr>
              <w:t>Recital 5</w:t>
            </w:r>
          </w:p>
        </w:tc>
        <w:tc>
          <w:tcPr>
            <w:tcW w:w="6116" w:type="dxa"/>
          </w:tcPr>
          <w:p w14:paraId="11B2A879" w14:textId="2FA0581A" w:rsidR="008A2F9A" w:rsidRDefault="008A2F9A" w:rsidP="008A2F9A">
            <w:pPr>
              <w:jc w:val="left"/>
              <w:rPr>
                <w:bCs/>
                <w:szCs w:val="17"/>
              </w:rPr>
            </w:pPr>
            <w:r>
              <w:rPr>
                <w:bCs/>
                <w:szCs w:val="17"/>
              </w:rPr>
              <w:t xml:space="preserve">Adding to </w:t>
            </w:r>
            <w:r w:rsidR="009D46F4">
              <w:rPr>
                <w:bCs/>
                <w:szCs w:val="17"/>
              </w:rPr>
              <w:t>following</w:t>
            </w:r>
            <w:r>
              <w:rPr>
                <w:bCs/>
                <w:szCs w:val="17"/>
              </w:rPr>
              <w:t xml:space="preserve"> wording 1) estimation of 260€ billion to reach the 2030 energy and climate target, and 2) enhancing the role of insurance to </w:t>
            </w:r>
            <w:r w:rsidR="00A95FAB">
              <w:rPr>
                <w:bCs/>
                <w:szCs w:val="17"/>
              </w:rPr>
              <w:t>achieve</w:t>
            </w:r>
            <w:r w:rsidR="004D7818">
              <w:rPr>
                <w:bCs/>
                <w:szCs w:val="17"/>
              </w:rPr>
              <w:t xml:space="preserve"> climate target</w:t>
            </w:r>
            <w:r>
              <w:rPr>
                <w:bCs/>
                <w:szCs w:val="17"/>
              </w:rPr>
              <w:t>.</w:t>
            </w:r>
          </w:p>
        </w:tc>
        <w:tc>
          <w:tcPr>
            <w:tcW w:w="1909" w:type="dxa"/>
            <w:vAlign w:val="center"/>
          </w:tcPr>
          <w:p w14:paraId="0DF5E5FA" w14:textId="77777777" w:rsidR="008A2F9A" w:rsidRPr="00D167F0" w:rsidRDefault="008A2F9A" w:rsidP="008A2F9A">
            <w:pPr>
              <w:jc w:val="center"/>
              <w:rPr>
                <w:bCs/>
                <w:szCs w:val="17"/>
              </w:rPr>
            </w:pPr>
            <w:r w:rsidRPr="003F7287">
              <w:rPr>
                <w:bCs/>
                <w:szCs w:val="17"/>
              </w:rPr>
              <w:t>Hahn</w:t>
            </w:r>
          </w:p>
        </w:tc>
        <w:tc>
          <w:tcPr>
            <w:tcW w:w="2543" w:type="dxa"/>
            <w:vAlign w:val="center"/>
          </w:tcPr>
          <w:p w14:paraId="1F204C59" w14:textId="77777777" w:rsidR="00F068BD" w:rsidRDefault="00F068BD" w:rsidP="00F068BD">
            <w:pPr>
              <w:spacing w:line="240" w:lineRule="auto"/>
              <w:jc w:val="center"/>
              <w:rPr>
                <w:rFonts w:cs="Calibri"/>
                <w:color w:val="000000"/>
                <w:szCs w:val="17"/>
              </w:rPr>
            </w:pPr>
            <w:r>
              <w:rPr>
                <w:rFonts w:cs="Calibri"/>
                <w:bCs/>
                <w:color w:val="000000"/>
                <w:szCs w:val="17"/>
              </w:rPr>
              <w:t>Sustainable finance</w:t>
            </w:r>
          </w:p>
          <w:p w14:paraId="2D846E41" w14:textId="77777777" w:rsidR="008A2F9A" w:rsidRPr="00D007AB" w:rsidRDefault="008A2F9A" w:rsidP="008A2F9A">
            <w:pPr>
              <w:jc w:val="center"/>
              <w:rPr>
                <w:bCs/>
                <w:szCs w:val="17"/>
              </w:rPr>
            </w:pPr>
          </w:p>
        </w:tc>
        <w:tc>
          <w:tcPr>
            <w:tcW w:w="1293" w:type="dxa"/>
            <w:vAlign w:val="center"/>
          </w:tcPr>
          <w:p w14:paraId="4C868390" w14:textId="77777777" w:rsidR="008A2F9A" w:rsidRPr="00672DCD" w:rsidRDefault="008A2F9A" w:rsidP="008A2F9A">
            <w:pPr>
              <w:jc w:val="center"/>
              <w:rPr>
                <w:bCs/>
                <w:color w:val="F79646" w:themeColor="accent6"/>
                <w:szCs w:val="17"/>
              </w:rPr>
            </w:pPr>
            <w:r w:rsidRPr="00F63B3C">
              <w:rPr>
                <w:b/>
                <w:color w:val="808080" w:themeColor="background1" w:themeShade="80"/>
                <w:szCs w:val="17"/>
              </w:rPr>
              <w:t>Neutral</w:t>
            </w:r>
          </w:p>
        </w:tc>
      </w:tr>
      <w:tr w:rsidR="008A2F9A" w:rsidRPr="00D43554" w14:paraId="3F711D10" w14:textId="77777777" w:rsidTr="00424768">
        <w:trPr>
          <w:trHeight w:val="499"/>
        </w:trPr>
        <w:tc>
          <w:tcPr>
            <w:tcW w:w="689" w:type="dxa"/>
            <w:vAlign w:val="center"/>
          </w:tcPr>
          <w:p w14:paraId="3325A763" w14:textId="77777777" w:rsidR="008A2F9A" w:rsidRDefault="008A2F9A" w:rsidP="008A2F9A">
            <w:pPr>
              <w:jc w:val="center"/>
              <w:rPr>
                <w:bCs/>
                <w:szCs w:val="17"/>
              </w:rPr>
            </w:pPr>
            <w:r>
              <w:rPr>
                <w:bCs/>
                <w:szCs w:val="17"/>
              </w:rPr>
              <w:t>219</w:t>
            </w:r>
          </w:p>
        </w:tc>
        <w:tc>
          <w:tcPr>
            <w:tcW w:w="1909" w:type="dxa"/>
            <w:vAlign w:val="center"/>
          </w:tcPr>
          <w:p w14:paraId="4693441A" w14:textId="77777777" w:rsidR="008A2F9A" w:rsidRDefault="008A2F9A" w:rsidP="008A2F9A">
            <w:pPr>
              <w:jc w:val="center"/>
              <w:rPr>
                <w:bCs/>
                <w:szCs w:val="17"/>
              </w:rPr>
            </w:pPr>
            <w:r>
              <w:rPr>
                <w:bCs/>
                <w:szCs w:val="17"/>
              </w:rPr>
              <w:t>Recital 5</w:t>
            </w:r>
          </w:p>
        </w:tc>
        <w:tc>
          <w:tcPr>
            <w:tcW w:w="6116" w:type="dxa"/>
          </w:tcPr>
          <w:p w14:paraId="1AA869B2" w14:textId="1417AFD9" w:rsidR="008A2F9A" w:rsidRDefault="00051B30" w:rsidP="008A2F9A">
            <w:pPr>
              <w:jc w:val="left"/>
              <w:rPr>
                <w:bCs/>
                <w:szCs w:val="17"/>
              </w:rPr>
            </w:pPr>
            <w:r>
              <w:rPr>
                <w:bCs/>
                <w:szCs w:val="17"/>
              </w:rPr>
              <w:t>S</w:t>
            </w:r>
            <w:r w:rsidR="008A2F9A" w:rsidRPr="00B75FF0">
              <w:rPr>
                <w:bCs/>
                <w:szCs w:val="17"/>
              </w:rPr>
              <w:t>ustainability risks should be reflected in underwriting and investment decisions</w:t>
            </w:r>
            <w:r w:rsidR="00B66395">
              <w:rPr>
                <w:bCs/>
                <w:szCs w:val="17"/>
              </w:rPr>
              <w:t>.</w:t>
            </w:r>
          </w:p>
        </w:tc>
        <w:tc>
          <w:tcPr>
            <w:tcW w:w="1909" w:type="dxa"/>
            <w:vAlign w:val="center"/>
          </w:tcPr>
          <w:p w14:paraId="49EB99BF" w14:textId="77777777" w:rsidR="008A2F9A" w:rsidRPr="003F7287" w:rsidRDefault="008A2F9A" w:rsidP="008A2F9A">
            <w:pPr>
              <w:jc w:val="center"/>
              <w:rPr>
                <w:bCs/>
                <w:szCs w:val="17"/>
              </w:rPr>
            </w:pPr>
            <w:r w:rsidRPr="00E76E73">
              <w:rPr>
                <w:szCs w:val="17"/>
              </w:rPr>
              <w:t xml:space="preserve">Yon-Courtin, Boyer, </w:t>
            </w:r>
            <w:proofErr w:type="spellStart"/>
            <w:r w:rsidRPr="00E76E73">
              <w:rPr>
                <w:szCs w:val="17"/>
              </w:rPr>
              <w:t>Canfin</w:t>
            </w:r>
            <w:proofErr w:type="spellEnd"/>
            <w:r w:rsidRPr="00E76E73">
              <w:rPr>
                <w:szCs w:val="17"/>
              </w:rPr>
              <w:t>, Durand</w:t>
            </w:r>
          </w:p>
        </w:tc>
        <w:tc>
          <w:tcPr>
            <w:tcW w:w="2543" w:type="dxa"/>
            <w:vAlign w:val="center"/>
          </w:tcPr>
          <w:p w14:paraId="233235B2" w14:textId="77777777" w:rsidR="00C8709B" w:rsidRDefault="00C8709B" w:rsidP="00C8709B">
            <w:pPr>
              <w:spacing w:line="240" w:lineRule="auto"/>
              <w:jc w:val="center"/>
              <w:rPr>
                <w:rFonts w:cs="Calibri"/>
                <w:color w:val="000000"/>
                <w:szCs w:val="17"/>
              </w:rPr>
            </w:pPr>
            <w:r>
              <w:rPr>
                <w:rFonts w:cs="Calibri"/>
                <w:bCs/>
                <w:color w:val="000000"/>
                <w:szCs w:val="17"/>
              </w:rPr>
              <w:t>Sustainable finance</w:t>
            </w:r>
          </w:p>
          <w:p w14:paraId="6E76042F" w14:textId="77777777" w:rsidR="008A2F9A" w:rsidRPr="00D007AB" w:rsidRDefault="008A2F9A" w:rsidP="008A2F9A">
            <w:pPr>
              <w:jc w:val="center"/>
              <w:rPr>
                <w:bCs/>
                <w:szCs w:val="17"/>
              </w:rPr>
            </w:pPr>
          </w:p>
        </w:tc>
        <w:tc>
          <w:tcPr>
            <w:tcW w:w="1293" w:type="dxa"/>
            <w:vAlign w:val="center"/>
          </w:tcPr>
          <w:p w14:paraId="408B6A12" w14:textId="522D15E2" w:rsidR="008A2F9A" w:rsidRPr="00F63B3C" w:rsidRDefault="00DA133E" w:rsidP="008A2F9A">
            <w:pPr>
              <w:jc w:val="center"/>
              <w:rPr>
                <w:b/>
                <w:color w:val="808080" w:themeColor="background1" w:themeShade="80"/>
                <w:szCs w:val="17"/>
              </w:rPr>
            </w:pPr>
            <w:r w:rsidRPr="00E76E73">
              <w:rPr>
                <w:b/>
                <w:color w:val="808080" w:themeColor="background1" w:themeShade="80"/>
                <w:szCs w:val="17"/>
              </w:rPr>
              <w:t>Neutral</w:t>
            </w:r>
          </w:p>
        </w:tc>
      </w:tr>
      <w:tr w:rsidR="008A2F9A" w:rsidRPr="00D43554" w14:paraId="29C786A9" w14:textId="77777777" w:rsidTr="00424768">
        <w:trPr>
          <w:trHeight w:val="499"/>
        </w:trPr>
        <w:tc>
          <w:tcPr>
            <w:tcW w:w="689" w:type="dxa"/>
            <w:vAlign w:val="center"/>
          </w:tcPr>
          <w:p w14:paraId="7174D78F" w14:textId="77777777" w:rsidR="008A2F9A" w:rsidRDefault="008A2F9A" w:rsidP="008A2F9A">
            <w:pPr>
              <w:jc w:val="center"/>
              <w:rPr>
                <w:bCs/>
                <w:szCs w:val="17"/>
              </w:rPr>
            </w:pPr>
            <w:r>
              <w:rPr>
                <w:bCs/>
                <w:szCs w:val="17"/>
              </w:rPr>
              <w:t>220</w:t>
            </w:r>
          </w:p>
        </w:tc>
        <w:tc>
          <w:tcPr>
            <w:tcW w:w="1909" w:type="dxa"/>
            <w:vAlign w:val="center"/>
          </w:tcPr>
          <w:p w14:paraId="2A7E869B" w14:textId="77777777" w:rsidR="008A2F9A" w:rsidRDefault="008A2F9A" w:rsidP="008A2F9A">
            <w:pPr>
              <w:jc w:val="center"/>
              <w:rPr>
                <w:bCs/>
                <w:szCs w:val="17"/>
              </w:rPr>
            </w:pPr>
            <w:r>
              <w:rPr>
                <w:bCs/>
                <w:szCs w:val="17"/>
              </w:rPr>
              <w:t>Recital 5 a (new)</w:t>
            </w:r>
          </w:p>
        </w:tc>
        <w:tc>
          <w:tcPr>
            <w:tcW w:w="6116" w:type="dxa"/>
          </w:tcPr>
          <w:p w14:paraId="52FEB350" w14:textId="142E3BA9" w:rsidR="008A2F9A" w:rsidRDefault="008A2F9A" w:rsidP="008A2F9A">
            <w:pPr>
              <w:jc w:val="left"/>
              <w:rPr>
                <w:bCs/>
                <w:szCs w:val="17"/>
              </w:rPr>
            </w:pPr>
            <w:r>
              <w:rPr>
                <w:bCs/>
                <w:szCs w:val="17"/>
              </w:rPr>
              <w:t xml:space="preserve">Higher risk of </w:t>
            </w:r>
            <w:r w:rsidR="00D3526D">
              <w:rPr>
                <w:bCs/>
                <w:szCs w:val="17"/>
              </w:rPr>
              <w:t xml:space="preserve">fossil </w:t>
            </w:r>
            <w:r>
              <w:rPr>
                <w:bCs/>
                <w:szCs w:val="17"/>
              </w:rPr>
              <w:t>fuel exposures should be reflected in the prudential framework</w:t>
            </w:r>
            <w:r w:rsidR="00B66395">
              <w:rPr>
                <w:bCs/>
                <w:szCs w:val="17"/>
              </w:rPr>
              <w:t>.</w:t>
            </w:r>
          </w:p>
        </w:tc>
        <w:tc>
          <w:tcPr>
            <w:tcW w:w="1909" w:type="dxa"/>
            <w:vAlign w:val="center"/>
          </w:tcPr>
          <w:p w14:paraId="1031D716" w14:textId="77777777" w:rsidR="008A2F9A" w:rsidRPr="00491E60" w:rsidRDefault="008A2F9A" w:rsidP="008A2F9A">
            <w:pPr>
              <w:jc w:val="center"/>
              <w:rPr>
                <w:bCs/>
                <w:szCs w:val="17"/>
              </w:rPr>
            </w:pPr>
            <w:r w:rsidRPr="003F7287">
              <w:rPr>
                <w:bCs/>
                <w:szCs w:val="17"/>
              </w:rPr>
              <w:t>Hahn</w:t>
            </w:r>
          </w:p>
        </w:tc>
        <w:tc>
          <w:tcPr>
            <w:tcW w:w="2543" w:type="dxa"/>
            <w:vAlign w:val="center"/>
          </w:tcPr>
          <w:p w14:paraId="193635E0" w14:textId="77777777" w:rsidR="00C8709B" w:rsidRDefault="00C8709B" w:rsidP="00C8709B">
            <w:pPr>
              <w:spacing w:line="240" w:lineRule="auto"/>
              <w:jc w:val="center"/>
              <w:rPr>
                <w:rFonts w:cs="Calibri"/>
                <w:color w:val="000000"/>
                <w:szCs w:val="17"/>
              </w:rPr>
            </w:pPr>
            <w:r>
              <w:rPr>
                <w:rFonts w:cs="Calibri"/>
                <w:bCs/>
                <w:color w:val="000000"/>
                <w:szCs w:val="17"/>
              </w:rPr>
              <w:t>Sustainable finance</w:t>
            </w:r>
          </w:p>
          <w:p w14:paraId="6315245B" w14:textId="77777777" w:rsidR="008A2F9A" w:rsidRPr="00D007AB" w:rsidRDefault="008A2F9A" w:rsidP="008A2F9A">
            <w:pPr>
              <w:jc w:val="center"/>
              <w:rPr>
                <w:bCs/>
                <w:szCs w:val="17"/>
              </w:rPr>
            </w:pPr>
          </w:p>
        </w:tc>
        <w:tc>
          <w:tcPr>
            <w:tcW w:w="1293" w:type="dxa"/>
            <w:vAlign w:val="center"/>
          </w:tcPr>
          <w:p w14:paraId="3D20AE32" w14:textId="1787BB13" w:rsidR="008A2F9A" w:rsidRPr="00E72AD5" w:rsidRDefault="00122D82" w:rsidP="008A2F9A">
            <w:pPr>
              <w:jc w:val="center"/>
              <w:rPr>
                <w:b/>
                <w:color w:val="FF0000"/>
                <w:szCs w:val="17"/>
              </w:rPr>
            </w:pPr>
            <w:r w:rsidRPr="00122D82">
              <w:rPr>
                <w:b/>
                <w:color w:val="FF0000"/>
                <w:szCs w:val="17"/>
              </w:rPr>
              <w:t>Negative</w:t>
            </w:r>
          </w:p>
        </w:tc>
      </w:tr>
      <w:tr w:rsidR="008A2F9A" w:rsidRPr="00D43554" w14:paraId="49A0F006" w14:textId="77777777" w:rsidTr="00424768">
        <w:trPr>
          <w:trHeight w:val="499"/>
        </w:trPr>
        <w:tc>
          <w:tcPr>
            <w:tcW w:w="689" w:type="dxa"/>
            <w:vAlign w:val="center"/>
          </w:tcPr>
          <w:p w14:paraId="6685DAB5" w14:textId="77777777" w:rsidR="008A2F9A" w:rsidRDefault="008A2F9A" w:rsidP="008A2F9A">
            <w:pPr>
              <w:jc w:val="center"/>
              <w:rPr>
                <w:bCs/>
                <w:szCs w:val="17"/>
              </w:rPr>
            </w:pPr>
            <w:r>
              <w:rPr>
                <w:bCs/>
                <w:szCs w:val="17"/>
              </w:rPr>
              <w:t>221</w:t>
            </w:r>
          </w:p>
        </w:tc>
        <w:tc>
          <w:tcPr>
            <w:tcW w:w="1909" w:type="dxa"/>
            <w:vAlign w:val="center"/>
          </w:tcPr>
          <w:p w14:paraId="38243F60" w14:textId="77777777" w:rsidR="008A2F9A" w:rsidRDefault="008A2F9A" w:rsidP="008A2F9A">
            <w:pPr>
              <w:jc w:val="center"/>
              <w:rPr>
                <w:bCs/>
                <w:szCs w:val="17"/>
              </w:rPr>
            </w:pPr>
            <w:r>
              <w:rPr>
                <w:bCs/>
                <w:szCs w:val="17"/>
              </w:rPr>
              <w:t>Recital 5 a (new)</w:t>
            </w:r>
          </w:p>
        </w:tc>
        <w:tc>
          <w:tcPr>
            <w:tcW w:w="6116" w:type="dxa"/>
          </w:tcPr>
          <w:p w14:paraId="61A015BF" w14:textId="34DBDC91" w:rsidR="008A2F9A" w:rsidRDefault="008A2F9A" w:rsidP="008A2F9A">
            <w:pPr>
              <w:jc w:val="left"/>
              <w:rPr>
                <w:bCs/>
                <w:szCs w:val="17"/>
              </w:rPr>
            </w:pPr>
            <w:r w:rsidRPr="00BD4E09">
              <w:rPr>
                <w:bCs/>
                <w:szCs w:val="17"/>
              </w:rPr>
              <w:t xml:space="preserve">Safeguarding the competitiveness of the EU insurance market </w:t>
            </w:r>
            <w:r w:rsidR="000A3B67">
              <w:rPr>
                <w:bCs/>
                <w:szCs w:val="17"/>
              </w:rPr>
              <w:t>s</w:t>
            </w:r>
            <w:r w:rsidRPr="00BD4E09">
              <w:rPr>
                <w:bCs/>
                <w:szCs w:val="17"/>
              </w:rPr>
              <w:t>hould be an objective of the review</w:t>
            </w:r>
            <w:r>
              <w:rPr>
                <w:bCs/>
                <w:szCs w:val="17"/>
              </w:rPr>
              <w:t>.</w:t>
            </w:r>
          </w:p>
        </w:tc>
        <w:tc>
          <w:tcPr>
            <w:tcW w:w="1909" w:type="dxa"/>
            <w:vAlign w:val="center"/>
          </w:tcPr>
          <w:p w14:paraId="556F325A" w14:textId="77777777" w:rsidR="008A2F9A" w:rsidRPr="003F7287" w:rsidRDefault="008A2F9A" w:rsidP="008A2F9A">
            <w:pPr>
              <w:jc w:val="center"/>
              <w:rPr>
                <w:bCs/>
                <w:szCs w:val="17"/>
              </w:rPr>
            </w:pPr>
            <w:r w:rsidRPr="00E76E73">
              <w:rPr>
                <w:szCs w:val="17"/>
              </w:rPr>
              <w:t>Fitzgerald</w:t>
            </w:r>
          </w:p>
        </w:tc>
        <w:tc>
          <w:tcPr>
            <w:tcW w:w="2543" w:type="dxa"/>
            <w:vAlign w:val="center"/>
          </w:tcPr>
          <w:p w14:paraId="25EB8B1A" w14:textId="364BC7E7" w:rsidR="008A2F9A" w:rsidRPr="00D007AB" w:rsidRDefault="00D60ADE" w:rsidP="008A2F9A">
            <w:pPr>
              <w:jc w:val="center"/>
              <w:rPr>
                <w:bCs/>
                <w:szCs w:val="17"/>
              </w:rPr>
            </w:pPr>
            <w:r>
              <w:rPr>
                <w:bCs/>
                <w:szCs w:val="17"/>
              </w:rPr>
              <w:t>International competitiveness</w:t>
            </w:r>
          </w:p>
        </w:tc>
        <w:tc>
          <w:tcPr>
            <w:tcW w:w="1293" w:type="dxa"/>
            <w:vAlign w:val="center"/>
          </w:tcPr>
          <w:p w14:paraId="58442735" w14:textId="77777777" w:rsidR="008A2F9A" w:rsidRPr="002B3A44" w:rsidRDefault="008A2F9A" w:rsidP="008A2F9A">
            <w:pPr>
              <w:jc w:val="center"/>
              <w:rPr>
                <w:b/>
                <w:color w:val="F79646" w:themeColor="accent6"/>
                <w:szCs w:val="17"/>
              </w:rPr>
            </w:pPr>
            <w:r w:rsidRPr="00F63B3C">
              <w:rPr>
                <w:b/>
                <w:color w:val="00B050"/>
                <w:szCs w:val="17"/>
              </w:rPr>
              <w:t>Positive</w:t>
            </w:r>
          </w:p>
        </w:tc>
      </w:tr>
      <w:tr w:rsidR="008A2F9A" w:rsidRPr="00D43554" w14:paraId="10AFC242" w14:textId="77777777" w:rsidTr="00424768">
        <w:trPr>
          <w:trHeight w:val="499"/>
        </w:trPr>
        <w:tc>
          <w:tcPr>
            <w:tcW w:w="689" w:type="dxa"/>
            <w:vAlign w:val="center"/>
          </w:tcPr>
          <w:p w14:paraId="3E24F2DE" w14:textId="77777777" w:rsidR="008A2F9A" w:rsidRDefault="008A2F9A" w:rsidP="008A2F9A">
            <w:pPr>
              <w:jc w:val="center"/>
              <w:rPr>
                <w:bCs/>
                <w:szCs w:val="17"/>
              </w:rPr>
            </w:pPr>
            <w:r>
              <w:rPr>
                <w:bCs/>
                <w:szCs w:val="17"/>
              </w:rPr>
              <w:t>222</w:t>
            </w:r>
          </w:p>
        </w:tc>
        <w:tc>
          <w:tcPr>
            <w:tcW w:w="1909" w:type="dxa"/>
            <w:vAlign w:val="center"/>
          </w:tcPr>
          <w:p w14:paraId="2A85FC93" w14:textId="77777777" w:rsidR="008A2F9A" w:rsidRDefault="008A2F9A" w:rsidP="008A2F9A">
            <w:pPr>
              <w:jc w:val="center"/>
              <w:rPr>
                <w:bCs/>
                <w:szCs w:val="17"/>
              </w:rPr>
            </w:pPr>
            <w:r>
              <w:rPr>
                <w:bCs/>
                <w:szCs w:val="17"/>
              </w:rPr>
              <w:t>Recital 5 b (new)</w:t>
            </w:r>
          </w:p>
        </w:tc>
        <w:tc>
          <w:tcPr>
            <w:tcW w:w="6116" w:type="dxa"/>
          </w:tcPr>
          <w:p w14:paraId="713769A4" w14:textId="72C865D3" w:rsidR="008A2F9A" w:rsidRPr="00BD4E09" w:rsidRDefault="008A2F9A" w:rsidP="008A2F9A">
            <w:pPr>
              <w:jc w:val="left"/>
              <w:rPr>
                <w:bCs/>
                <w:szCs w:val="17"/>
              </w:rPr>
            </w:pPr>
            <w:r>
              <w:rPr>
                <w:bCs/>
                <w:szCs w:val="17"/>
              </w:rPr>
              <w:t>S</w:t>
            </w:r>
            <w:r w:rsidRPr="005A3675">
              <w:rPr>
                <w:bCs/>
                <w:szCs w:val="17"/>
              </w:rPr>
              <w:t xml:space="preserve">upervision of insurance undertakings operating </w:t>
            </w:r>
            <w:r>
              <w:rPr>
                <w:bCs/>
                <w:szCs w:val="17"/>
              </w:rPr>
              <w:t>cross-border</w:t>
            </w:r>
            <w:r w:rsidRPr="005A3675">
              <w:rPr>
                <w:bCs/>
                <w:szCs w:val="17"/>
              </w:rPr>
              <w:t xml:space="preserve"> should be further improved without undermining </w:t>
            </w:r>
            <w:r w:rsidR="000641AA">
              <w:rPr>
                <w:bCs/>
                <w:szCs w:val="17"/>
              </w:rPr>
              <w:t>single market integration</w:t>
            </w:r>
            <w:r w:rsidR="00671F16">
              <w:rPr>
                <w:bCs/>
                <w:szCs w:val="17"/>
              </w:rPr>
              <w:t>, consumer protection and fair competition.</w:t>
            </w:r>
          </w:p>
        </w:tc>
        <w:tc>
          <w:tcPr>
            <w:tcW w:w="1909" w:type="dxa"/>
            <w:vAlign w:val="center"/>
          </w:tcPr>
          <w:p w14:paraId="75DCBB66" w14:textId="77777777" w:rsidR="008A2F9A" w:rsidRPr="00E76E73" w:rsidRDefault="008A2F9A" w:rsidP="008A2F9A">
            <w:pPr>
              <w:jc w:val="center"/>
              <w:rPr>
                <w:szCs w:val="17"/>
              </w:rPr>
            </w:pPr>
            <w:r w:rsidRPr="00E76E73">
              <w:rPr>
                <w:szCs w:val="17"/>
              </w:rPr>
              <w:t>Fitzgerald</w:t>
            </w:r>
          </w:p>
        </w:tc>
        <w:tc>
          <w:tcPr>
            <w:tcW w:w="2543" w:type="dxa"/>
            <w:vAlign w:val="center"/>
          </w:tcPr>
          <w:p w14:paraId="6A824ACB" w14:textId="77777777" w:rsidR="00520668" w:rsidRDefault="00520668" w:rsidP="00520668">
            <w:pPr>
              <w:spacing w:line="240" w:lineRule="auto"/>
              <w:jc w:val="center"/>
              <w:rPr>
                <w:rFonts w:cs="Calibri"/>
                <w:color w:val="000000"/>
                <w:szCs w:val="17"/>
              </w:rPr>
            </w:pPr>
            <w:r>
              <w:rPr>
                <w:rFonts w:cs="Calibri"/>
                <w:color w:val="000000"/>
                <w:szCs w:val="17"/>
              </w:rPr>
              <w:t>Cross border</w:t>
            </w:r>
          </w:p>
          <w:p w14:paraId="300E3DF4" w14:textId="77777777" w:rsidR="008A2F9A" w:rsidRPr="00D007AB" w:rsidRDefault="008A2F9A" w:rsidP="008A2F9A">
            <w:pPr>
              <w:jc w:val="center"/>
              <w:rPr>
                <w:bCs/>
                <w:szCs w:val="17"/>
              </w:rPr>
            </w:pPr>
          </w:p>
        </w:tc>
        <w:tc>
          <w:tcPr>
            <w:tcW w:w="1293" w:type="dxa"/>
            <w:vAlign w:val="center"/>
          </w:tcPr>
          <w:p w14:paraId="2D6B83E5" w14:textId="566027CB" w:rsidR="008A2F9A" w:rsidRPr="00F63B3C" w:rsidRDefault="00DA133E" w:rsidP="008A2F9A">
            <w:pPr>
              <w:jc w:val="center"/>
              <w:rPr>
                <w:b/>
                <w:color w:val="00B050"/>
                <w:szCs w:val="17"/>
              </w:rPr>
            </w:pPr>
            <w:r w:rsidRPr="00E76E73">
              <w:rPr>
                <w:b/>
                <w:color w:val="808080" w:themeColor="background1" w:themeShade="80"/>
                <w:szCs w:val="17"/>
              </w:rPr>
              <w:t>Neutral</w:t>
            </w:r>
          </w:p>
        </w:tc>
      </w:tr>
      <w:tr w:rsidR="00520668" w:rsidRPr="00D43554" w14:paraId="226A96D5" w14:textId="77777777" w:rsidTr="00424768">
        <w:trPr>
          <w:trHeight w:val="499"/>
        </w:trPr>
        <w:tc>
          <w:tcPr>
            <w:tcW w:w="689" w:type="dxa"/>
            <w:vAlign w:val="center"/>
          </w:tcPr>
          <w:p w14:paraId="41BC1E31" w14:textId="77777777" w:rsidR="00520668" w:rsidRDefault="00520668" w:rsidP="00520668">
            <w:pPr>
              <w:jc w:val="center"/>
              <w:rPr>
                <w:bCs/>
                <w:szCs w:val="17"/>
              </w:rPr>
            </w:pPr>
            <w:r>
              <w:rPr>
                <w:bCs/>
                <w:szCs w:val="17"/>
              </w:rPr>
              <w:t>223</w:t>
            </w:r>
          </w:p>
        </w:tc>
        <w:tc>
          <w:tcPr>
            <w:tcW w:w="1909" w:type="dxa"/>
            <w:vAlign w:val="center"/>
          </w:tcPr>
          <w:p w14:paraId="68DF0AD3" w14:textId="77777777" w:rsidR="00520668" w:rsidRDefault="00520668" w:rsidP="00520668">
            <w:pPr>
              <w:jc w:val="center"/>
              <w:rPr>
                <w:bCs/>
                <w:szCs w:val="17"/>
              </w:rPr>
            </w:pPr>
            <w:r>
              <w:rPr>
                <w:bCs/>
                <w:szCs w:val="17"/>
              </w:rPr>
              <w:t>Recital 6 a (new)</w:t>
            </w:r>
          </w:p>
        </w:tc>
        <w:tc>
          <w:tcPr>
            <w:tcW w:w="6116" w:type="dxa"/>
          </w:tcPr>
          <w:p w14:paraId="4FAF365D" w14:textId="30F468BE" w:rsidR="00520668" w:rsidRPr="00E01396" w:rsidRDefault="00520668" w:rsidP="00520668">
            <w:pPr>
              <w:jc w:val="left"/>
              <w:rPr>
                <w:szCs w:val="17"/>
              </w:rPr>
            </w:pPr>
            <w:r w:rsidRPr="00E01396">
              <w:rPr>
                <w:szCs w:val="17"/>
              </w:rPr>
              <w:t xml:space="preserve">Transition plan required to ensure that their business model and strategy </w:t>
            </w:r>
            <w:r w:rsidR="00342D94" w:rsidRPr="00E01396">
              <w:rPr>
                <w:szCs w:val="17"/>
              </w:rPr>
              <w:t xml:space="preserve">are in line </w:t>
            </w:r>
            <w:r w:rsidR="009D62DB" w:rsidRPr="00E01396">
              <w:rPr>
                <w:szCs w:val="17"/>
              </w:rPr>
              <w:t>with sustainable economy as per Pa</w:t>
            </w:r>
            <w:r w:rsidRPr="00E01396">
              <w:rPr>
                <w:szCs w:val="17"/>
              </w:rPr>
              <w:t>ris Agreement (1.5 °C).</w:t>
            </w:r>
          </w:p>
        </w:tc>
        <w:tc>
          <w:tcPr>
            <w:tcW w:w="1909" w:type="dxa"/>
            <w:vAlign w:val="center"/>
          </w:tcPr>
          <w:p w14:paraId="0FC57557" w14:textId="77777777" w:rsidR="00520668" w:rsidRPr="00E76E73" w:rsidRDefault="00520668" w:rsidP="00520668">
            <w:pPr>
              <w:jc w:val="center"/>
              <w:rPr>
                <w:szCs w:val="17"/>
              </w:rPr>
            </w:pPr>
            <w:r w:rsidRPr="00E76E73">
              <w:rPr>
                <w:szCs w:val="17"/>
              </w:rPr>
              <w:t xml:space="preserve">Yon-Courtin, Boyer, </w:t>
            </w:r>
            <w:proofErr w:type="spellStart"/>
            <w:r w:rsidRPr="00E76E73">
              <w:rPr>
                <w:szCs w:val="17"/>
              </w:rPr>
              <w:t>Canfin</w:t>
            </w:r>
            <w:proofErr w:type="spellEnd"/>
            <w:r w:rsidRPr="00E76E73">
              <w:rPr>
                <w:szCs w:val="17"/>
              </w:rPr>
              <w:t>, Durand</w:t>
            </w:r>
          </w:p>
        </w:tc>
        <w:tc>
          <w:tcPr>
            <w:tcW w:w="2543" w:type="dxa"/>
            <w:vAlign w:val="center"/>
          </w:tcPr>
          <w:p w14:paraId="1D88EF0F" w14:textId="38FA90F5" w:rsidR="00520668" w:rsidRPr="00E01396" w:rsidRDefault="00520668" w:rsidP="00520668">
            <w:pPr>
              <w:spacing w:line="240" w:lineRule="auto"/>
              <w:jc w:val="center"/>
              <w:rPr>
                <w:rFonts w:cs="Calibri"/>
                <w:color w:val="000000"/>
                <w:szCs w:val="17"/>
              </w:rPr>
            </w:pPr>
            <w:r w:rsidRPr="00E01396">
              <w:rPr>
                <w:rFonts w:cs="Calibri"/>
                <w:color w:val="000000"/>
                <w:szCs w:val="17"/>
              </w:rPr>
              <w:t>Sustainable finance</w:t>
            </w:r>
            <w:r w:rsidR="00AB1AF0" w:rsidRPr="00DA133E">
              <w:rPr>
                <w:rFonts w:cs="Calibri"/>
                <w:color w:val="000000"/>
                <w:szCs w:val="17"/>
              </w:rPr>
              <w:t>/</w:t>
            </w:r>
            <w:r w:rsidR="00AB1AF0" w:rsidRPr="00E01396">
              <w:rPr>
                <w:szCs w:val="17"/>
              </w:rPr>
              <w:t xml:space="preserve"> transition plan</w:t>
            </w:r>
          </w:p>
          <w:p w14:paraId="25333F22" w14:textId="77777777" w:rsidR="00520668" w:rsidRPr="00E01396" w:rsidRDefault="00520668" w:rsidP="00520668">
            <w:pPr>
              <w:jc w:val="center"/>
              <w:rPr>
                <w:szCs w:val="17"/>
              </w:rPr>
            </w:pPr>
          </w:p>
        </w:tc>
        <w:tc>
          <w:tcPr>
            <w:tcW w:w="1293" w:type="dxa"/>
            <w:vAlign w:val="center"/>
          </w:tcPr>
          <w:p w14:paraId="3A09BB7E" w14:textId="25724EA1" w:rsidR="00520668" w:rsidRPr="00E01396" w:rsidRDefault="00DA133E" w:rsidP="00520668">
            <w:pPr>
              <w:jc w:val="center"/>
              <w:rPr>
                <w:b/>
                <w:color w:val="F79646" w:themeColor="accent6"/>
                <w:szCs w:val="17"/>
              </w:rPr>
            </w:pPr>
            <w:r w:rsidRPr="00E76E73">
              <w:rPr>
                <w:b/>
                <w:color w:val="808080" w:themeColor="background1" w:themeShade="80"/>
                <w:szCs w:val="17"/>
              </w:rPr>
              <w:t>Neutral</w:t>
            </w:r>
          </w:p>
        </w:tc>
      </w:tr>
      <w:tr w:rsidR="00520668" w:rsidRPr="00D43554" w14:paraId="294D22F5" w14:textId="77777777" w:rsidTr="00424768">
        <w:trPr>
          <w:trHeight w:val="499"/>
        </w:trPr>
        <w:tc>
          <w:tcPr>
            <w:tcW w:w="689" w:type="dxa"/>
            <w:vAlign w:val="center"/>
          </w:tcPr>
          <w:p w14:paraId="6E293CD9" w14:textId="77777777" w:rsidR="00520668" w:rsidRDefault="00520668" w:rsidP="00520668">
            <w:pPr>
              <w:jc w:val="center"/>
              <w:rPr>
                <w:bCs/>
                <w:szCs w:val="17"/>
              </w:rPr>
            </w:pPr>
            <w:r>
              <w:rPr>
                <w:bCs/>
                <w:szCs w:val="17"/>
              </w:rPr>
              <w:t>224</w:t>
            </w:r>
          </w:p>
        </w:tc>
        <w:tc>
          <w:tcPr>
            <w:tcW w:w="1909" w:type="dxa"/>
            <w:vAlign w:val="center"/>
          </w:tcPr>
          <w:p w14:paraId="3F103802" w14:textId="77777777" w:rsidR="00520668" w:rsidRDefault="00520668" w:rsidP="00520668">
            <w:pPr>
              <w:jc w:val="center"/>
              <w:rPr>
                <w:bCs/>
                <w:szCs w:val="17"/>
              </w:rPr>
            </w:pPr>
            <w:r>
              <w:rPr>
                <w:bCs/>
                <w:szCs w:val="17"/>
              </w:rPr>
              <w:t>Recital 9</w:t>
            </w:r>
          </w:p>
        </w:tc>
        <w:tc>
          <w:tcPr>
            <w:tcW w:w="6116" w:type="dxa"/>
          </w:tcPr>
          <w:p w14:paraId="6C418335" w14:textId="7D544F4E" w:rsidR="00520668" w:rsidRDefault="00D80EE8" w:rsidP="00520668">
            <w:pPr>
              <w:jc w:val="left"/>
              <w:rPr>
                <w:bCs/>
                <w:szCs w:val="17"/>
              </w:rPr>
            </w:pPr>
            <w:r>
              <w:rPr>
                <w:bCs/>
                <w:szCs w:val="17"/>
              </w:rPr>
              <w:t xml:space="preserve">Removes the proposed requirement for home NSAs to consult </w:t>
            </w:r>
            <w:proofErr w:type="gramStart"/>
            <w:r>
              <w:rPr>
                <w:bCs/>
                <w:szCs w:val="17"/>
              </w:rPr>
              <w:t xml:space="preserve">with </w:t>
            </w:r>
            <w:r w:rsidR="00390CFF">
              <w:rPr>
                <w:bCs/>
                <w:szCs w:val="17"/>
              </w:rPr>
              <w:t xml:space="preserve"> host</w:t>
            </w:r>
            <w:proofErr w:type="gramEnd"/>
            <w:r w:rsidR="00390CFF">
              <w:rPr>
                <w:bCs/>
                <w:szCs w:val="17"/>
              </w:rPr>
              <w:t xml:space="preserve"> NSAs </w:t>
            </w:r>
            <w:r>
              <w:rPr>
                <w:bCs/>
                <w:szCs w:val="17"/>
              </w:rPr>
              <w:t xml:space="preserve">prior to </w:t>
            </w:r>
            <w:r w:rsidR="00390CFF">
              <w:rPr>
                <w:bCs/>
                <w:szCs w:val="17"/>
              </w:rPr>
              <w:t>authorisation</w:t>
            </w:r>
            <w:r>
              <w:rPr>
                <w:bCs/>
                <w:szCs w:val="17"/>
              </w:rPr>
              <w:t xml:space="preserve"> of an undertaking</w:t>
            </w:r>
            <w:r w:rsidR="00520668">
              <w:rPr>
                <w:bCs/>
                <w:szCs w:val="17"/>
              </w:rPr>
              <w:t>.</w:t>
            </w:r>
          </w:p>
        </w:tc>
        <w:tc>
          <w:tcPr>
            <w:tcW w:w="1909" w:type="dxa"/>
            <w:vAlign w:val="center"/>
          </w:tcPr>
          <w:p w14:paraId="28538A55" w14:textId="77777777" w:rsidR="00520668" w:rsidRPr="00556C78" w:rsidRDefault="00520668" w:rsidP="00520668">
            <w:pPr>
              <w:jc w:val="center"/>
              <w:rPr>
                <w:bCs/>
                <w:szCs w:val="17"/>
              </w:rPr>
            </w:pPr>
            <w:r w:rsidRPr="00E76E73">
              <w:rPr>
                <w:szCs w:val="17"/>
              </w:rPr>
              <w:t>Hansen</w:t>
            </w:r>
          </w:p>
        </w:tc>
        <w:tc>
          <w:tcPr>
            <w:tcW w:w="2543" w:type="dxa"/>
            <w:vAlign w:val="center"/>
          </w:tcPr>
          <w:p w14:paraId="2D036A4A" w14:textId="2673632A" w:rsidR="00371378" w:rsidRDefault="00A504D6" w:rsidP="00371378">
            <w:pPr>
              <w:spacing w:line="240" w:lineRule="auto"/>
              <w:jc w:val="center"/>
              <w:rPr>
                <w:rFonts w:cs="Calibri"/>
                <w:color w:val="000000"/>
                <w:szCs w:val="17"/>
              </w:rPr>
            </w:pPr>
            <w:r>
              <w:rPr>
                <w:rFonts w:cs="Calibri"/>
                <w:bCs/>
                <w:color w:val="000000"/>
                <w:szCs w:val="17"/>
              </w:rPr>
              <w:t>C</w:t>
            </w:r>
            <w:r w:rsidR="00371378">
              <w:rPr>
                <w:rFonts w:cs="Calibri"/>
                <w:bCs/>
                <w:color w:val="000000"/>
                <w:szCs w:val="17"/>
              </w:rPr>
              <w:t>ross border</w:t>
            </w:r>
          </w:p>
          <w:p w14:paraId="27EE9EF2" w14:textId="77777777" w:rsidR="00520668" w:rsidRPr="00D007AB" w:rsidRDefault="00520668" w:rsidP="00520668">
            <w:pPr>
              <w:jc w:val="center"/>
              <w:rPr>
                <w:bCs/>
                <w:szCs w:val="17"/>
              </w:rPr>
            </w:pPr>
          </w:p>
        </w:tc>
        <w:tc>
          <w:tcPr>
            <w:tcW w:w="1293" w:type="dxa"/>
            <w:vAlign w:val="center"/>
          </w:tcPr>
          <w:p w14:paraId="08546902" w14:textId="554A5FAE" w:rsidR="00520668" w:rsidRPr="00E72AD5" w:rsidRDefault="00DA133E" w:rsidP="00520668">
            <w:pPr>
              <w:jc w:val="center"/>
              <w:rPr>
                <w:b/>
                <w:color w:val="FF0000"/>
                <w:szCs w:val="17"/>
              </w:rPr>
            </w:pPr>
            <w:r w:rsidRPr="00E76E73">
              <w:rPr>
                <w:b/>
                <w:color w:val="808080" w:themeColor="background1" w:themeShade="80"/>
                <w:szCs w:val="17"/>
              </w:rPr>
              <w:t>Neutral</w:t>
            </w:r>
          </w:p>
        </w:tc>
      </w:tr>
      <w:tr w:rsidR="00520668" w:rsidRPr="00D43554" w14:paraId="2DE902FB" w14:textId="77777777" w:rsidTr="00424768">
        <w:trPr>
          <w:trHeight w:val="499"/>
        </w:trPr>
        <w:tc>
          <w:tcPr>
            <w:tcW w:w="689" w:type="dxa"/>
            <w:vAlign w:val="center"/>
          </w:tcPr>
          <w:p w14:paraId="0F42D172" w14:textId="77777777" w:rsidR="00520668" w:rsidRDefault="00520668" w:rsidP="00520668">
            <w:pPr>
              <w:jc w:val="center"/>
              <w:rPr>
                <w:bCs/>
                <w:szCs w:val="17"/>
              </w:rPr>
            </w:pPr>
            <w:r>
              <w:rPr>
                <w:bCs/>
                <w:szCs w:val="17"/>
              </w:rPr>
              <w:lastRenderedPageBreak/>
              <w:t>225</w:t>
            </w:r>
          </w:p>
        </w:tc>
        <w:tc>
          <w:tcPr>
            <w:tcW w:w="1909" w:type="dxa"/>
            <w:vAlign w:val="center"/>
          </w:tcPr>
          <w:p w14:paraId="1169BDFC" w14:textId="77777777" w:rsidR="00520668" w:rsidRDefault="00520668" w:rsidP="00520668">
            <w:pPr>
              <w:jc w:val="center"/>
              <w:rPr>
                <w:bCs/>
                <w:szCs w:val="17"/>
              </w:rPr>
            </w:pPr>
            <w:r>
              <w:rPr>
                <w:bCs/>
                <w:szCs w:val="17"/>
              </w:rPr>
              <w:t>Recital 9</w:t>
            </w:r>
          </w:p>
        </w:tc>
        <w:tc>
          <w:tcPr>
            <w:tcW w:w="6116" w:type="dxa"/>
          </w:tcPr>
          <w:p w14:paraId="20AA2F89" w14:textId="060EA5D7" w:rsidR="00520668" w:rsidRDefault="00520668" w:rsidP="00520668">
            <w:pPr>
              <w:jc w:val="left"/>
              <w:rPr>
                <w:bCs/>
                <w:szCs w:val="17"/>
              </w:rPr>
            </w:pPr>
            <w:r>
              <w:rPr>
                <w:bCs/>
                <w:szCs w:val="17"/>
              </w:rPr>
              <w:t>Removal of</w:t>
            </w:r>
            <w:r w:rsidR="00B84B09">
              <w:rPr>
                <w:bCs/>
                <w:szCs w:val="17"/>
              </w:rPr>
              <w:t xml:space="preserve"> power to request a </w:t>
            </w:r>
            <w:r>
              <w:rPr>
                <w:bCs/>
                <w:szCs w:val="17"/>
              </w:rPr>
              <w:t xml:space="preserve">joint assessment </w:t>
            </w:r>
            <w:r w:rsidR="002D50D8">
              <w:rPr>
                <w:bCs/>
                <w:szCs w:val="17"/>
              </w:rPr>
              <w:t>when there is an</w:t>
            </w:r>
            <w:r>
              <w:rPr>
                <w:bCs/>
                <w:szCs w:val="17"/>
              </w:rPr>
              <w:t xml:space="preserve"> application for authorisation </w:t>
            </w:r>
            <w:r w:rsidR="00B0225D">
              <w:rPr>
                <w:bCs/>
                <w:szCs w:val="17"/>
              </w:rPr>
              <w:t>and</w:t>
            </w:r>
            <w:r w:rsidR="00F54A70">
              <w:rPr>
                <w:bCs/>
                <w:szCs w:val="17"/>
              </w:rPr>
              <w:t xml:space="preserve"> several </w:t>
            </w:r>
            <w:r w:rsidR="00B84B09">
              <w:rPr>
                <w:bCs/>
                <w:szCs w:val="17"/>
              </w:rPr>
              <w:t xml:space="preserve">NSAs </w:t>
            </w:r>
            <w:r w:rsidR="00F54A70">
              <w:rPr>
                <w:bCs/>
                <w:szCs w:val="17"/>
              </w:rPr>
              <w:t>are concerned</w:t>
            </w:r>
            <w:r w:rsidR="00DD758E">
              <w:rPr>
                <w:bCs/>
                <w:szCs w:val="17"/>
              </w:rPr>
              <w:t>.</w:t>
            </w:r>
            <w:r>
              <w:rPr>
                <w:bCs/>
                <w:szCs w:val="17"/>
              </w:rPr>
              <w:t xml:space="preserve"> Inclusion of a new process </w:t>
            </w:r>
            <w:r w:rsidR="00B84B09">
              <w:rPr>
                <w:bCs/>
                <w:szCs w:val="17"/>
              </w:rPr>
              <w:t xml:space="preserve">to </w:t>
            </w:r>
            <w:r>
              <w:rPr>
                <w:bCs/>
                <w:szCs w:val="17"/>
              </w:rPr>
              <w:t xml:space="preserve">allow </w:t>
            </w:r>
            <w:r w:rsidR="00586EAF">
              <w:rPr>
                <w:bCs/>
                <w:szCs w:val="17"/>
              </w:rPr>
              <w:t xml:space="preserve">host </w:t>
            </w:r>
            <w:r>
              <w:rPr>
                <w:bCs/>
                <w:szCs w:val="17"/>
              </w:rPr>
              <w:t>NS</w:t>
            </w:r>
            <w:r w:rsidR="00B84B09">
              <w:rPr>
                <w:bCs/>
                <w:szCs w:val="17"/>
              </w:rPr>
              <w:t>As</w:t>
            </w:r>
            <w:r>
              <w:rPr>
                <w:bCs/>
                <w:szCs w:val="17"/>
              </w:rPr>
              <w:t xml:space="preserve"> to raise concerns to the home NSA in regards the authorisation.</w:t>
            </w:r>
          </w:p>
        </w:tc>
        <w:tc>
          <w:tcPr>
            <w:tcW w:w="1909" w:type="dxa"/>
            <w:vAlign w:val="center"/>
          </w:tcPr>
          <w:p w14:paraId="3BEE5D15" w14:textId="77777777" w:rsidR="00520668" w:rsidRPr="00E76E73" w:rsidRDefault="00520668" w:rsidP="00520668">
            <w:pPr>
              <w:jc w:val="center"/>
              <w:rPr>
                <w:szCs w:val="17"/>
              </w:rPr>
            </w:pPr>
            <w:r w:rsidRPr="00E76E73">
              <w:rPr>
                <w:szCs w:val="17"/>
              </w:rPr>
              <w:t>Fitzgerald</w:t>
            </w:r>
          </w:p>
        </w:tc>
        <w:tc>
          <w:tcPr>
            <w:tcW w:w="2543" w:type="dxa"/>
            <w:vAlign w:val="center"/>
          </w:tcPr>
          <w:p w14:paraId="34EDA220" w14:textId="7AFCED49" w:rsidR="00401455" w:rsidRDefault="00B84B09" w:rsidP="00401455">
            <w:pPr>
              <w:spacing w:line="240" w:lineRule="auto"/>
              <w:jc w:val="center"/>
              <w:rPr>
                <w:rFonts w:cs="Calibri"/>
                <w:color w:val="000000"/>
                <w:szCs w:val="17"/>
              </w:rPr>
            </w:pPr>
            <w:r>
              <w:rPr>
                <w:rFonts w:cs="Calibri"/>
                <w:bCs/>
                <w:color w:val="000000"/>
                <w:szCs w:val="17"/>
              </w:rPr>
              <w:t>C</w:t>
            </w:r>
            <w:r w:rsidR="00401455">
              <w:rPr>
                <w:rFonts w:cs="Calibri"/>
                <w:bCs/>
                <w:color w:val="000000"/>
                <w:szCs w:val="17"/>
              </w:rPr>
              <w:t>ross border</w:t>
            </w:r>
          </w:p>
          <w:p w14:paraId="4275BEF4" w14:textId="77777777" w:rsidR="00520668" w:rsidRPr="00D007AB" w:rsidRDefault="00520668" w:rsidP="00520668">
            <w:pPr>
              <w:jc w:val="center"/>
              <w:rPr>
                <w:bCs/>
                <w:szCs w:val="17"/>
              </w:rPr>
            </w:pPr>
          </w:p>
        </w:tc>
        <w:tc>
          <w:tcPr>
            <w:tcW w:w="1293" w:type="dxa"/>
            <w:vAlign w:val="center"/>
          </w:tcPr>
          <w:p w14:paraId="3A2B65B1" w14:textId="6617BF6A" w:rsidR="00520668" w:rsidRPr="002B3A44" w:rsidRDefault="00DD758E" w:rsidP="00520668">
            <w:pPr>
              <w:jc w:val="center"/>
              <w:rPr>
                <w:b/>
                <w:color w:val="F79646" w:themeColor="accent6"/>
                <w:szCs w:val="17"/>
              </w:rPr>
            </w:pPr>
            <w:r w:rsidRPr="00F63B3C">
              <w:rPr>
                <w:b/>
                <w:color w:val="808080" w:themeColor="background1" w:themeShade="80"/>
                <w:szCs w:val="17"/>
              </w:rPr>
              <w:t>Neutral</w:t>
            </w:r>
          </w:p>
        </w:tc>
      </w:tr>
      <w:tr w:rsidR="00520668" w:rsidRPr="00D43554" w14:paraId="75C606E4" w14:textId="77777777" w:rsidTr="00424768">
        <w:trPr>
          <w:trHeight w:val="499"/>
        </w:trPr>
        <w:tc>
          <w:tcPr>
            <w:tcW w:w="689" w:type="dxa"/>
            <w:vAlign w:val="center"/>
          </w:tcPr>
          <w:p w14:paraId="5F241C31" w14:textId="77777777" w:rsidR="00520668" w:rsidRDefault="00520668" w:rsidP="00520668">
            <w:pPr>
              <w:jc w:val="center"/>
              <w:rPr>
                <w:bCs/>
                <w:szCs w:val="17"/>
              </w:rPr>
            </w:pPr>
            <w:r>
              <w:rPr>
                <w:bCs/>
                <w:szCs w:val="17"/>
              </w:rPr>
              <w:t>226</w:t>
            </w:r>
          </w:p>
        </w:tc>
        <w:tc>
          <w:tcPr>
            <w:tcW w:w="1909" w:type="dxa"/>
            <w:vAlign w:val="center"/>
          </w:tcPr>
          <w:p w14:paraId="075A68CF" w14:textId="602F043E" w:rsidR="00520668" w:rsidRDefault="00520668" w:rsidP="00520668">
            <w:pPr>
              <w:jc w:val="center"/>
              <w:rPr>
                <w:bCs/>
                <w:szCs w:val="17"/>
              </w:rPr>
            </w:pPr>
            <w:r>
              <w:rPr>
                <w:bCs/>
                <w:szCs w:val="17"/>
              </w:rPr>
              <w:t>Recital 10</w:t>
            </w:r>
          </w:p>
        </w:tc>
        <w:tc>
          <w:tcPr>
            <w:tcW w:w="6116" w:type="dxa"/>
          </w:tcPr>
          <w:p w14:paraId="32737AFB" w14:textId="69106E50" w:rsidR="00520668" w:rsidRDefault="00DD1BD2" w:rsidP="00520668">
            <w:pPr>
              <w:jc w:val="left"/>
              <w:rPr>
                <w:bCs/>
                <w:szCs w:val="17"/>
              </w:rPr>
            </w:pPr>
            <w:r>
              <w:rPr>
                <w:bCs/>
                <w:szCs w:val="17"/>
              </w:rPr>
              <w:t xml:space="preserve">The </w:t>
            </w:r>
            <w:r w:rsidR="0045006E">
              <w:rPr>
                <w:bCs/>
                <w:szCs w:val="17"/>
              </w:rPr>
              <w:t xml:space="preserve">proportionality </w:t>
            </w:r>
            <w:r>
              <w:rPr>
                <w:bCs/>
                <w:szCs w:val="17"/>
              </w:rPr>
              <w:t xml:space="preserve">application of the directive should be </w:t>
            </w:r>
            <w:r w:rsidR="004C06CA">
              <w:rPr>
                <w:bCs/>
                <w:szCs w:val="17"/>
              </w:rPr>
              <w:t xml:space="preserve">applied </w:t>
            </w:r>
            <w:r>
              <w:rPr>
                <w:bCs/>
                <w:szCs w:val="17"/>
              </w:rPr>
              <w:t>homoge</w:t>
            </w:r>
            <w:r w:rsidR="00B90F9B">
              <w:rPr>
                <w:bCs/>
                <w:szCs w:val="17"/>
              </w:rPr>
              <w:t>neou</w:t>
            </w:r>
            <w:r w:rsidR="004C06CA">
              <w:rPr>
                <w:bCs/>
                <w:szCs w:val="17"/>
              </w:rPr>
              <w:t>sly</w:t>
            </w:r>
            <w:r w:rsidR="00B0225D">
              <w:rPr>
                <w:bCs/>
                <w:szCs w:val="17"/>
              </w:rPr>
              <w:t>.</w:t>
            </w:r>
          </w:p>
        </w:tc>
        <w:tc>
          <w:tcPr>
            <w:tcW w:w="1909" w:type="dxa"/>
            <w:vAlign w:val="center"/>
          </w:tcPr>
          <w:p w14:paraId="1341C85A" w14:textId="77777777" w:rsidR="00520668" w:rsidRPr="00E76E73" w:rsidRDefault="00520668" w:rsidP="00520668">
            <w:pPr>
              <w:jc w:val="center"/>
              <w:rPr>
                <w:szCs w:val="17"/>
              </w:rPr>
            </w:pPr>
            <w:r w:rsidRPr="00E76E73">
              <w:rPr>
                <w:szCs w:val="17"/>
              </w:rPr>
              <w:t>Hahn</w:t>
            </w:r>
          </w:p>
        </w:tc>
        <w:tc>
          <w:tcPr>
            <w:tcW w:w="2543" w:type="dxa"/>
            <w:vAlign w:val="center"/>
          </w:tcPr>
          <w:p w14:paraId="5DAFDE04" w14:textId="51F8A9C4" w:rsidR="00520668" w:rsidRPr="00D007AB" w:rsidRDefault="008E1EC4" w:rsidP="00520668">
            <w:pPr>
              <w:jc w:val="center"/>
              <w:rPr>
                <w:bCs/>
                <w:szCs w:val="17"/>
              </w:rPr>
            </w:pPr>
            <w:r w:rsidRPr="008E1EC4">
              <w:rPr>
                <w:bCs/>
                <w:szCs w:val="17"/>
              </w:rPr>
              <w:t>Proportionality</w:t>
            </w:r>
          </w:p>
        </w:tc>
        <w:tc>
          <w:tcPr>
            <w:tcW w:w="1293" w:type="dxa"/>
            <w:vAlign w:val="center"/>
          </w:tcPr>
          <w:p w14:paraId="3EE51792" w14:textId="77777777" w:rsidR="00520668" w:rsidRPr="002B3A44" w:rsidRDefault="00520668" w:rsidP="00520668">
            <w:pPr>
              <w:jc w:val="center"/>
              <w:rPr>
                <w:b/>
                <w:color w:val="F79646" w:themeColor="accent6"/>
                <w:szCs w:val="17"/>
              </w:rPr>
            </w:pPr>
            <w:r w:rsidRPr="00F63B3C">
              <w:rPr>
                <w:b/>
                <w:color w:val="808080" w:themeColor="background1" w:themeShade="80"/>
                <w:szCs w:val="17"/>
              </w:rPr>
              <w:t>Neutral</w:t>
            </w:r>
          </w:p>
        </w:tc>
      </w:tr>
      <w:tr w:rsidR="00520668" w:rsidRPr="00D43554" w14:paraId="09FDD50F" w14:textId="77777777" w:rsidTr="00424768">
        <w:trPr>
          <w:trHeight w:val="499"/>
        </w:trPr>
        <w:tc>
          <w:tcPr>
            <w:tcW w:w="689" w:type="dxa"/>
            <w:vAlign w:val="center"/>
          </w:tcPr>
          <w:p w14:paraId="49034446" w14:textId="77777777" w:rsidR="00520668" w:rsidRDefault="00520668" w:rsidP="00520668">
            <w:pPr>
              <w:jc w:val="center"/>
              <w:rPr>
                <w:bCs/>
                <w:szCs w:val="17"/>
              </w:rPr>
            </w:pPr>
            <w:r w:rsidRPr="001E5A37">
              <w:rPr>
                <w:bCs/>
                <w:szCs w:val="17"/>
              </w:rPr>
              <w:t>227</w:t>
            </w:r>
          </w:p>
        </w:tc>
        <w:tc>
          <w:tcPr>
            <w:tcW w:w="1909" w:type="dxa"/>
            <w:vAlign w:val="center"/>
          </w:tcPr>
          <w:p w14:paraId="1D5F1D8E" w14:textId="77777777" w:rsidR="00520668" w:rsidRDefault="00520668" w:rsidP="00520668">
            <w:pPr>
              <w:jc w:val="center"/>
              <w:rPr>
                <w:bCs/>
                <w:szCs w:val="17"/>
              </w:rPr>
            </w:pPr>
            <w:r>
              <w:rPr>
                <w:bCs/>
                <w:szCs w:val="17"/>
              </w:rPr>
              <w:t>Recital 11 a (new)</w:t>
            </w:r>
          </w:p>
        </w:tc>
        <w:tc>
          <w:tcPr>
            <w:tcW w:w="6116" w:type="dxa"/>
          </w:tcPr>
          <w:p w14:paraId="64FD882E" w14:textId="39948F47" w:rsidR="00520668" w:rsidRDefault="00665A21" w:rsidP="00520668">
            <w:pPr>
              <w:jc w:val="left"/>
              <w:rPr>
                <w:bCs/>
                <w:szCs w:val="17"/>
              </w:rPr>
            </w:pPr>
            <w:r>
              <w:rPr>
                <w:bCs/>
                <w:szCs w:val="17"/>
              </w:rPr>
              <w:t xml:space="preserve">Proposed powers for </w:t>
            </w:r>
            <w:r w:rsidR="003D0B8B">
              <w:rPr>
                <w:bCs/>
                <w:szCs w:val="17"/>
              </w:rPr>
              <w:t>NSA</w:t>
            </w:r>
            <w:r>
              <w:rPr>
                <w:bCs/>
                <w:szCs w:val="17"/>
              </w:rPr>
              <w:t>s</w:t>
            </w:r>
            <w:r w:rsidR="003D0B8B">
              <w:rPr>
                <w:bCs/>
                <w:szCs w:val="17"/>
              </w:rPr>
              <w:t xml:space="preserve"> </w:t>
            </w:r>
            <w:r>
              <w:rPr>
                <w:bCs/>
                <w:szCs w:val="17"/>
              </w:rPr>
              <w:t>to override benefits arising from automatic application of LRPU</w:t>
            </w:r>
            <w:r w:rsidR="0020169D">
              <w:rPr>
                <w:bCs/>
                <w:szCs w:val="17"/>
              </w:rPr>
              <w:t xml:space="preserve"> where NSAs have concerns related to risk management of undertaking</w:t>
            </w:r>
            <w:r w:rsidR="00520668">
              <w:rPr>
                <w:bCs/>
                <w:szCs w:val="17"/>
              </w:rPr>
              <w:t>.</w:t>
            </w:r>
          </w:p>
        </w:tc>
        <w:tc>
          <w:tcPr>
            <w:tcW w:w="1909" w:type="dxa"/>
            <w:vAlign w:val="center"/>
          </w:tcPr>
          <w:p w14:paraId="6D5E445E" w14:textId="77777777" w:rsidR="00520668" w:rsidRPr="00E76E73" w:rsidRDefault="00520668" w:rsidP="00520668">
            <w:pPr>
              <w:jc w:val="center"/>
              <w:rPr>
                <w:szCs w:val="17"/>
              </w:rPr>
            </w:pPr>
            <w:proofErr w:type="spellStart"/>
            <w:r w:rsidRPr="00E76E73">
              <w:rPr>
                <w:szCs w:val="17"/>
              </w:rPr>
              <w:t>Heinäluoma</w:t>
            </w:r>
            <w:proofErr w:type="spellEnd"/>
          </w:p>
        </w:tc>
        <w:tc>
          <w:tcPr>
            <w:tcW w:w="2543" w:type="dxa"/>
            <w:vAlign w:val="center"/>
          </w:tcPr>
          <w:p w14:paraId="5471CD6C" w14:textId="1EFA41DF" w:rsidR="00520668" w:rsidRPr="00D007AB" w:rsidRDefault="00394EA2" w:rsidP="00520668">
            <w:pPr>
              <w:jc w:val="center"/>
              <w:rPr>
                <w:bCs/>
                <w:szCs w:val="17"/>
              </w:rPr>
            </w:pPr>
            <w:r w:rsidRPr="00394EA2">
              <w:rPr>
                <w:bCs/>
                <w:szCs w:val="17"/>
              </w:rPr>
              <w:t>Proportionality</w:t>
            </w:r>
          </w:p>
        </w:tc>
        <w:tc>
          <w:tcPr>
            <w:tcW w:w="1293" w:type="dxa"/>
            <w:vAlign w:val="center"/>
          </w:tcPr>
          <w:p w14:paraId="2CE28B11" w14:textId="77777777" w:rsidR="00520668" w:rsidRPr="00F63B3C" w:rsidRDefault="00520668" w:rsidP="00520668">
            <w:pPr>
              <w:jc w:val="center"/>
              <w:rPr>
                <w:b/>
                <w:color w:val="808080" w:themeColor="background1" w:themeShade="80"/>
                <w:szCs w:val="17"/>
              </w:rPr>
            </w:pPr>
            <w:r w:rsidRPr="00E72AD5">
              <w:rPr>
                <w:b/>
                <w:color w:val="FF0000"/>
                <w:szCs w:val="17"/>
              </w:rPr>
              <w:t>Negative</w:t>
            </w:r>
          </w:p>
        </w:tc>
      </w:tr>
      <w:tr w:rsidR="00520668" w:rsidRPr="00D43554" w14:paraId="376831FC" w14:textId="77777777" w:rsidTr="00424768">
        <w:trPr>
          <w:trHeight w:val="499"/>
        </w:trPr>
        <w:tc>
          <w:tcPr>
            <w:tcW w:w="689" w:type="dxa"/>
            <w:vAlign w:val="center"/>
          </w:tcPr>
          <w:p w14:paraId="69E357AB" w14:textId="77777777" w:rsidR="00520668" w:rsidRPr="001E5A37" w:rsidRDefault="00520668" w:rsidP="00520668">
            <w:pPr>
              <w:jc w:val="center"/>
              <w:rPr>
                <w:bCs/>
                <w:szCs w:val="17"/>
              </w:rPr>
            </w:pPr>
            <w:r>
              <w:rPr>
                <w:bCs/>
                <w:szCs w:val="17"/>
              </w:rPr>
              <w:t>228</w:t>
            </w:r>
          </w:p>
        </w:tc>
        <w:tc>
          <w:tcPr>
            <w:tcW w:w="1909" w:type="dxa"/>
            <w:vAlign w:val="center"/>
          </w:tcPr>
          <w:p w14:paraId="51A7364D" w14:textId="77777777" w:rsidR="00520668" w:rsidRDefault="00520668" w:rsidP="00520668">
            <w:pPr>
              <w:jc w:val="center"/>
              <w:rPr>
                <w:bCs/>
                <w:szCs w:val="17"/>
              </w:rPr>
            </w:pPr>
            <w:r>
              <w:rPr>
                <w:bCs/>
                <w:szCs w:val="17"/>
              </w:rPr>
              <w:t>Recital 11 a (new)</w:t>
            </w:r>
          </w:p>
        </w:tc>
        <w:tc>
          <w:tcPr>
            <w:tcW w:w="6116" w:type="dxa"/>
          </w:tcPr>
          <w:p w14:paraId="16DB197E" w14:textId="7E289643" w:rsidR="00520668" w:rsidRDefault="00520668" w:rsidP="00520668">
            <w:pPr>
              <w:jc w:val="left"/>
              <w:rPr>
                <w:bCs/>
                <w:szCs w:val="17"/>
              </w:rPr>
            </w:pPr>
            <w:r>
              <w:rPr>
                <w:bCs/>
                <w:szCs w:val="17"/>
              </w:rPr>
              <w:t>MS could apply to undertakings excluded from S</w:t>
            </w:r>
            <w:r w:rsidR="00243EBE">
              <w:rPr>
                <w:bCs/>
                <w:szCs w:val="17"/>
              </w:rPr>
              <w:t>II</w:t>
            </w:r>
            <w:r>
              <w:rPr>
                <w:bCs/>
                <w:szCs w:val="17"/>
              </w:rPr>
              <w:t xml:space="preserve"> similar provisions to S</w:t>
            </w:r>
            <w:r w:rsidR="00243EBE">
              <w:rPr>
                <w:bCs/>
                <w:szCs w:val="17"/>
              </w:rPr>
              <w:t>II</w:t>
            </w:r>
            <w:r w:rsidR="00394EA2">
              <w:rPr>
                <w:bCs/>
                <w:szCs w:val="17"/>
              </w:rPr>
              <w:t xml:space="preserve"> under national legislation.</w:t>
            </w:r>
          </w:p>
        </w:tc>
        <w:tc>
          <w:tcPr>
            <w:tcW w:w="1909" w:type="dxa"/>
            <w:vAlign w:val="center"/>
          </w:tcPr>
          <w:p w14:paraId="6E6DB15D" w14:textId="77777777" w:rsidR="00520668" w:rsidRPr="00E76E73" w:rsidRDefault="00520668" w:rsidP="00520668">
            <w:pPr>
              <w:jc w:val="center"/>
              <w:rPr>
                <w:szCs w:val="17"/>
              </w:rPr>
            </w:pPr>
            <w:r w:rsidRPr="00E76E73">
              <w:rPr>
                <w:szCs w:val="17"/>
              </w:rPr>
              <w:t>MacManus</w:t>
            </w:r>
          </w:p>
        </w:tc>
        <w:tc>
          <w:tcPr>
            <w:tcW w:w="2543" w:type="dxa"/>
            <w:vAlign w:val="center"/>
          </w:tcPr>
          <w:p w14:paraId="013A3EA4" w14:textId="4322A7BC" w:rsidR="00520668" w:rsidRPr="00D007AB" w:rsidRDefault="00394EA2" w:rsidP="00520668">
            <w:pPr>
              <w:jc w:val="center"/>
              <w:rPr>
                <w:bCs/>
                <w:szCs w:val="17"/>
              </w:rPr>
            </w:pPr>
            <w:r w:rsidRPr="00394EA2">
              <w:rPr>
                <w:bCs/>
                <w:szCs w:val="17"/>
              </w:rPr>
              <w:t>Proportionality</w:t>
            </w:r>
          </w:p>
        </w:tc>
        <w:tc>
          <w:tcPr>
            <w:tcW w:w="1293" w:type="dxa"/>
            <w:vAlign w:val="center"/>
          </w:tcPr>
          <w:p w14:paraId="3281C4D0" w14:textId="77777777" w:rsidR="00520668" w:rsidRPr="00E72AD5" w:rsidRDefault="00520668" w:rsidP="00520668">
            <w:pPr>
              <w:jc w:val="center"/>
              <w:rPr>
                <w:b/>
                <w:color w:val="FF0000"/>
                <w:szCs w:val="17"/>
              </w:rPr>
            </w:pPr>
            <w:r w:rsidRPr="00E72AD5">
              <w:rPr>
                <w:b/>
                <w:color w:val="FF0000"/>
                <w:szCs w:val="17"/>
              </w:rPr>
              <w:t>Negative</w:t>
            </w:r>
          </w:p>
        </w:tc>
      </w:tr>
      <w:tr w:rsidR="00520668" w:rsidRPr="00D43554" w14:paraId="2F1475D6" w14:textId="77777777" w:rsidTr="00424768">
        <w:trPr>
          <w:trHeight w:val="499"/>
        </w:trPr>
        <w:tc>
          <w:tcPr>
            <w:tcW w:w="689" w:type="dxa"/>
            <w:vAlign w:val="center"/>
          </w:tcPr>
          <w:p w14:paraId="33526E65" w14:textId="77777777" w:rsidR="00520668" w:rsidRDefault="00520668" w:rsidP="00520668">
            <w:pPr>
              <w:jc w:val="center"/>
              <w:rPr>
                <w:bCs/>
                <w:szCs w:val="17"/>
              </w:rPr>
            </w:pPr>
            <w:r>
              <w:rPr>
                <w:bCs/>
                <w:szCs w:val="17"/>
              </w:rPr>
              <w:t>229</w:t>
            </w:r>
          </w:p>
        </w:tc>
        <w:tc>
          <w:tcPr>
            <w:tcW w:w="1909" w:type="dxa"/>
            <w:vAlign w:val="center"/>
          </w:tcPr>
          <w:p w14:paraId="7C61F2C0" w14:textId="77777777" w:rsidR="00520668" w:rsidRDefault="00520668" w:rsidP="00520668">
            <w:pPr>
              <w:jc w:val="center"/>
              <w:rPr>
                <w:bCs/>
                <w:szCs w:val="17"/>
              </w:rPr>
            </w:pPr>
            <w:r w:rsidRPr="004A6D0C">
              <w:rPr>
                <w:bCs/>
                <w:szCs w:val="17"/>
              </w:rPr>
              <w:t>Recital 14</w:t>
            </w:r>
          </w:p>
        </w:tc>
        <w:tc>
          <w:tcPr>
            <w:tcW w:w="6116" w:type="dxa"/>
          </w:tcPr>
          <w:p w14:paraId="54AABCB0" w14:textId="0B9F498A" w:rsidR="00520668" w:rsidRDefault="00E8047E" w:rsidP="00520668">
            <w:pPr>
              <w:jc w:val="left"/>
              <w:rPr>
                <w:bCs/>
                <w:szCs w:val="17"/>
              </w:rPr>
            </w:pPr>
            <w:r>
              <w:rPr>
                <w:bCs/>
                <w:szCs w:val="17"/>
              </w:rPr>
              <w:t>Automatic classification of c</w:t>
            </w:r>
            <w:r w:rsidR="00520668" w:rsidRPr="00D500D1">
              <w:rPr>
                <w:bCs/>
                <w:szCs w:val="17"/>
              </w:rPr>
              <w:t xml:space="preserve">aptive </w:t>
            </w:r>
            <w:r>
              <w:rPr>
                <w:bCs/>
                <w:szCs w:val="17"/>
              </w:rPr>
              <w:t>(re)</w:t>
            </w:r>
            <w:r w:rsidR="00520668" w:rsidRPr="00D500D1">
              <w:rPr>
                <w:bCs/>
                <w:szCs w:val="17"/>
              </w:rPr>
              <w:t xml:space="preserve">insurance undertakings </w:t>
            </w:r>
            <w:r>
              <w:rPr>
                <w:bCs/>
                <w:szCs w:val="17"/>
              </w:rPr>
              <w:t xml:space="preserve">as </w:t>
            </w:r>
            <w:r w:rsidR="00520668">
              <w:rPr>
                <w:bCs/>
                <w:szCs w:val="17"/>
              </w:rPr>
              <w:t>low-risk profile undertakings</w:t>
            </w:r>
            <w:r w:rsidR="00513B5B">
              <w:rPr>
                <w:bCs/>
                <w:szCs w:val="17"/>
              </w:rPr>
              <w:t>.</w:t>
            </w:r>
          </w:p>
        </w:tc>
        <w:tc>
          <w:tcPr>
            <w:tcW w:w="1909" w:type="dxa"/>
            <w:vAlign w:val="center"/>
          </w:tcPr>
          <w:p w14:paraId="35159F67" w14:textId="77777777" w:rsidR="00520668" w:rsidRPr="00E76E73" w:rsidRDefault="00520668" w:rsidP="00520668">
            <w:pPr>
              <w:jc w:val="center"/>
              <w:rPr>
                <w:szCs w:val="17"/>
              </w:rPr>
            </w:pPr>
            <w:proofErr w:type="spellStart"/>
            <w:r w:rsidRPr="00E76E73">
              <w:rPr>
                <w:szCs w:val="17"/>
              </w:rPr>
              <w:t>Zanni</w:t>
            </w:r>
            <w:proofErr w:type="spellEnd"/>
            <w:r w:rsidRPr="00E76E73">
              <w:rPr>
                <w:szCs w:val="17"/>
              </w:rPr>
              <w:t>, Grant, Rinaldi</w:t>
            </w:r>
          </w:p>
        </w:tc>
        <w:tc>
          <w:tcPr>
            <w:tcW w:w="2543" w:type="dxa"/>
            <w:vAlign w:val="center"/>
          </w:tcPr>
          <w:p w14:paraId="199108BD" w14:textId="53B4F6B2" w:rsidR="00520668" w:rsidRPr="00D007AB" w:rsidRDefault="004831AC" w:rsidP="00520668">
            <w:pPr>
              <w:jc w:val="center"/>
              <w:rPr>
                <w:bCs/>
                <w:szCs w:val="17"/>
              </w:rPr>
            </w:pPr>
            <w:r w:rsidRPr="00394EA2">
              <w:rPr>
                <w:bCs/>
                <w:szCs w:val="17"/>
              </w:rPr>
              <w:t>Proportionality</w:t>
            </w:r>
          </w:p>
        </w:tc>
        <w:tc>
          <w:tcPr>
            <w:tcW w:w="1293" w:type="dxa"/>
            <w:vAlign w:val="center"/>
          </w:tcPr>
          <w:p w14:paraId="6C08F7B9" w14:textId="77777777" w:rsidR="00520668" w:rsidRPr="00E72AD5" w:rsidRDefault="00520668" w:rsidP="00520668">
            <w:pPr>
              <w:jc w:val="center"/>
              <w:rPr>
                <w:b/>
                <w:color w:val="FF0000"/>
                <w:szCs w:val="17"/>
              </w:rPr>
            </w:pPr>
            <w:r w:rsidRPr="00F63B3C">
              <w:rPr>
                <w:b/>
                <w:color w:val="00B050"/>
                <w:szCs w:val="17"/>
              </w:rPr>
              <w:t>Positive</w:t>
            </w:r>
          </w:p>
        </w:tc>
      </w:tr>
      <w:tr w:rsidR="00520668" w:rsidRPr="00D43554" w14:paraId="17A9C713" w14:textId="77777777" w:rsidTr="00424768">
        <w:trPr>
          <w:trHeight w:val="499"/>
        </w:trPr>
        <w:tc>
          <w:tcPr>
            <w:tcW w:w="689" w:type="dxa"/>
            <w:vAlign w:val="center"/>
          </w:tcPr>
          <w:p w14:paraId="3EF94F82" w14:textId="77777777" w:rsidR="00520668" w:rsidRDefault="00520668" w:rsidP="00520668">
            <w:pPr>
              <w:jc w:val="center"/>
              <w:rPr>
                <w:bCs/>
                <w:szCs w:val="17"/>
              </w:rPr>
            </w:pPr>
            <w:r>
              <w:rPr>
                <w:bCs/>
                <w:szCs w:val="17"/>
              </w:rPr>
              <w:t>230</w:t>
            </w:r>
          </w:p>
        </w:tc>
        <w:tc>
          <w:tcPr>
            <w:tcW w:w="1909" w:type="dxa"/>
            <w:vAlign w:val="center"/>
          </w:tcPr>
          <w:p w14:paraId="7D6C13FA" w14:textId="77777777" w:rsidR="00520668" w:rsidRPr="004A6D0C" w:rsidRDefault="00520668" w:rsidP="00520668">
            <w:pPr>
              <w:jc w:val="center"/>
              <w:rPr>
                <w:bCs/>
                <w:szCs w:val="17"/>
              </w:rPr>
            </w:pPr>
            <w:r>
              <w:rPr>
                <w:bCs/>
                <w:szCs w:val="17"/>
              </w:rPr>
              <w:t>Recital 15 a (new)</w:t>
            </w:r>
          </w:p>
        </w:tc>
        <w:tc>
          <w:tcPr>
            <w:tcW w:w="6116" w:type="dxa"/>
          </w:tcPr>
          <w:p w14:paraId="36475149" w14:textId="78D4DAFE" w:rsidR="00520668" w:rsidRDefault="00520668" w:rsidP="00520668">
            <w:pPr>
              <w:jc w:val="left"/>
              <w:rPr>
                <w:bCs/>
                <w:szCs w:val="17"/>
              </w:rPr>
            </w:pPr>
            <w:r>
              <w:rPr>
                <w:bCs/>
                <w:szCs w:val="17"/>
              </w:rPr>
              <w:t xml:space="preserve">Inclusion of gender balance and diversity in the composition </w:t>
            </w:r>
            <w:r w:rsidRPr="004444E6">
              <w:rPr>
                <w:bCs/>
                <w:szCs w:val="17"/>
              </w:rPr>
              <w:t xml:space="preserve">of </w:t>
            </w:r>
            <w:r w:rsidR="00E8047E">
              <w:rPr>
                <w:bCs/>
                <w:szCs w:val="17"/>
              </w:rPr>
              <w:t>ASMB</w:t>
            </w:r>
            <w:r>
              <w:rPr>
                <w:bCs/>
                <w:szCs w:val="17"/>
              </w:rPr>
              <w:t>.</w:t>
            </w:r>
          </w:p>
        </w:tc>
        <w:tc>
          <w:tcPr>
            <w:tcW w:w="1909" w:type="dxa"/>
            <w:vAlign w:val="center"/>
          </w:tcPr>
          <w:p w14:paraId="690633E9" w14:textId="77777777" w:rsidR="00520668" w:rsidRPr="00E76E73" w:rsidRDefault="00520668" w:rsidP="00520668">
            <w:pPr>
              <w:jc w:val="center"/>
              <w:rPr>
                <w:szCs w:val="17"/>
              </w:rPr>
            </w:pPr>
            <w:r w:rsidRPr="00E76E73">
              <w:rPr>
                <w:szCs w:val="17"/>
              </w:rPr>
              <w:t>Hahn</w:t>
            </w:r>
          </w:p>
        </w:tc>
        <w:tc>
          <w:tcPr>
            <w:tcW w:w="2543" w:type="dxa"/>
            <w:vAlign w:val="center"/>
          </w:tcPr>
          <w:p w14:paraId="0DB6969A" w14:textId="77777777" w:rsidR="001923CC" w:rsidRDefault="001923CC" w:rsidP="001923CC">
            <w:pPr>
              <w:spacing w:line="240" w:lineRule="auto"/>
              <w:jc w:val="center"/>
              <w:rPr>
                <w:rFonts w:cs="Calibri"/>
                <w:color w:val="000000"/>
                <w:szCs w:val="17"/>
              </w:rPr>
            </w:pPr>
            <w:r>
              <w:rPr>
                <w:rFonts w:cs="Calibri"/>
                <w:bCs/>
                <w:color w:val="000000"/>
                <w:szCs w:val="17"/>
              </w:rPr>
              <w:t>Diversity &amp; Inclusion</w:t>
            </w:r>
          </w:p>
          <w:p w14:paraId="2E025C0B" w14:textId="77777777" w:rsidR="00520668" w:rsidRPr="00D007AB" w:rsidRDefault="00520668" w:rsidP="00520668">
            <w:pPr>
              <w:jc w:val="center"/>
              <w:rPr>
                <w:bCs/>
                <w:szCs w:val="17"/>
              </w:rPr>
            </w:pPr>
          </w:p>
        </w:tc>
        <w:tc>
          <w:tcPr>
            <w:tcW w:w="1293" w:type="dxa"/>
            <w:vAlign w:val="center"/>
          </w:tcPr>
          <w:p w14:paraId="2B91E924" w14:textId="77777777" w:rsidR="00520668" w:rsidRPr="00F63B3C" w:rsidRDefault="00520668" w:rsidP="00520668">
            <w:pPr>
              <w:jc w:val="center"/>
              <w:rPr>
                <w:b/>
                <w:color w:val="00B050"/>
                <w:szCs w:val="17"/>
              </w:rPr>
            </w:pPr>
            <w:r w:rsidRPr="00F63B3C">
              <w:rPr>
                <w:b/>
                <w:color w:val="808080" w:themeColor="background1" w:themeShade="80"/>
                <w:szCs w:val="17"/>
              </w:rPr>
              <w:t>Neutral</w:t>
            </w:r>
          </w:p>
        </w:tc>
      </w:tr>
      <w:tr w:rsidR="00520668" w:rsidRPr="00D43554" w14:paraId="4AAF2912" w14:textId="77777777" w:rsidTr="00424768">
        <w:trPr>
          <w:trHeight w:val="499"/>
        </w:trPr>
        <w:tc>
          <w:tcPr>
            <w:tcW w:w="689" w:type="dxa"/>
            <w:vAlign w:val="center"/>
          </w:tcPr>
          <w:p w14:paraId="6746D1D5" w14:textId="77777777" w:rsidR="00520668" w:rsidRDefault="00520668" w:rsidP="00520668">
            <w:pPr>
              <w:jc w:val="center"/>
              <w:rPr>
                <w:bCs/>
                <w:szCs w:val="17"/>
              </w:rPr>
            </w:pPr>
            <w:r>
              <w:rPr>
                <w:bCs/>
                <w:szCs w:val="17"/>
              </w:rPr>
              <w:t>231</w:t>
            </w:r>
          </w:p>
        </w:tc>
        <w:tc>
          <w:tcPr>
            <w:tcW w:w="1909" w:type="dxa"/>
            <w:vAlign w:val="center"/>
          </w:tcPr>
          <w:p w14:paraId="22ECBF7B" w14:textId="77777777" w:rsidR="00520668" w:rsidRDefault="00520668" w:rsidP="00520668">
            <w:pPr>
              <w:jc w:val="center"/>
              <w:rPr>
                <w:bCs/>
                <w:szCs w:val="17"/>
              </w:rPr>
            </w:pPr>
            <w:r w:rsidRPr="00AB6AC1">
              <w:rPr>
                <w:bCs/>
                <w:szCs w:val="17"/>
              </w:rPr>
              <w:t>Recital 15 b (new)</w:t>
            </w:r>
          </w:p>
        </w:tc>
        <w:tc>
          <w:tcPr>
            <w:tcW w:w="6116" w:type="dxa"/>
          </w:tcPr>
          <w:p w14:paraId="6F7AA91F" w14:textId="3E27DA24" w:rsidR="00520668" w:rsidRDefault="00520668" w:rsidP="00520668">
            <w:pPr>
              <w:jc w:val="left"/>
              <w:rPr>
                <w:bCs/>
                <w:szCs w:val="17"/>
              </w:rPr>
            </w:pPr>
            <w:r w:rsidRPr="00B90D6B">
              <w:rPr>
                <w:bCs/>
                <w:szCs w:val="17"/>
              </w:rPr>
              <w:t>Supervisors must not be allowed to trade any securities issued by a supervised entity and an appropriate cooling-off period shall be define</w:t>
            </w:r>
            <w:r w:rsidR="001923CC">
              <w:rPr>
                <w:bCs/>
                <w:szCs w:val="17"/>
              </w:rPr>
              <w:t>d</w:t>
            </w:r>
            <w:r w:rsidRPr="00B90D6B">
              <w:rPr>
                <w:bCs/>
                <w:szCs w:val="17"/>
              </w:rPr>
              <w:t>.</w:t>
            </w:r>
          </w:p>
        </w:tc>
        <w:tc>
          <w:tcPr>
            <w:tcW w:w="1909" w:type="dxa"/>
            <w:vAlign w:val="center"/>
          </w:tcPr>
          <w:p w14:paraId="4FB7097D" w14:textId="77777777" w:rsidR="00520668" w:rsidRPr="00E76E73" w:rsidRDefault="00520668" w:rsidP="00520668">
            <w:pPr>
              <w:jc w:val="center"/>
              <w:rPr>
                <w:szCs w:val="17"/>
              </w:rPr>
            </w:pPr>
            <w:r w:rsidRPr="00E76E73">
              <w:rPr>
                <w:szCs w:val="17"/>
              </w:rPr>
              <w:t>Hahn</w:t>
            </w:r>
          </w:p>
        </w:tc>
        <w:tc>
          <w:tcPr>
            <w:tcW w:w="2543" w:type="dxa"/>
            <w:vAlign w:val="center"/>
          </w:tcPr>
          <w:p w14:paraId="3BF3EABC" w14:textId="7796D6A4" w:rsidR="00520668" w:rsidRPr="00D007AB" w:rsidRDefault="00165110" w:rsidP="00520668">
            <w:pPr>
              <w:jc w:val="center"/>
              <w:rPr>
                <w:bCs/>
                <w:szCs w:val="17"/>
              </w:rPr>
            </w:pPr>
            <w:r w:rsidRPr="00165110">
              <w:rPr>
                <w:bCs/>
                <w:szCs w:val="17"/>
              </w:rPr>
              <w:t>Supervisory independence</w:t>
            </w:r>
          </w:p>
        </w:tc>
        <w:tc>
          <w:tcPr>
            <w:tcW w:w="1293" w:type="dxa"/>
            <w:vAlign w:val="center"/>
          </w:tcPr>
          <w:p w14:paraId="1780FE79" w14:textId="28A44BE7" w:rsidR="00520668" w:rsidRPr="00F63B3C" w:rsidRDefault="00DA133E" w:rsidP="00520668">
            <w:pPr>
              <w:jc w:val="center"/>
              <w:rPr>
                <w:b/>
                <w:color w:val="808080" w:themeColor="background1" w:themeShade="80"/>
                <w:szCs w:val="17"/>
              </w:rPr>
            </w:pPr>
            <w:r w:rsidRPr="00E76E73">
              <w:rPr>
                <w:b/>
                <w:color w:val="808080" w:themeColor="background1" w:themeShade="80"/>
                <w:szCs w:val="17"/>
              </w:rPr>
              <w:t>Neutral</w:t>
            </w:r>
          </w:p>
        </w:tc>
      </w:tr>
      <w:tr w:rsidR="00520668" w:rsidRPr="00D43554" w14:paraId="5F699E84" w14:textId="77777777" w:rsidTr="00424768">
        <w:trPr>
          <w:trHeight w:val="499"/>
        </w:trPr>
        <w:tc>
          <w:tcPr>
            <w:tcW w:w="689" w:type="dxa"/>
            <w:vAlign w:val="center"/>
          </w:tcPr>
          <w:p w14:paraId="3CC76B76" w14:textId="77777777" w:rsidR="00520668" w:rsidRDefault="00520668" w:rsidP="00520668">
            <w:pPr>
              <w:jc w:val="center"/>
              <w:rPr>
                <w:bCs/>
                <w:szCs w:val="17"/>
              </w:rPr>
            </w:pPr>
            <w:r>
              <w:rPr>
                <w:bCs/>
                <w:szCs w:val="17"/>
              </w:rPr>
              <w:t>232</w:t>
            </w:r>
          </w:p>
        </w:tc>
        <w:tc>
          <w:tcPr>
            <w:tcW w:w="1909" w:type="dxa"/>
            <w:vAlign w:val="center"/>
          </w:tcPr>
          <w:p w14:paraId="49725220" w14:textId="77777777" w:rsidR="00520668" w:rsidRPr="00AB6AC1" w:rsidRDefault="00520668" w:rsidP="00520668">
            <w:pPr>
              <w:jc w:val="center"/>
              <w:rPr>
                <w:bCs/>
                <w:szCs w:val="17"/>
              </w:rPr>
            </w:pPr>
            <w:r w:rsidRPr="004A6D0C">
              <w:rPr>
                <w:bCs/>
                <w:szCs w:val="17"/>
              </w:rPr>
              <w:t>Recital 1</w:t>
            </w:r>
            <w:r>
              <w:rPr>
                <w:bCs/>
                <w:szCs w:val="17"/>
              </w:rPr>
              <w:t>6</w:t>
            </w:r>
          </w:p>
        </w:tc>
        <w:tc>
          <w:tcPr>
            <w:tcW w:w="6116" w:type="dxa"/>
          </w:tcPr>
          <w:p w14:paraId="41C581AC" w14:textId="3900AC62" w:rsidR="00520668" w:rsidRPr="00B90D6B" w:rsidRDefault="00520668" w:rsidP="00520668">
            <w:pPr>
              <w:jc w:val="left"/>
              <w:rPr>
                <w:bCs/>
                <w:szCs w:val="17"/>
              </w:rPr>
            </w:pPr>
            <w:r>
              <w:rPr>
                <w:bCs/>
                <w:szCs w:val="17"/>
              </w:rPr>
              <w:t xml:space="preserve">Enhancement in the cooperation between supervisory authorities (cross border activity branches or providing services). MEP highlight that the cooperation needs to increase transparency and regular exchange of information </w:t>
            </w:r>
            <w:r w:rsidR="000568A8">
              <w:rPr>
                <w:bCs/>
                <w:szCs w:val="17"/>
              </w:rPr>
              <w:t xml:space="preserve">among NSAs </w:t>
            </w:r>
            <w:r w:rsidR="00577307">
              <w:rPr>
                <w:bCs/>
                <w:szCs w:val="17"/>
              </w:rPr>
              <w:t>is</w:t>
            </w:r>
            <w:r w:rsidR="00F76406">
              <w:rPr>
                <w:bCs/>
                <w:szCs w:val="17"/>
              </w:rPr>
              <w:t xml:space="preserve"> </w:t>
            </w:r>
            <w:r w:rsidR="00674A92">
              <w:rPr>
                <w:bCs/>
                <w:szCs w:val="17"/>
              </w:rPr>
              <w:t>necessary</w:t>
            </w:r>
            <w:r w:rsidR="00F76406">
              <w:rPr>
                <w:bCs/>
                <w:szCs w:val="17"/>
              </w:rPr>
              <w:t xml:space="preserve">. The </w:t>
            </w:r>
            <w:r w:rsidR="00F82BCA">
              <w:rPr>
                <w:bCs/>
                <w:szCs w:val="17"/>
              </w:rPr>
              <w:t xml:space="preserve">outcome of the review process </w:t>
            </w:r>
            <w:r w:rsidR="00CF2CCD">
              <w:rPr>
                <w:bCs/>
                <w:szCs w:val="17"/>
              </w:rPr>
              <w:t xml:space="preserve">should be shared including the </w:t>
            </w:r>
            <w:r w:rsidRPr="00D1168F">
              <w:rPr>
                <w:bCs/>
                <w:szCs w:val="17"/>
              </w:rPr>
              <w:t>financial condition of the undertaking and market conditions</w:t>
            </w:r>
            <w:r>
              <w:rPr>
                <w:bCs/>
                <w:szCs w:val="17"/>
              </w:rPr>
              <w:t>.</w:t>
            </w:r>
          </w:p>
        </w:tc>
        <w:tc>
          <w:tcPr>
            <w:tcW w:w="1909" w:type="dxa"/>
            <w:vAlign w:val="center"/>
          </w:tcPr>
          <w:p w14:paraId="510C7A7A" w14:textId="77777777" w:rsidR="00520668" w:rsidRPr="00E76E73" w:rsidRDefault="00520668" w:rsidP="00520668">
            <w:pPr>
              <w:jc w:val="center"/>
              <w:rPr>
                <w:szCs w:val="17"/>
              </w:rPr>
            </w:pPr>
            <w:r w:rsidRPr="00E76E73">
              <w:rPr>
                <w:szCs w:val="17"/>
              </w:rPr>
              <w:t>Fitzgerald</w:t>
            </w:r>
          </w:p>
        </w:tc>
        <w:tc>
          <w:tcPr>
            <w:tcW w:w="2543" w:type="dxa"/>
            <w:vAlign w:val="center"/>
          </w:tcPr>
          <w:p w14:paraId="0022B996" w14:textId="77777777" w:rsidR="00437ABD" w:rsidRDefault="00437ABD" w:rsidP="00437ABD">
            <w:pPr>
              <w:spacing w:line="240" w:lineRule="auto"/>
              <w:jc w:val="center"/>
              <w:rPr>
                <w:rFonts w:cs="Calibri"/>
                <w:color w:val="000000"/>
                <w:szCs w:val="17"/>
              </w:rPr>
            </w:pPr>
            <w:r>
              <w:rPr>
                <w:rFonts w:cs="Calibri"/>
                <w:color w:val="000000"/>
                <w:szCs w:val="17"/>
              </w:rPr>
              <w:t>Cross border</w:t>
            </w:r>
          </w:p>
          <w:p w14:paraId="66C36FBD" w14:textId="77777777" w:rsidR="00520668" w:rsidRPr="00D007AB" w:rsidRDefault="00520668" w:rsidP="00520668">
            <w:pPr>
              <w:jc w:val="center"/>
              <w:rPr>
                <w:bCs/>
                <w:szCs w:val="17"/>
              </w:rPr>
            </w:pPr>
          </w:p>
        </w:tc>
        <w:tc>
          <w:tcPr>
            <w:tcW w:w="1293" w:type="dxa"/>
            <w:vAlign w:val="center"/>
          </w:tcPr>
          <w:p w14:paraId="72A28232" w14:textId="77777777" w:rsidR="00520668" w:rsidRPr="00F63B3C" w:rsidRDefault="00520668" w:rsidP="00520668">
            <w:pPr>
              <w:jc w:val="center"/>
              <w:rPr>
                <w:b/>
                <w:color w:val="00B050"/>
                <w:szCs w:val="17"/>
              </w:rPr>
            </w:pPr>
            <w:r w:rsidRPr="00F63B3C">
              <w:rPr>
                <w:b/>
                <w:color w:val="808080" w:themeColor="background1" w:themeShade="80"/>
                <w:szCs w:val="17"/>
              </w:rPr>
              <w:t>Neutral</w:t>
            </w:r>
          </w:p>
        </w:tc>
      </w:tr>
      <w:tr w:rsidR="00520668" w:rsidRPr="00D43554" w14:paraId="65CC73B1" w14:textId="77777777" w:rsidTr="00424768">
        <w:trPr>
          <w:trHeight w:val="499"/>
        </w:trPr>
        <w:tc>
          <w:tcPr>
            <w:tcW w:w="689" w:type="dxa"/>
            <w:vAlign w:val="center"/>
          </w:tcPr>
          <w:p w14:paraId="71F30C96" w14:textId="77777777" w:rsidR="00520668" w:rsidRDefault="00520668" w:rsidP="00520668">
            <w:pPr>
              <w:jc w:val="center"/>
              <w:rPr>
                <w:bCs/>
                <w:szCs w:val="17"/>
              </w:rPr>
            </w:pPr>
            <w:r>
              <w:rPr>
                <w:bCs/>
                <w:szCs w:val="17"/>
              </w:rPr>
              <w:t>233</w:t>
            </w:r>
          </w:p>
        </w:tc>
        <w:tc>
          <w:tcPr>
            <w:tcW w:w="1909" w:type="dxa"/>
            <w:vAlign w:val="center"/>
          </w:tcPr>
          <w:p w14:paraId="1436C025" w14:textId="77777777" w:rsidR="00520668" w:rsidRPr="004A6D0C" w:rsidRDefault="00520668" w:rsidP="00520668">
            <w:pPr>
              <w:jc w:val="center"/>
              <w:rPr>
                <w:bCs/>
                <w:szCs w:val="17"/>
              </w:rPr>
            </w:pPr>
            <w:r w:rsidRPr="004A6D0C">
              <w:rPr>
                <w:bCs/>
                <w:szCs w:val="17"/>
              </w:rPr>
              <w:t>Recital 1</w:t>
            </w:r>
            <w:r>
              <w:rPr>
                <w:bCs/>
                <w:szCs w:val="17"/>
              </w:rPr>
              <w:t>7</w:t>
            </w:r>
          </w:p>
        </w:tc>
        <w:tc>
          <w:tcPr>
            <w:tcW w:w="6116" w:type="dxa"/>
          </w:tcPr>
          <w:p w14:paraId="1376036A" w14:textId="45AE6E15" w:rsidR="00520668" w:rsidRDefault="00520668" w:rsidP="00520668">
            <w:pPr>
              <w:jc w:val="left"/>
              <w:rPr>
                <w:bCs/>
                <w:szCs w:val="17"/>
              </w:rPr>
            </w:pPr>
            <w:r>
              <w:rPr>
                <w:bCs/>
                <w:szCs w:val="17"/>
              </w:rPr>
              <w:t xml:space="preserve">The </w:t>
            </w:r>
            <w:r w:rsidR="005E1289">
              <w:rPr>
                <w:bCs/>
                <w:szCs w:val="17"/>
              </w:rPr>
              <w:t xml:space="preserve">RSR </w:t>
            </w:r>
            <w:r>
              <w:rPr>
                <w:bCs/>
                <w:szCs w:val="17"/>
              </w:rPr>
              <w:t xml:space="preserve">should be </w:t>
            </w:r>
            <w:r w:rsidR="005E1289">
              <w:rPr>
                <w:bCs/>
                <w:szCs w:val="17"/>
              </w:rPr>
              <w:t xml:space="preserve">provided to NSAs every </w:t>
            </w:r>
            <w:r>
              <w:rPr>
                <w:bCs/>
                <w:szCs w:val="17"/>
              </w:rPr>
              <w:t xml:space="preserve">2 years and </w:t>
            </w:r>
            <w:r w:rsidR="005E1289">
              <w:rPr>
                <w:bCs/>
                <w:szCs w:val="17"/>
              </w:rPr>
              <w:t xml:space="preserve">every </w:t>
            </w:r>
            <w:r>
              <w:rPr>
                <w:bCs/>
                <w:szCs w:val="17"/>
              </w:rPr>
              <w:t xml:space="preserve">3 years for </w:t>
            </w:r>
            <w:r w:rsidR="005E1289">
              <w:rPr>
                <w:bCs/>
                <w:szCs w:val="17"/>
              </w:rPr>
              <w:t>LRPU (i</w:t>
            </w:r>
            <w:r>
              <w:rPr>
                <w:bCs/>
                <w:szCs w:val="17"/>
              </w:rPr>
              <w:t>nstead of the 3 years for all the undertakings</w:t>
            </w:r>
            <w:r w:rsidR="005E1289">
              <w:rPr>
                <w:bCs/>
                <w:szCs w:val="17"/>
              </w:rPr>
              <w:t>)</w:t>
            </w:r>
            <w:r>
              <w:rPr>
                <w:bCs/>
                <w:szCs w:val="17"/>
              </w:rPr>
              <w:t>.</w:t>
            </w:r>
          </w:p>
        </w:tc>
        <w:tc>
          <w:tcPr>
            <w:tcW w:w="1909" w:type="dxa"/>
            <w:vAlign w:val="center"/>
          </w:tcPr>
          <w:p w14:paraId="316DC749" w14:textId="77777777" w:rsidR="00520668" w:rsidRPr="00E76E73" w:rsidRDefault="00520668" w:rsidP="00520668">
            <w:pPr>
              <w:jc w:val="center"/>
              <w:rPr>
                <w:szCs w:val="17"/>
              </w:rPr>
            </w:pPr>
            <w:r w:rsidRPr="00E76E73">
              <w:rPr>
                <w:szCs w:val="17"/>
              </w:rPr>
              <w:t>Hahn</w:t>
            </w:r>
          </w:p>
        </w:tc>
        <w:tc>
          <w:tcPr>
            <w:tcW w:w="2543" w:type="dxa"/>
            <w:vAlign w:val="center"/>
          </w:tcPr>
          <w:p w14:paraId="78BC2AF1" w14:textId="1D644E8C" w:rsidR="00437ABD" w:rsidRDefault="00C12894" w:rsidP="00437ABD">
            <w:pPr>
              <w:spacing w:line="240" w:lineRule="auto"/>
              <w:jc w:val="center"/>
              <w:rPr>
                <w:rFonts w:cs="Calibri"/>
                <w:color w:val="000000"/>
                <w:szCs w:val="17"/>
              </w:rPr>
            </w:pPr>
            <w:r w:rsidRPr="00C12894">
              <w:rPr>
                <w:rFonts w:cs="Calibri"/>
                <w:color w:val="000000"/>
                <w:szCs w:val="17"/>
              </w:rPr>
              <w:t>Reporting/proportionality</w:t>
            </w:r>
          </w:p>
          <w:p w14:paraId="5B8303D3" w14:textId="77777777" w:rsidR="00520668" w:rsidRPr="00D007AB" w:rsidRDefault="00520668" w:rsidP="00520668">
            <w:pPr>
              <w:jc w:val="center"/>
              <w:rPr>
                <w:bCs/>
                <w:szCs w:val="17"/>
              </w:rPr>
            </w:pPr>
          </w:p>
        </w:tc>
        <w:tc>
          <w:tcPr>
            <w:tcW w:w="1293" w:type="dxa"/>
            <w:vAlign w:val="center"/>
          </w:tcPr>
          <w:p w14:paraId="4C369A5B" w14:textId="77777777" w:rsidR="00520668" w:rsidRPr="00F63B3C" w:rsidRDefault="00520668" w:rsidP="00520668">
            <w:pPr>
              <w:jc w:val="center"/>
              <w:rPr>
                <w:b/>
                <w:color w:val="808080" w:themeColor="background1" w:themeShade="80"/>
                <w:szCs w:val="17"/>
              </w:rPr>
            </w:pPr>
            <w:r w:rsidRPr="00E72AD5">
              <w:rPr>
                <w:b/>
                <w:color w:val="FF0000"/>
                <w:szCs w:val="17"/>
              </w:rPr>
              <w:t>Negative</w:t>
            </w:r>
          </w:p>
        </w:tc>
      </w:tr>
      <w:tr w:rsidR="00520668" w:rsidRPr="00D43554" w14:paraId="60C6A2EC" w14:textId="77777777" w:rsidTr="00424768">
        <w:trPr>
          <w:trHeight w:val="499"/>
        </w:trPr>
        <w:tc>
          <w:tcPr>
            <w:tcW w:w="689" w:type="dxa"/>
            <w:vAlign w:val="center"/>
          </w:tcPr>
          <w:p w14:paraId="6F7F36F2" w14:textId="77777777" w:rsidR="00520668" w:rsidRDefault="00520668" w:rsidP="00520668">
            <w:pPr>
              <w:jc w:val="center"/>
              <w:rPr>
                <w:bCs/>
                <w:szCs w:val="17"/>
              </w:rPr>
            </w:pPr>
            <w:r>
              <w:rPr>
                <w:bCs/>
                <w:szCs w:val="17"/>
              </w:rPr>
              <w:t>234</w:t>
            </w:r>
          </w:p>
        </w:tc>
        <w:tc>
          <w:tcPr>
            <w:tcW w:w="1909" w:type="dxa"/>
            <w:vAlign w:val="center"/>
          </w:tcPr>
          <w:p w14:paraId="7E6BE675" w14:textId="77777777" w:rsidR="00520668" w:rsidRPr="004A6D0C" w:rsidRDefault="00520668" w:rsidP="00520668">
            <w:pPr>
              <w:jc w:val="center"/>
              <w:rPr>
                <w:bCs/>
                <w:szCs w:val="17"/>
              </w:rPr>
            </w:pPr>
            <w:r w:rsidRPr="004A6D0C">
              <w:rPr>
                <w:bCs/>
                <w:szCs w:val="17"/>
              </w:rPr>
              <w:t>Recital 1</w:t>
            </w:r>
            <w:r>
              <w:rPr>
                <w:bCs/>
                <w:szCs w:val="17"/>
              </w:rPr>
              <w:t>9</w:t>
            </w:r>
          </w:p>
        </w:tc>
        <w:tc>
          <w:tcPr>
            <w:tcW w:w="6116" w:type="dxa"/>
          </w:tcPr>
          <w:p w14:paraId="0C752326" w14:textId="4FC1F6AB" w:rsidR="00520668" w:rsidRDefault="00520668" w:rsidP="00520668">
            <w:pPr>
              <w:jc w:val="left"/>
              <w:rPr>
                <w:bCs/>
                <w:szCs w:val="17"/>
              </w:rPr>
            </w:pPr>
            <w:r w:rsidRPr="0097429E">
              <w:rPr>
                <w:bCs/>
                <w:szCs w:val="17"/>
              </w:rPr>
              <w:t>Reporting and disclosure deadlines</w:t>
            </w:r>
            <w:r>
              <w:rPr>
                <w:bCs/>
                <w:szCs w:val="17"/>
              </w:rPr>
              <w:t xml:space="preserve"> could by extended by EIOPA</w:t>
            </w:r>
            <w:r w:rsidR="00157A18">
              <w:rPr>
                <w:bCs/>
                <w:szCs w:val="17"/>
              </w:rPr>
              <w:t xml:space="preserve"> i</w:t>
            </w:r>
            <w:r>
              <w:rPr>
                <w:bCs/>
                <w:szCs w:val="17"/>
              </w:rPr>
              <w:t>nstead of the Commission</w:t>
            </w:r>
          </w:p>
        </w:tc>
        <w:tc>
          <w:tcPr>
            <w:tcW w:w="1909" w:type="dxa"/>
            <w:vAlign w:val="center"/>
          </w:tcPr>
          <w:p w14:paraId="04D21A09" w14:textId="77777777" w:rsidR="00520668" w:rsidRPr="00E76E73" w:rsidRDefault="00520668" w:rsidP="00520668">
            <w:pPr>
              <w:jc w:val="center"/>
              <w:rPr>
                <w:szCs w:val="17"/>
              </w:rPr>
            </w:pPr>
            <w:r w:rsidRPr="00E76E73">
              <w:rPr>
                <w:szCs w:val="17"/>
              </w:rPr>
              <w:t>MacManus</w:t>
            </w:r>
          </w:p>
        </w:tc>
        <w:tc>
          <w:tcPr>
            <w:tcW w:w="2543" w:type="dxa"/>
            <w:vAlign w:val="center"/>
          </w:tcPr>
          <w:p w14:paraId="0B3D8BB6" w14:textId="08467E59" w:rsidR="00520668" w:rsidRPr="00D007AB" w:rsidRDefault="00C12894" w:rsidP="00C12894">
            <w:pPr>
              <w:spacing w:line="240" w:lineRule="auto"/>
              <w:jc w:val="center"/>
              <w:rPr>
                <w:bCs/>
                <w:szCs w:val="17"/>
              </w:rPr>
            </w:pPr>
            <w:r w:rsidRPr="00C12894">
              <w:rPr>
                <w:bCs/>
                <w:szCs w:val="17"/>
              </w:rPr>
              <w:t>Reporting</w:t>
            </w:r>
          </w:p>
        </w:tc>
        <w:tc>
          <w:tcPr>
            <w:tcW w:w="1293" w:type="dxa"/>
            <w:vAlign w:val="center"/>
          </w:tcPr>
          <w:p w14:paraId="532580AF" w14:textId="263DDEB2" w:rsidR="00520668" w:rsidRPr="00E72AD5" w:rsidRDefault="002B7CE3" w:rsidP="00520668">
            <w:pPr>
              <w:jc w:val="center"/>
              <w:rPr>
                <w:b/>
                <w:color w:val="FF0000"/>
                <w:szCs w:val="17"/>
              </w:rPr>
            </w:pPr>
            <w:r w:rsidRPr="00F63B3C">
              <w:rPr>
                <w:b/>
                <w:color w:val="808080" w:themeColor="background1" w:themeShade="80"/>
                <w:szCs w:val="17"/>
              </w:rPr>
              <w:t>Neutral</w:t>
            </w:r>
          </w:p>
        </w:tc>
      </w:tr>
      <w:tr w:rsidR="00520668" w:rsidRPr="00D43554" w14:paraId="748F954C" w14:textId="77777777" w:rsidTr="00424768">
        <w:trPr>
          <w:trHeight w:val="499"/>
        </w:trPr>
        <w:tc>
          <w:tcPr>
            <w:tcW w:w="689" w:type="dxa"/>
            <w:vAlign w:val="center"/>
          </w:tcPr>
          <w:p w14:paraId="3F652069" w14:textId="77777777" w:rsidR="00520668" w:rsidRDefault="00520668" w:rsidP="00520668">
            <w:pPr>
              <w:jc w:val="center"/>
              <w:rPr>
                <w:bCs/>
                <w:szCs w:val="17"/>
              </w:rPr>
            </w:pPr>
            <w:r>
              <w:rPr>
                <w:bCs/>
                <w:szCs w:val="17"/>
              </w:rPr>
              <w:t>235</w:t>
            </w:r>
          </w:p>
        </w:tc>
        <w:tc>
          <w:tcPr>
            <w:tcW w:w="1909" w:type="dxa"/>
            <w:vAlign w:val="center"/>
          </w:tcPr>
          <w:p w14:paraId="25992C78" w14:textId="77777777" w:rsidR="00520668" w:rsidRPr="004A6D0C" w:rsidRDefault="00520668" w:rsidP="00520668">
            <w:pPr>
              <w:jc w:val="center"/>
              <w:rPr>
                <w:bCs/>
                <w:szCs w:val="17"/>
              </w:rPr>
            </w:pPr>
            <w:r w:rsidRPr="00AB6AC1">
              <w:rPr>
                <w:bCs/>
                <w:szCs w:val="17"/>
              </w:rPr>
              <w:t xml:space="preserve">Recital </w:t>
            </w:r>
            <w:r>
              <w:rPr>
                <w:bCs/>
                <w:szCs w:val="17"/>
              </w:rPr>
              <w:t>20</w:t>
            </w:r>
            <w:r w:rsidRPr="00AB6AC1">
              <w:rPr>
                <w:bCs/>
                <w:szCs w:val="17"/>
              </w:rPr>
              <w:t xml:space="preserve"> </w:t>
            </w:r>
            <w:r>
              <w:rPr>
                <w:bCs/>
                <w:szCs w:val="17"/>
              </w:rPr>
              <w:t>a</w:t>
            </w:r>
            <w:r w:rsidRPr="00AB6AC1">
              <w:rPr>
                <w:bCs/>
                <w:szCs w:val="17"/>
              </w:rPr>
              <w:t xml:space="preserve"> (new)</w:t>
            </w:r>
          </w:p>
        </w:tc>
        <w:tc>
          <w:tcPr>
            <w:tcW w:w="6116" w:type="dxa"/>
          </w:tcPr>
          <w:p w14:paraId="004BC6A6" w14:textId="77777777" w:rsidR="00520668" w:rsidRPr="0097429E" w:rsidRDefault="00520668" w:rsidP="00520668">
            <w:pPr>
              <w:jc w:val="left"/>
              <w:rPr>
                <w:bCs/>
                <w:szCs w:val="17"/>
              </w:rPr>
            </w:pPr>
            <w:r>
              <w:rPr>
                <w:bCs/>
                <w:szCs w:val="17"/>
              </w:rPr>
              <w:t xml:space="preserve">Reference to </w:t>
            </w:r>
            <w:r w:rsidRPr="0014124A">
              <w:rPr>
                <w:bCs/>
                <w:szCs w:val="17"/>
              </w:rPr>
              <w:t xml:space="preserve">cyber risks </w:t>
            </w:r>
            <w:r>
              <w:rPr>
                <w:bCs/>
                <w:szCs w:val="17"/>
              </w:rPr>
              <w:t xml:space="preserve">and how these need to </w:t>
            </w:r>
            <w:r w:rsidRPr="0014124A">
              <w:rPr>
                <w:bCs/>
                <w:szCs w:val="17"/>
              </w:rPr>
              <w:t>be better taken into account by insurers as part of their operational risks</w:t>
            </w:r>
            <w:r>
              <w:rPr>
                <w:bCs/>
                <w:szCs w:val="17"/>
              </w:rPr>
              <w:t>.</w:t>
            </w:r>
          </w:p>
        </w:tc>
        <w:tc>
          <w:tcPr>
            <w:tcW w:w="1909" w:type="dxa"/>
            <w:vAlign w:val="center"/>
          </w:tcPr>
          <w:p w14:paraId="7610739E" w14:textId="77777777" w:rsidR="00520668" w:rsidRPr="00E76E73" w:rsidRDefault="00520668" w:rsidP="00520668">
            <w:pPr>
              <w:jc w:val="center"/>
              <w:rPr>
                <w:szCs w:val="17"/>
              </w:rPr>
            </w:pPr>
            <w:r w:rsidRPr="00E76E73">
              <w:rPr>
                <w:szCs w:val="17"/>
              </w:rPr>
              <w:t>Yon-Courtin, Boyer</w:t>
            </w:r>
          </w:p>
        </w:tc>
        <w:tc>
          <w:tcPr>
            <w:tcW w:w="2543" w:type="dxa"/>
            <w:vAlign w:val="center"/>
          </w:tcPr>
          <w:p w14:paraId="70305FC5" w14:textId="1369CA31" w:rsidR="00520668" w:rsidRPr="00D007AB" w:rsidRDefault="0084773B" w:rsidP="00520668">
            <w:pPr>
              <w:jc w:val="center"/>
              <w:rPr>
                <w:bCs/>
                <w:szCs w:val="17"/>
              </w:rPr>
            </w:pPr>
            <w:r>
              <w:rPr>
                <w:bCs/>
                <w:szCs w:val="17"/>
              </w:rPr>
              <w:t>Cyber risks</w:t>
            </w:r>
          </w:p>
        </w:tc>
        <w:tc>
          <w:tcPr>
            <w:tcW w:w="1293" w:type="dxa"/>
            <w:vAlign w:val="center"/>
          </w:tcPr>
          <w:p w14:paraId="0AD6FC09" w14:textId="77777777" w:rsidR="00520668" w:rsidRPr="00E72AD5" w:rsidRDefault="00520668" w:rsidP="00520668">
            <w:pPr>
              <w:jc w:val="center"/>
              <w:rPr>
                <w:b/>
                <w:color w:val="FF0000"/>
                <w:szCs w:val="17"/>
              </w:rPr>
            </w:pPr>
            <w:r w:rsidRPr="00F63B3C">
              <w:rPr>
                <w:b/>
                <w:color w:val="808080" w:themeColor="background1" w:themeShade="80"/>
                <w:szCs w:val="17"/>
              </w:rPr>
              <w:t>Neutral</w:t>
            </w:r>
          </w:p>
        </w:tc>
      </w:tr>
      <w:tr w:rsidR="00520668" w:rsidRPr="00D43554" w14:paraId="3389939D" w14:textId="77777777" w:rsidTr="00424768">
        <w:trPr>
          <w:trHeight w:val="499"/>
        </w:trPr>
        <w:tc>
          <w:tcPr>
            <w:tcW w:w="689" w:type="dxa"/>
            <w:vAlign w:val="center"/>
          </w:tcPr>
          <w:p w14:paraId="435F6F02" w14:textId="77777777" w:rsidR="00520668" w:rsidRPr="00607854" w:rsidRDefault="00520668" w:rsidP="00520668">
            <w:pPr>
              <w:jc w:val="center"/>
              <w:rPr>
                <w:bCs/>
                <w:szCs w:val="17"/>
              </w:rPr>
            </w:pPr>
            <w:r w:rsidRPr="00607854">
              <w:rPr>
                <w:bCs/>
                <w:szCs w:val="17"/>
              </w:rPr>
              <w:t>236</w:t>
            </w:r>
          </w:p>
        </w:tc>
        <w:tc>
          <w:tcPr>
            <w:tcW w:w="1909" w:type="dxa"/>
            <w:vAlign w:val="center"/>
          </w:tcPr>
          <w:p w14:paraId="3F3276DE" w14:textId="77777777" w:rsidR="00520668" w:rsidRPr="00607854" w:rsidRDefault="00520668" w:rsidP="00520668">
            <w:pPr>
              <w:jc w:val="center"/>
              <w:rPr>
                <w:bCs/>
                <w:szCs w:val="17"/>
              </w:rPr>
            </w:pPr>
            <w:r w:rsidRPr="00607854">
              <w:rPr>
                <w:bCs/>
                <w:szCs w:val="17"/>
              </w:rPr>
              <w:t>Recital 21</w:t>
            </w:r>
          </w:p>
        </w:tc>
        <w:tc>
          <w:tcPr>
            <w:tcW w:w="6116" w:type="dxa"/>
          </w:tcPr>
          <w:p w14:paraId="0E070602" w14:textId="56A6E1C3" w:rsidR="00520668" w:rsidRPr="00607854" w:rsidRDefault="00520668" w:rsidP="00520668">
            <w:pPr>
              <w:jc w:val="left"/>
              <w:rPr>
                <w:bCs/>
                <w:szCs w:val="17"/>
              </w:rPr>
            </w:pPr>
            <w:r w:rsidRPr="00607854">
              <w:rPr>
                <w:bCs/>
                <w:szCs w:val="17"/>
              </w:rPr>
              <w:t xml:space="preserve">Inclusion of climate change </w:t>
            </w:r>
            <w:r w:rsidR="000A101B" w:rsidRPr="00607854">
              <w:rPr>
                <w:bCs/>
                <w:szCs w:val="17"/>
              </w:rPr>
              <w:t>development</w:t>
            </w:r>
            <w:r w:rsidR="00EE3DB0" w:rsidRPr="00607854">
              <w:rPr>
                <w:bCs/>
                <w:szCs w:val="17"/>
              </w:rPr>
              <w:t>s</w:t>
            </w:r>
            <w:r w:rsidR="000A101B" w:rsidRPr="00607854">
              <w:rPr>
                <w:bCs/>
                <w:szCs w:val="17"/>
              </w:rPr>
              <w:t xml:space="preserve"> </w:t>
            </w:r>
            <w:r w:rsidR="00EE3DB0" w:rsidRPr="00607854">
              <w:rPr>
                <w:bCs/>
                <w:szCs w:val="17"/>
              </w:rPr>
              <w:t>within</w:t>
            </w:r>
            <w:r w:rsidRPr="00607854">
              <w:rPr>
                <w:bCs/>
                <w:szCs w:val="17"/>
              </w:rPr>
              <w:t xml:space="preserve"> macroprudential considerations</w:t>
            </w:r>
            <w:r w:rsidR="00607854" w:rsidRPr="00607854">
              <w:rPr>
                <w:bCs/>
                <w:szCs w:val="17"/>
              </w:rPr>
              <w:t>.</w:t>
            </w:r>
          </w:p>
        </w:tc>
        <w:tc>
          <w:tcPr>
            <w:tcW w:w="1909" w:type="dxa"/>
            <w:vAlign w:val="center"/>
          </w:tcPr>
          <w:p w14:paraId="3E7E28A8" w14:textId="77777777" w:rsidR="00520668" w:rsidRPr="00607854" w:rsidRDefault="00520668" w:rsidP="00520668">
            <w:pPr>
              <w:jc w:val="center"/>
              <w:rPr>
                <w:bCs/>
                <w:szCs w:val="17"/>
              </w:rPr>
            </w:pPr>
            <w:r w:rsidRPr="00607854">
              <w:rPr>
                <w:bCs/>
                <w:szCs w:val="17"/>
              </w:rPr>
              <w:t>Hahn</w:t>
            </w:r>
          </w:p>
        </w:tc>
        <w:tc>
          <w:tcPr>
            <w:tcW w:w="2543" w:type="dxa"/>
            <w:vAlign w:val="center"/>
          </w:tcPr>
          <w:p w14:paraId="08EA9C23" w14:textId="68D2C050" w:rsidR="00520668" w:rsidRPr="00607854" w:rsidRDefault="00684AD1" w:rsidP="00520668">
            <w:pPr>
              <w:jc w:val="center"/>
              <w:rPr>
                <w:bCs/>
                <w:szCs w:val="17"/>
              </w:rPr>
            </w:pPr>
            <w:r w:rsidRPr="00607854">
              <w:rPr>
                <w:bCs/>
                <w:szCs w:val="17"/>
              </w:rPr>
              <w:t>Macroprudential</w:t>
            </w:r>
          </w:p>
        </w:tc>
        <w:tc>
          <w:tcPr>
            <w:tcW w:w="1293" w:type="dxa"/>
            <w:vAlign w:val="center"/>
          </w:tcPr>
          <w:p w14:paraId="2B749BCB" w14:textId="77777777" w:rsidR="00520668" w:rsidRPr="00607854" w:rsidRDefault="00520668" w:rsidP="00520668">
            <w:pPr>
              <w:jc w:val="center"/>
              <w:rPr>
                <w:b/>
                <w:color w:val="808080" w:themeColor="background1" w:themeShade="80"/>
                <w:szCs w:val="17"/>
              </w:rPr>
            </w:pPr>
            <w:r w:rsidRPr="00607854">
              <w:rPr>
                <w:b/>
                <w:color w:val="808080" w:themeColor="background1" w:themeShade="80"/>
                <w:szCs w:val="17"/>
              </w:rPr>
              <w:t>Neutral</w:t>
            </w:r>
          </w:p>
        </w:tc>
      </w:tr>
      <w:tr w:rsidR="00520668" w:rsidRPr="00D43554" w14:paraId="0A47DFB7" w14:textId="77777777" w:rsidTr="00424768">
        <w:trPr>
          <w:trHeight w:val="499"/>
        </w:trPr>
        <w:tc>
          <w:tcPr>
            <w:tcW w:w="689" w:type="dxa"/>
            <w:vAlign w:val="center"/>
          </w:tcPr>
          <w:p w14:paraId="3FF0B1D8" w14:textId="77777777" w:rsidR="00520668" w:rsidRDefault="00520668" w:rsidP="00520668">
            <w:pPr>
              <w:jc w:val="center"/>
              <w:rPr>
                <w:bCs/>
                <w:szCs w:val="17"/>
              </w:rPr>
            </w:pPr>
            <w:r>
              <w:rPr>
                <w:bCs/>
                <w:szCs w:val="17"/>
              </w:rPr>
              <w:lastRenderedPageBreak/>
              <w:t>237</w:t>
            </w:r>
          </w:p>
        </w:tc>
        <w:tc>
          <w:tcPr>
            <w:tcW w:w="1909" w:type="dxa"/>
            <w:vAlign w:val="center"/>
          </w:tcPr>
          <w:p w14:paraId="0FE39412" w14:textId="77777777" w:rsidR="00520668" w:rsidRPr="00AB6AC1" w:rsidRDefault="00520668" w:rsidP="00520668">
            <w:pPr>
              <w:jc w:val="center"/>
              <w:rPr>
                <w:bCs/>
                <w:szCs w:val="17"/>
              </w:rPr>
            </w:pPr>
            <w:r w:rsidRPr="00027AC4">
              <w:rPr>
                <w:bCs/>
                <w:szCs w:val="17"/>
              </w:rPr>
              <w:t>Recital 21</w:t>
            </w:r>
          </w:p>
        </w:tc>
        <w:tc>
          <w:tcPr>
            <w:tcW w:w="6116" w:type="dxa"/>
          </w:tcPr>
          <w:p w14:paraId="28B43FE5" w14:textId="2CF3C15C" w:rsidR="00520668" w:rsidRDefault="0084773B" w:rsidP="00520668">
            <w:pPr>
              <w:jc w:val="left"/>
              <w:rPr>
                <w:bCs/>
                <w:szCs w:val="17"/>
              </w:rPr>
            </w:pPr>
            <w:r>
              <w:rPr>
                <w:bCs/>
                <w:szCs w:val="17"/>
              </w:rPr>
              <w:t>Macroprudential considerations</w:t>
            </w:r>
            <w:r w:rsidR="008A2F66">
              <w:rPr>
                <w:bCs/>
                <w:szCs w:val="17"/>
              </w:rPr>
              <w:t xml:space="preserve"> to be included in underwriting activities (as well as investment and risk management)</w:t>
            </w:r>
            <w:r w:rsidR="00691E2F">
              <w:rPr>
                <w:bCs/>
                <w:szCs w:val="17"/>
              </w:rPr>
              <w:t>.</w:t>
            </w:r>
          </w:p>
        </w:tc>
        <w:tc>
          <w:tcPr>
            <w:tcW w:w="1909" w:type="dxa"/>
            <w:vAlign w:val="center"/>
          </w:tcPr>
          <w:p w14:paraId="2604075D" w14:textId="77777777" w:rsidR="00520668" w:rsidRPr="008719A8" w:rsidRDefault="00520668" w:rsidP="00520668">
            <w:pPr>
              <w:jc w:val="center"/>
              <w:rPr>
                <w:bCs/>
                <w:szCs w:val="17"/>
              </w:rPr>
            </w:pPr>
            <w:r w:rsidRPr="00E76E73">
              <w:rPr>
                <w:szCs w:val="17"/>
              </w:rPr>
              <w:t>Yon-Courtin, Boyer</w:t>
            </w:r>
          </w:p>
        </w:tc>
        <w:tc>
          <w:tcPr>
            <w:tcW w:w="2543" w:type="dxa"/>
            <w:vAlign w:val="center"/>
          </w:tcPr>
          <w:p w14:paraId="039B4618" w14:textId="4C455EA5" w:rsidR="00520668" w:rsidRPr="00D007AB" w:rsidRDefault="00684AD1" w:rsidP="00520668">
            <w:pPr>
              <w:jc w:val="center"/>
              <w:rPr>
                <w:bCs/>
                <w:szCs w:val="17"/>
              </w:rPr>
            </w:pPr>
            <w:r>
              <w:rPr>
                <w:bCs/>
                <w:szCs w:val="17"/>
              </w:rPr>
              <w:t>Macroprudential</w:t>
            </w:r>
          </w:p>
        </w:tc>
        <w:tc>
          <w:tcPr>
            <w:tcW w:w="1293" w:type="dxa"/>
            <w:vAlign w:val="center"/>
          </w:tcPr>
          <w:p w14:paraId="76DCA8E2" w14:textId="77777777" w:rsidR="00520668" w:rsidRPr="00F63B3C" w:rsidRDefault="00520668" w:rsidP="00520668">
            <w:pPr>
              <w:jc w:val="center"/>
              <w:rPr>
                <w:b/>
                <w:color w:val="808080" w:themeColor="background1" w:themeShade="80"/>
                <w:szCs w:val="17"/>
              </w:rPr>
            </w:pPr>
            <w:r w:rsidRPr="00F63B3C">
              <w:rPr>
                <w:b/>
                <w:color w:val="808080" w:themeColor="background1" w:themeShade="80"/>
                <w:szCs w:val="17"/>
              </w:rPr>
              <w:t>Neutral</w:t>
            </w:r>
          </w:p>
        </w:tc>
      </w:tr>
      <w:tr w:rsidR="00520668" w:rsidRPr="00D43554" w14:paraId="1766EABD" w14:textId="77777777" w:rsidTr="00424768">
        <w:trPr>
          <w:trHeight w:val="499"/>
        </w:trPr>
        <w:tc>
          <w:tcPr>
            <w:tcW w:w="689" w:type="dxa"/>
            <w:vAlign w:val="center"/>
          </w:tcPr>
          <w:p w14:paraId="025E1B78" w14:textId="4B0AE652" w:rsidR="00520668" w:rsidRDefault="00520668" w:rsidP="00520668">
            <w:pPr>
              <w:jc w:val="center"/>
              <w:rPr>
                <w:bCs/>
                <w:szCs w:val="17"/>
              </w:rPr>
            </w:pPr>
            <w:r>
              <w:rPr>
                <w:bCs/>
                <w:szCs w:val="17"/>
              </w:rPr>
              <w:t>238</w:t>
            </w:r>
          </w:p>
        </w:tc>
        <w:tc>
          <w:tcPr>
            <w:tcW w:w="1909" w:type="dxa"/>
            <w:vAlign w:val="center"/>
          </w:tcPr>
          <w:p w14:paraId="6F506F9B" w14:textId="7C32A2A4" w:rsidR="00520668" w:rsidRPr="00027AC4" w:rsidRDefault="00520668" w:rsidP="00520668">
            <w:pPr>
              <w:jc w:val="center"/>
              <w:rPr>
                <w:bCs/>
                <w:szCs w:val="17"/>
              </w:rPr>
            </w:pPr>
            <w:r w:rsidRPr="009E2719">
              <w:rPr>
                <w:bCs/>
                <w:szCs w:val="17"/>
              </w:rPr>
              <w:t>Recital 2</w:t>
            </w:r>
            <w:r>
              <w:rPr>
                <w:bCs/>
                <w:szCs w:val="17"/>
              </w:rPr>
              <w:t>2</w:t>
            </w:r>
          </w:p>
        </w:tc>
        <w:tc>
          <w:tcPr>
            <w:tcW w:w="6116" w:type="dxa"/>
          </w:tcPr>
          <w:p w14:paraId="7BD6832B" w14:textId="60AEA878" w:rsidR="00520668" w:rsidRDefault="002F2F5B" w:rsidP="00520668">
            <w:pPr>
              <w:jc w:val="left"/>
              <w:rPr>
                <w:bCs/>
                <w:szCs w:val="17"/>
              </w:rPr>
            </w:pPr>
            <w:r>
              <w:rPr>
                <w:bCs/>
                <w:szCs w:val="17"/>
              </w:rPr>
              <w:t>I</w:t>
            </w:r>
            <w:r w:rsidR="00520668">
              <w:rPr>
                <w:bCs/>
                <w:szCs w:val="17"/>
              </w:rPr>
              <w:t xml:space="preserve">nclusion </w:t>
            </w:r>
            <w:r w:rsidR="003E78BE">
              <w:rPr>
                <w:bCs/>
                <w:szCs w:val="17"/>
              </w:rPr>
              <w:t>of macropru</w:t>
            </w:r>
            <w:r>
              <w:rPr>
                <w:bCs/>
                <w:szCs w:val="17"/>
              </w:rPr>
              <w:t>dential</w:t>
            </w:r>
            <w:r w:rsidR="003E78BE">
              <w:rPr>
                <w:bCs/>
                <w:szCs w:val="17"/>
              </w:rPr>
              <w:t xml:space="preserve"> considerations in ORSA is at </w:t>
            </w:r>
            <w:r w:rsidR="00520668">
              <w:rPr>
                <w:bCs/>
                <w:szCs w:val="17"/>
              </w:rPr>
              <w:t>request</w:t>
            </w:r>
            <w:r w:rsidR="003E78BE">
              <w:rPr>
                <w:bCs/>
                <w:szCs w:val="17"/>
              </w:rPr>
              <w:t xml:space="preserve"> of NSA</w:t>
            </w:r>
            <w:r w:rsidR="00520668">
              <w:rPr>
                <w:bCs/>
                <w:szCs w:val="17"/>
              </w:rPr>
              <w:t xml:space="preserve">. EIOPA </w:t>
            </w:r>
            <w:r w:rsidR="003E78BE">
              <w:rPr>
                <w:bCs/>
                <w:szCs w:val="17"/>
              </w:rPr>
              <w:t xml:space="preserve">to </w:t>
            </w:r>
            <w:r w:rsidR="00520668">
              <w:rPr>
                <w:bCs/>
                <w:szCs w:val="17"/>
              </w:rPr>
              <w:t xml:space="preserve">develop guidelines </w:t>
            </w:r>
            <w:r w:rsidR="003E78BE">
              <w:rPr>
                <w:bCs/>
                <w:szCs w:val="17"/>
              </w:rPr>
              <w:t>to ensure consistent application by NSAs</w:t>
            </w:r>
            <w:r w:rsidR="009A71C9">
              <w:rPr>
                <w:bCs/>
                <w:szCs w:val="17"/>
              </w:rPr>
              <w:t>.</w:t>
            </w:r>
          </w:p>
        </w:tc>
        <w:tc>
          <w:tcPr>
            <w:tcW w:w="1909" w:type="dxa"/>
            <w:vAlign w:val="center"/>
          </w:tcPr>
          <w:p w14:paraId="6F73151C" w14:textId="4BE2274D" w:rsidR="00520668" w:rsidRPr="00E76E73" w:rsidRDefault="00520668" w:rsidP="00520668">
            <w:pPr>
              <w:jc w:val="center"/>
              <w:rPr>
                <w:szCs w:val="17"/>
              </w:rPr>
            </w:pPr>
            <w:proofErr w:type="spellStart"/>
            <w:r w:rsidRPr="00E93D5D">
              <w:rPr>
                <w:bCs/>
                <w:szCs w:val="17"/>
              </w:rPr>
              <w:t>Heinäluoma</w:t>
            </w:r>
            <w:proofErr w:type="spellEnd"/>
          </w:p>
        </w:tc>
        <w:tc>
          <w:tcPr>
            <w:tcW w:w="2543" w:type="dxa"/>
            <w:vAlign w:val="center"/>
          </w:tcPr>
          <w:p w14:paraId="2CFDC331" w14:textId="1C4CB9A2" w:rsidR="00520668" w:rsidRPr="00D007AB" w:rsidRDefault="00684AD1" w:rsidP="00520668">
            <w:pPr>
              <w:jc w:val="center"/>
              <w:rPr>
                <w:bCs/>
                <w:szCs w:val="17"/>
              </w:rPr>
            </w:pPr>
            <w:r>
              <w:rPr>
                <w:bCs/>
                <w:szCs w:val="17"/>
              </w:rPr>
              <w:t>Macroprudential</w:t>
            </w:r>
          </w:p>
        </w:tc>
        <w:tc>
          <w:tcPr>
            <w:tcW w:w="1293" w:type="dxa"/>
            <w:vAlign w:val="center"/>
          </w:tcPr>
          <w:p w14:paraId="1E35F78F" w14:textId="3E0A92EF" w:rsidR="00520668" w:rsidRPr="00F63B3C" w:rsidRDefault="00520668" w:rsidP="00520668">
            <w:pPr>
              <w:jc w:val="center"/>
              <w:rPr>
                <w:b/>
                <w:color w:val="808080" w:themeColor="background1" w:themeShade="80"/>
                <w:szCs w:val="17"/>
              </w:rPr>
            </w:pPr>
            <w:r w:rsidRPr="00F63B3C">
              <w:rPr>
                <w:b/>
                <w:color w:val="00B050"/>
                <w:szCs w:val="17"/>
              </w:rPr>
              <w:t>Positive</w:t>
            </w:r>
          </w:p>
        </w:tc>
      </w:tr>
      <w:tr w:rsidR="00520668" w:rsidRPr="00D43554" w14:paraId="036045B8" w14:textId="77777777" w:rsidTr="00424768">
        <w:trPr>
          <w:trHeight w:val="499"/>
        </w:trPr>
        <w:tc>
          <w:tcPr>
            <w:tcW w:w="689" w:type="dxa"/>
            <w:shd w:val="clear" w:color="auto" w:fill="auto"/>
            <w:vAlign w:val="center"/>
          </w:tcPr>
          <w:p w14:paraId="2CAEDEC7" w14:textId="36B3AC1F" w:rsidR="00520668" w:rsidRPr="00E07ECB" w:rsidRDefault="00520668" w:rsidP="00520668">
            <w:pPr>
              <w:jc w:val="center"/>
              <w:rPr>
                <w:bCs/>
                <w:szCs w:val="17"/>
              </w:rPr>
            </w:pPr>
            <w:r>
              <w:rPr>
                <w:bCs/>
                <w:szCs w:val="17"/>
              </w:rPr>
              <w:t>239</w:t>
            </w:r>
          </w:p>
        </w:tc>
        <w:tc>
          <w:tcPr>
            <w:tcW w:w="1909" w:type="dxa"/>
            <w:shd w:val="clear" w:color="auto" w:fill="auto"/>
            <w:vAlign w:val="center"/>
          </w:tcPr>
          <w:p w14:paraId="4BA53EBA" w14:textId="25DEFE2D" w:rsidR="00520668" w:rsidRPr="00E07ECB" w:rsidRDefault="00520668" w:rsidP="00520668">
            <w:pPr>
              <w:jc w:val="center"/>
              <w:rPr>
                <w:bCs/>
                <w:szCs w:val="17"/>
              </w:rPr>
            </w:pPr>
            <w:r w:rsidRPr="009E2719">
              <w:rPr>
                <w:bCs/>
                <w:szCs w:val="17"/>
              </w:rPr>
              <w:t>Recital 2</w:t>
            </w:r>
            <w:r>
              <w:rPr>
                <w:bCs/>
                <w:szCs w:val="17"/>
              </w:rPr>
              <w:t>2</w:t>
            </w:r>
          </w:p>
        </w:tc>
        <w:tc>
          <w:tcPr>
            <w:tcW w:w="6116" w:type="dxa"/>
            <w:shd w:val="clear" w:color="auto" w:fill="auto"/>
          </w:tcPr>
          <w:p w14:paraId="1D643585" w14:textId="76C9C0D0" w:rsidR="00520668" w:rsidRPr="00E07ECB" w:rsidRDefault="00520668" w:rsidP="009A71C9">
            <w:pPr>
              <w:jc w:val="left"/>
              <w:rPr>
                <w:bCs/>
                <w:szCs w:val="17"/>
              </w:rPr>
            </w:pPr>
            <w:r>
              <w:rPr>
                <w:bCs/>
                <w:szCs w:val="17"/>
              </w:rPr>
              <w:t>Inclusion of acronyms (ORSA)</w:t>
            </w:r>
          </w:p>
        </w:tc>
        <w:tc>
          <w:tcPr>
            <w:tcW w:w="1909" w:type="dxa"/>
            <w:shd w:val="clear" w:color="auto" w:fill="auto"/>
            <w:vAlign w:val="center"/>
          </w:tcPr>
          <w:p w14:paraId="286601E4" w14:textId="34F6DBCE" w:rsidR="00520668" w:rsidRPr="00E07ECB" w:rsidRDefault="00520668" w:rsidP="00520668">
            <w:pPr>
              <w:jc w:val="center"/>
              <w:rPr>
                <w:bCs/>
                <w:szCs w:val="17"/>
              </w:rPr>
            </w:pPr>
            <w:r w:rsidRPr="00E76E73">
              <w:rPr>
                <w:szCs w:val="17"/>
              </w:rPr>
              <w:t>Yon-Courtin, Boyer</w:t>
            </w:r>
          </w:p>
        </w:tc>
        <w:tc>
          <w:tcPr>
            <w:tcW w:w="2543" w:type="dxa"/>
            <w:shd w:val="clear" w:color="auto" w:fill="auto"/>
            <w:vAlign w:val="center"/>
          </w:tcPr>
          <w:p w14:paraId="6C6341BF" w14:textId="7D5B4B91" w:rsidR="00520668" w:rsidRPr="00E07ECB" w:rsidRDefault="00520668" w:rsidP="00520668">
            <w:pPr>
              <w:jc w:val="center"/>
              <w:rPr>
                <w:bCs/>
                <w:szCs w:val="17"/>
              </w:rPr>
            </w:pPr>
            <w:r>
              <w:rPr>
                <w:bCs/>
                <w:szCs w:val="17"/>
              </w:rPr>
              <w:t>Editorial</w:t>
            </w:r>
          </w:p>
        </w:tc>
        <w:tc>
          <w:tcPr>
            <w:tcW w:w="1293" w:type="dxa"/>
            <w:shd w:val="clear" w:color="auto" w:fill="auto"/>
            <w:vAlign w:val="center"/>
          </w:tcPr>
          <w:p w14:paraId="36DE25E3" w14:textId="326F02CC" w:rsidR="00520668" w:rsidRPr="00E07ECB" w:rsidRDefault="00520668" w:rsidP="00520668">
            <w:pPr>
              <w:jc w:val="center"/>
              <w:rPr>
                <w:bCs/>
                <w:szCs w:val="17"/>
              </w:rPr>
            </w:pPr>
            <w:r w:rsidRPr="00F63B3C">
              <w:rPr>
                <w:b/>
                <w:color w:val="808080" w:themeColor="background1" w:themeShade="80"/>
                <w:szCs w:val="17"/>
              </w:rPr>
              <w:t>Neutral</w:t>
            </w:r>
          </w:p>
        </w:tc>
      </w:tr>
      <w:tr w:rsidR="00520668" w:rsidRPr="00D43554" w14:paraId="2C364277" w14:textId="77777777" w:rsidTr="00424768">
        <w:trPr>
          <w:trHeight w:val="499"/>
        </w:trPr>
        <w:tc>
          <w:tcPr>
            <w:tcW w:w="689" w:type="dxa"/>
            <w:shd w:val="clear" w:color="auto" w:fill="auto"/>
            <w:vAlign w:val="center"/>
          </w:tcPr>
          <w:p w14:paraId="29200314" w14:textId="7F4E356C" w:rsidR="00520668" w:rsidRPr="00E07ECB" w:rsidRDefault="00520668" w:rsidP="00520668">
            <w:pPr>
              <w:jc w:val="center"/>
              <w:rPr>
                <w:bCs/>
                <w:szCs w:val="17"/>
              </w:rPr>
            </w:pPr>
            <w:r>
              <w:rPr>
                <w:bCs/>
                <w:szCs w:val="17"/>
              </w:rPr>
              <w:t>240</w:t>
            </w:r>
          </w:p>
        </w:tc>
        <w:tc>
          <w:tcPr>
            <w:tcW w:w="1909" w:type="dxa"/>
            <w:shd w:val="clear" w:color="auto" w:fill="auto"/>
            <w:vAlign w:val="center"/>
          </w:tcPr>
          <w:p w14:paraId="4C22DAD3" w14:textId="76647707" w:rsidR="00520668" w:rsidRPr="00E07ECB" w:rsidRDefault="00520668" w:rsidP="00520668">
            <w:pPr>
              <w:jc w:val="center"/>
              <w:rPr>
                <w:bCs/>
                <w:szCs w:val="17"/>
              </w:rPr>
            </w:pPr>
            <w:r w:rsidRPr="009E2719">
              <w:rPr>
                <w:bCs/>
                <w:szCs w:val="17"/>
              </w:rPr>
              <w:t>Recital 2</w:t>
            </w:r>
            <w:r>
              <w:rPr>
                <w:bCs/>
                <w:szCs w:val="17"/>
              </w:rPr>
              <w:t xml:space="preserve">2 a </w:t>
            </w:r>
            <w:r w:rsidRPr="00E76E73">
              <w:rPr>
                <w:szCs w:val="17"/>
              </w:rPr>
              <w:t>(new)</w:t>
            </w:r>
          </w:p>
        </w:tc>
        <w:tc>
          <w:tcPr>
            <w:tcW w:w="6116" w:type="dxa"/>
            <w:shd w:val="clear" w:color="auto" w:fill="auto"/>
          </w:tcPr>
          <w:p w14:paraId="1C1494E0" w14:textId="2781E7ED" w:rsidR="00520668" w:rsidRDefault="00520668" w:rsidP="009A71C9">
            <w:pPr>
              <w:jc w:val="left"/>
              <w:rPr>
                <w:bCs/>
                <w:szCs w:val="17"/>
              </w:rPr>
            </w:pPr>
            <w:r>
              <w:rPr>
                <w:bCs/>
                <w:szCs w:val="17"/>
              </w:rPr>
              <w:t xml:space="preserve">Additional power </w:t>
            </w:r>
            <w:r w:rsidR="004B5C9B">
              <w:rPr>
                <w:bCs/>
                <w:szCs w:val="17"/>
              </w:rPr>
              <w:t xml:space="preserve">for </w:t>
            </w:r>
            <w:r>
              <w:rPr>
                <w:bCs/>
                <w:szCs w:val="17"/>
              </w:rPr>
              <w:t>NSA</w:t>
            </w:r>
            <w:r w:rsidR="004B5C9B">
              <w:rPr>
                <w:bCs/>
                <w:szCs w:val="17"/>
              </w:rPr>
              <w:t>s</w:t>
            </w:r>
            <w:r>
              <w:rPr>
                <w:bCs/>
                <w:szCs w:val="17"/>
              </w:rPr>
              <w:t xml:space="preserve"> to set a </w:t>
            </w:r>
            <w:r w:rsidRPr="00F77A8C">
              <w:rPr>
                <w:bCs/>
                <w:szCs w:val="17"/>
              </w:rPr>
              <w:t>capital add-on to address one or more entity, activity-, or behaviour-based sources of systemic risk</w:t>
            </w:r>
            <w:r w:rsidR="0093793A">
              <w:rPr>
                <w:bCs/>
                <w:szCs w:val="17"/>
              </w:rPr>
              <w:t>, whenever deemed necessary</w:t>
            </w:r>
            <w:r w:rsidRPr="00F77A8C">
              <w:rPr>
                <w:bCs/>
                <w:szCs w:val="17"/>
              </w:rPr>
              <w:t>.</w:t>
            </w:r>
            <w:r w:rsidR="00530BB6">
              <w:rPr>
                <w:bCs/>
                <w:szCs w:val="17"/>
              </w:rPr>
              <w:t xml:space="preserve"> NSAs should document the rationale</w:t>
            </w:r>
            <w:r w:rsidR="00C44C41">
              <w:rPr>
                <w:bCs/>
                <w:szCs w:val="17"/>
              </w:rPr>
              <w:t xml:space="preserve"> and apply it in a proportionate way.</w:t>
            </w:r>
          </w:p>
          <w:p w14:paraId="05EED8E9" w14:textId="77777777" w:rsidR="002F2F5B" w:rsidRDefault="002F2F5B" w:rsidP="009A71C9">
            <w:pPr>
              <w:jc w:val="left"/>
              <w:rPr>
                <w:bCs/>
                <w:szCs w:val="17"/>
              </w:rPr>
            </w:pPr>
          </w:p>
          <w:p w14:paraId="7031B235" w14:textId="5B0F54FE" w:rsidR="00520668" w:rsidRPr="00E07ECB" w:rsidRDefault="00914831" w:rsidP="009A71C9">
            <w:pPr>
              <w:jc w:val="left"/>
              <w:rPr>
                <w:bCs/>
                <w:szCs w:val="17"/>
              </w:rPr>
            </w:pPr>
            <w:r>
              <w:rPr>
                <w:bCs/>
                <w:szCs w:val="17"/>
              </w:rPr>
              <w:t>EC should adopt DA, to set procedure/trigger</w:t>
            </w:r>
            <w:r w:rsidR="00B34FE2">
              <w:rPr>
                <w:bCs/>
                <w:szCs w:val="17"/>
              </w:rPr>
              <w:t>/</w:t>
            </w:r>
            <w:r w:rsidR="002F2F5B">
              <w:rPr>
                <w:bCs/>
                <w:szCs w:val="17"/>
              </w:rPr>
              <w:t>calculation</w:t>
            </w:r>
            <w:r w:rsidR="00B34FE2">
              <w:rPr>
                <w:bCs/>
                <w:szCs w:val="17"/>
              </w:rPr>
              <w:t>/removal</w:t>
            </w:r>
            <w:r w:rsidR="002F2F5B">
              <w:rPr>
                <w:bCs/>
                <w:szCs w:val="17"/>
              </w:rPr>
              <w:t>.</w:t>
            </w:r>
          </w:p>
        </w:tc>
        <w:tc>
          <w:tcPr>
            <w:tcW w:w="1909" w:type="dxa"/>
            <w:shd w:val="clear" w:color="auto" w:fill="auto"/>
            <w:vAlign w:val="center"/>
          </w:tcPr>
          <w:p w14:paraId="3D8E8820" w14:textId="6D7ACB22" w:rsidR="00520668" w:rsidRPr="00E07ECB" w:rsidRDefault="00520668" w:rsidP="00520668">
            <w:pPr>
              <w:jc w:val="center"/>
              <w:rPr>
                <w:bCs/>
                <w:szCs w:val="17"/>
              </w:rPr>
            </w:pPr>
            <w:proofErr w:type="spellStart"/>
            <w:r w:rsidRPr="00E93D5D">
              <w:rPr>
                <w:bCs/>
                <w:szCs w:val="17"/>
              </w:rPr>
              <w:t>Heinäluoma</w:t>
            </w:r>
            <w:proofErr w:type="spellEnd"/>
          </w:p>
        </w:tc>
        <w:tc>
          <w:tcPr>
            <w:tcW w:w="2543" w:type="dxa"/>
            <w:shd w:val="clear" w:color="auto" w:fill="auto"/>
            <w:vAlign w:val="center"/>
          </w:tcPr>
          <w:p w14:paraId="20090A9E" w14:textId="484960DF" w:rsidR="00520668" w:rsidRPr="00E07ECB" w:rsidRDefault="00FD5F43" w:rsidP="00520668">
            <w:pPr>
              <w:jc w:val="center"/>
              <w:rPr>
                <w:bCs/>
                <w:szCs w:val="17"/>
              </w:rPr>
            </w:pPr>
            <w:r>
              <w:rPr>
                <w:bCs/>
                <w:szCs w:val="17"/>
              </w:rPr>
              <w:t>Macroprudential</w:t>
            </w:r>
          </w:p>
        </w:tc>
        <w:tc>
          <w:tcPr>
            <w:tcW w:w="1293" w:type="dxa"/>
            <w:shd w:val="clear" w:color="auto" w:fill="auto"/>
            <w:vAlign w:val="center"/>
          </w:tcPr>
          <w:p w14:paraId="15E924D2" w14:textId="1ACFC965" w:rsidR="00520668" w:rsidRPr="00E07ECB" w:rsidRDefault="00520668" w:rsidP="00520668">
            <w:pPr>
              <w:jc w:val="center"/>
              <w:rPr>
                <w:bCs/>
                <w:szCs w:val="17"/>
              </w:rPr>
            </w:pPr>
            <w:r w:rsidRPr="00E72AD5">
              <w:rPr>
                <w:b/>
                <w:color w:val="FF0000"/>
                <w:szCs w:val="17"/>
              </w:rPr>
              <w:t>Negative</w:t>
            </w:r>
          </w:p>
        </w:tc>
      </w:tr>
      <w:tr w:rsidR="00520668" w:rsidRPr="00D43554" w14:paraId="760016C9" w14:textId="77777777" w:rsidTr="00424768">
        <w:trPr>
          <w:trHeight w:val="499"/>
        </w:trPr>
        <w:tc>
          <w:tcPr>
            <w:tcW w:w="689" w:type="dxa"/>
            <w:shd w:val="clear" w:color="auto" w:fill="auto"/>
            <w:vAlign w:val="center"/>
          </w:tcPr>
          <w:p w14:paraId="306DECDA" w14:textId="77777777" w:rsidR="00520668" w:rsidRDefault="00520668" w:rsidP="00520668">
            <w:pPr>
              <w:jc w:val="center"/>
              <w:rPr>
                <w:bCs/>
                <w:szCs w:val="17"/>
              </w:rPr>
            </w:pPr>
            <w:r>
              <w:rPr>
                <w:bCs/>
                <w:szCs w:val="17"/>
              </w:rPr>
              <w:t>241</w:t>
            </w:r>
          </w:p>
          <w:p w14:paraId="0DAF6C97" w14:textId="042433C7" w:rsidR="00520668" w:rsidRPr="00E07ECB" w:rsidRDefault="00520668" w:rsidP="00520668">
            <w:pPr>
              <w:jc w:val="center"/>
              <w:rPr>
                <w:bCs/>
                <w:szCs w:val="17"/>
              </w:rPr>
            </w:pPr>
            <w:r>
              <w:rPr>
                <w:bCs/>
                <w:szCs w:val="17"/>
              </w:rPr>
              <w:t>242</w:t>
            </w:r>
          </w:p>
        </w:tc>
        <w:tc>
          <w:tcPr>
            <w:tcW w:w="1909" w:type="dxa"/>
            <w:shd w:val="clear" w:color="auto" w:fill="auto"/>
            <w:vAlign w:val="center"/>
          </w:tcPr>
          <w:p w14:paraId="7BE2FED4" w14:textId="77777777" w:rsidR="00520668" w:rsidRDefault="00520668" w:rsidP="00520668">
            <w:pPr>
              <w:jc w:val="center"/>
              <w:rPr>
                <w:bCs/>
                <w:szCs w:val="17"/>
              </w:rPr>
            </w:pPr>
            <w:r w:rsidRPr="008641D2">
              <w:rPr>
                <w:bCs/>
                <w:szCs w:val="17"/>
              </w:rPr>
              <w:t>Recital 2</w:t>
            </w:r>
            <w:r>
              <w:rPr>
                <w:bCs/>
                <w:szCs w:val="17"/>
              </w:rPr>
              <w:t>4</w:t>
            </w:r>
          </w:p>
          <w:p w14:paraId="1DE59787" w14:textId="4E570B4B" w:rsidR="00520668" w:rsidRPr="00E07ECB" w:rsidRDefault="00520668" w:rsidP="00520668">
            <w:pPr>
              <w:jc w:val="center"/>
              <w:rPr>
                <w:bCs/>
                <w:szCs w:val="17"/>
              </w:rPr>
            </w:pPr>
            <w:r>
              <w:rPr>
                <w:bCs/>
                <w:szCs w:val="17"/>
              </w:rPr>
              <w:t>Recital 25</w:t>
            </w:r>
          </w:p>
        </w:tc>
        <w:tc>
          <w:tcPr>
            <w:tcW w:w="6116" w:type="dxa"/>
            <w:shd w:val="clear" w:color="auto" w:fill="auto"/>
          </w:tcPr>
          <w:p w14:paraId="7C5914E2" w14:textId="77777777" w:rsidR="00520668" w:rsidRPr="00690941" w:rsidRDefault="00520668" w:rsidP="00690941">
            <w:pPr>
              <w:jc w:val="left"/>
              <w:rPr>
                <w:bCs/>
                <w:szCs w:val="17"/>
              </w:rPr>
            </w:pPr>
            <w:r w:rsidRPr="00690941">
              <w:rPr>
                <w:bCs/>
                <w:szCs w:val="17"/>
              </w:rPr>
              <w:t>Removal of “or body” or “</w:t>
            </w:r>
            <w:proofErr w:type="gramStart"/>
            <w:r w:rsidRPr="00690941">
              <w:rPr>
                <w:bCs/>
                <w:szCs w:val="17"/>
              </w:rPr>
              <w:t>bodies”  in</w:t>
            </w:r>
            <w:proofErr w:type="gramEnd"/>
            <w:r w:rsidRPr="00690941">
              <w:rPr>
                <w:bCs/>
                <w:szCs w:val="17"/>
              </w:rPr>
              <w:t xml:space="preserve"> the following sentences:</w:t>
            </w:r>
          </w:p>
          <w:p w14:paraId="00831DBD" w14:textId="77777777" w:rsidR="00520668" w:rsidRDefault="00520668" w:rsidP="00690941">
            <w:pPr>
              <w:pStyle w:val="Odsekzoznamu"/>
              <w:numPr>
                <w:ilvl w:val="0"/>
                <w:numId w:val="5"/>
              </w:numPr>
              <w:jc w:val="left"/>
              <w:rPr>
                <w:bCs/>
                <w:szCs w:val="17"/>
              </w:rPr>
            </w:pPr>
            <w:r w:rsidRPr="005F5EDE">
              <w:rPr>
                <w:bCs/>
                <w:szCs w:val="17"/>
              </w:rPr>
              <w:t>The macroprudential policy can be pursued by the supervisory authority or by another authority</w:t>
            </w:r>
            <w:r w:rsidRPr="00690941">
              <w:rPr>
                <w:bCs/>
                <w:szCs w:val="17"/>
              </w:rPr>
              <w:t xml:space="preserve"> </w:t>
            </w:r>
            <w:r w:rsidRPr="00DA133E">
              <w:rPr>
                <w:strike/>
                <w:szCs w:val="17"/>
              </w:rPr>
              <w:t>or body</w:t>
            </w:r>
            <w:r w:rsidRPr="00690941">
              <w:rPr>
                <w:bCs/>
                <w:szCs w:val="17"/>
              </w:rPr>
              <w:t xml:space="preserve"> </w:t>
            </w:r>
            <w:r w:rsidRPr="005F5EDE">
              <w:rPr>
                <w:bCs/>
                <w:szCs w:val="17"/>
              </w:rPr>
              <w:t>entrusted with this purpose.</w:t>
            </w:r>
          </w:p>
          <w:p w14:paraId="0BF2D224" w14:textId="4118840C" w:rsidR="00520668" w:rsidRPr="00E07ECB" w:rsidRDefault="00520668" w:rsidP="00690941">
            <w:pPr>
              <w:pStyle w:val="Odsekzoznamu"/>
              <w:numPr>
                <w:ilvl w:val="0"/>
                <w:numId w:val="5"/>
              </w:numPr>
              <w:jc w:val="left"/>
              <w:rPr>
                <w:bCs/>
                <w:szCs w:val="17"/>
              </w:rPr>
            </w:pPr>
            <w:r w:rsidRPr="00690941">
              <w:rPr>
                <w:bCs/>
                <w:szCs w:val="17"/>
              </w:rPr>
              <w:t xml:space="preserve">Good coordination between supervisory authorities and the </w:t>
            </w:r>
            <w:r w:rsidRPr="00DA133E">
              <w:rPr>
                <w:strike/>
                <w:szCs w:val="17"/>
              </w:rPr>
              <w:t>relevant bodies</w:t>
            </w:r>
            <w:r w:rsidRPr="00690941">
              <w:rPr>
                <w:bCs/>
                <w:szCs w:val="17"/>
              </w:rPr>
              <w:t xml:space="preserve"> and authorities</w:t>
            </w:r>
          </w:p>
        </w:tc>
        <w:tc>
          <w:tcPr>
            <w:tcW w:w="1909" w:type="dxa"/>
            <w:shd w:val="clear" w:color="auto" w:fill="auto"/>
            <w:vAlign w:val="center"/>
          </w:tcPr>
          <w:p w14:paraId="7D74561D" w14:textId="648E9687" w:rsidR="00520668" w:rsidRPr="00E07ECB" w:rsidRDefault="00520668" w:rsidP="00520668">
            <w:pPr>
              <w:jc w:val="center"/>
              <w:rPr>
                <w:bCs/>
                <w:szCs w:val="17"/>
              </w:rPr>
            </w:pPr>
            <w:r w:rsidRPr="00E76E73">
              <w:rPr>
                <w:szCs w:val="17"/>
              </w:rPr>
              <w:t>Yon-Courtin, Boyer</w:t>
            </w:r>
          </w:p>
        </w:tc>
        <w:tc>
          <w:tcPr>
            <w:tcW w:w="2543" w:type="dxa"/>
            <w:shd w:val="clear" w:color="auto" w:fill="auto"/>
            <w:vAlign w:val="center"/>
          </w:tcPr>
          <w:p w14:paraId="731888B9" w14:textId="294F0418" w:rsidR="00520668" w:rsidRPr="00E07ECB" w:rsidRDefault="00FD5F43" w:rsidP="00520668">
            <w:pPr>
              <w:jc w:val="center"/>
              <w:rPr>
                <w:bCs/>
                <w:szCs w:val="17"/>
              </w:rPr>
            </w:pPr>
            <w:r>
              <w:rPr>
                <w:bCs/>
                <w:szCs w:val="17"/>
              </w:rPr>
              <w:t>Editorial</w:t>
            </w:r>
          </w:p>
        </w:tc>
        <w:tc>
          <w:tcPr>
            <w:tcW w:w="1293" w:type="dxa"/>
            <w:shd w:val="clear" w:color="auto" w:fill="auto"/>
            <w:vAlign w:val="center"/>
          </w:tcPr>
          <w:p w14:paraId="0F421A85" w14:textId="4D319A00" w:rsidR="00520668" w:rsidRPr="00E07ECB" w:rsidRDefault="00520668" w:rsidP="00520668">
            <w:pPr>
              <w:jc w:val="center"/>
              <w:rPr>
                <w:bCs/>
                <w:szCs w:val="17"/>
              </w:rPr>
            </w:pPr>
            <w:r w:rsidRPr="00F63B3C">
              <w:rPr>
                <w:b/>
                <w:color w:val="808080" w:themeColor="background1" w:themeShade="80"/>
                <w:szCs w:val="17"/>
              </w:rPr>
              <w:t>Neutral</w:t>
            </w:r>
          </w:p>
        </w:tc>
      </w:tr>
      <w:tr w:rsidR="00520668" w:rsidRPr="00D43554" w14:paraId="412F2F82" w14:textId="77777777" w:rsidTr="00424768">
        <w:trPr>
          <w:trHeight w:val="612"/>
        </w:trPr>
        <w:tc>
          <w:tcPr>
            <w:tcW w:w="689" w:type="dxa"/>
            <w:shd w:val="clear" w:color="auto" w:fill="auto"/>
            <w:vAlign w:val="center"/>
          </w:tcPr>
          <w:p w14:paraId="4049CFD1" w14:textId="02EDCD7E" w:rsidR="00520668" w:rsidRPr="00E07ECB" w:rsidRDefault="00520668" w:rsidP="00520668">
            <w:pPr>
              <w:jc w:val="center"/>
              <w:rPr>
                <w:bCs/>
                <w:szCs w:val="17"/>
              </w:rPr>
            </w:pPr>
            <w:r>
              <w:rPr>
                <w:bCs/>
                <w:szCs w:val="17"/>
              </w:rPr>
              <w:t>243</w:t>
            </w:r>
          </w:p>
        </w:tc>
        <w:tc>
          <w:tcPr>
            <w:tcW w:w="1909" w:type="dxa"/>
            <w:shd w:val="clear" w:color="auto" w:fill="auto"/>
            <w:vAlign w:val="center"/>
          </w:tcPr>
          <w:p w14:paraId="6AB66DC0" w14:textId="77F105EE" w:rsidR="00520668" w:rsidRPr="00E07ECB" w:rsidRDefault="00520668" w:rsidP="00520668">
            <w:pPr>
              <w:jc w:val="center"/>
              <w:rPr>
                <w:bCs/>
                <w:szCs w:val="17"/>
              </w:rPr>
            </w:pPr>
            <w:r>
              <w:rPr>
                <w:bCs/>
                <w:szCs w:val="17"/>
              </w:rPr>
              <w:t>Recital 26</w:t>
            </w:r>
          </w:p>
        </w:tc>
        <w:tc>
          <w:tcPr>
            <w:tcW w:w="6116" w:type="dxa"/>
            <w:shd w:val="clear" w:color="auto" w:fill="auto"/>
          </w:tcPr>
          <w:p w14:paraId="739D3D02" w14:textId="14EE2329" w:rsidR="00520668" w:rsidRPr="00E07ECB" w:rsidRDefault="00520668" w:rsidP="009A71C9">
            <w:pPr>
              <w:jc w:val="left"/>
              <w:rPr>
                <w:bCs/>
                <w:szCs w:val="17"/>
              </w:rPr>
            </w:pPr>
            <w:r>
              <w:rPr>
                <w:bCs/>
                <w:szCs w:val="17"/>
              </w:rPr>
              <w:t>Removal of the recital</w:t>
            </w:r>
            <w:r w:rsidR="00440502">
              <w:rPr>
                <w:bCs/>
                <w:szCs w:val="17"/>
              </w:rPr>
              <w:t xml:space="preserve"> </w:t>
            </w:r>
            <w:r w:rsidR="00CC6B54">
              <w:rPr>
                <w:bCs/>
                <w:szCs w:val="17"/>
              </w:rPr>
              <w:t xml:space="preserve">on </w:t>
            </w:r>
            <w:r>
              <w:rPr>
                <w:bCs/>
                <w:szCs w:val="17"/>
              </w:rPr>
              <w:t>climate risk in ORSA</w:t>
            </w:r>
          </w:p>
        </w:tc>
        <w:tc>
          <w:tcPr>
            <w:tcW w:w="1909" w:type="dxa"/>
            <w:shd w:val="clear" w:color="auto" w:fill="auto"/>
            <w:vAlign w:val="center"/>
          </w:tcPr>
          <w:p w14:paraId="723A62E5" w14:textId="0AD62A44" w:rsidR="00520668" w:rsidRPr="00E07ECB" w:rsidRDefault="00520668" w:rsidP="00520668">
            <w:pPr>
              <w:jc w:val="center"/>
              <w:rPr>
                <w:bCs/>
                <w:szCs w:val="17"/>
              </w:rPr>
            </w:pPr>
            <w:proofErr w:type="spellStart"/>
            <w:r w:rsidRPr="00E76E73">
              <w:rPr>
                <w:szCs w:val="17"/>
              </w:rPr>
              <w:t>Zanni</w:t>
            </w:r>
            <w:proofErr w:type="spellEnd"/>
            <w:r w:rsidRPr="00E76E73">
              <w:rPr>
                <w:szCs w:val="17"/>
              </w:rPr>
              <w:t>, Grant, Rinaldi</w:t>
            </w:r>
          </w:p>
        </w:tc>
        <w:tc>
          <w:tcPr>
            <w:tcW w:w="2543" w:type="dxa"/>
            <w:shd w:val="clear" w:color="auto" w:fill="auto"/>
            <w:vAlign w:val="center"/>
          </w:tcPr>
          <w:p w14:paraId="44F0DE0E" w14:textId="56AF8905" w:rsidR="00520668" w:rsidRPr="00E07ECB" w:rsidRDefault="00F875C9" w:rsidP="00520668">
            <w:pPr>
              <w:jc w:val="center"/>
              <w:rPr>
                <w:bCs/>
                <w:szCs w:val="17"/>
              </w:rPr>
            </w:pPr>
            <w:r>
              <w:rPr>
                <w:bCs/>
                <w:szCs w:val="17"/>
              </w:rPr>
              <w:t>Sustainable finance/ORSA</w:t>
            </w:r>
          </w:p>
        </w:tc>
        <w:tc>
          <w:tcPr>
            <w:tcW w:w="1293" w:type="dxa"/>
            <w:shd w:val="clear" w:color="auto" w:fill="auto"/>
            <w:vAlign w:val="center"/>
          </w:tcPr>
          <w:p w14:paraId="6783AA75" w14:textId="0DB964CE" w:rsidR="00520668" w:rsidRPr="00E07ECB" w:rsidRDefault="00DA133E" w:rsidP="00520668">
            <w:pPr>
              <w:jc w:val="center"/>
              <w:rPr>
                <w:bCs/>
                <w:szCs w:val="17"/>
              </w:rPr>
            </w:pPr>
            <w:r w:rsidRPr="00E76E73">
              <w:rPr>
                <w:b/>
                <w:color w:val="808080" w:themeColor="background1" w:themeShade="80"/>
                <w:szCs w:val="17"/>
              </w:rPr>
              <w:t>Neutral</w:t>
            </w:r>
          </w:p>
        </w:tc>
      </w:tr>
      <w:tr w:rsidR="00520668" w:rsidRPr="00D43554" w14:paraId="7A2C3C91" w14:textId="77777777" w:rsidTr="00424768">
        <w:trPr>
          <w:trHeight w:val="499"/>
        </w:trPr>
        <w:tc>
          <w:tcPr>
            <w:tcW w:w="689" w:type="dxa"/>
            <w:shd w:val="clear" w:color="auto" w:fill="auto"/>
            <w:vAlign w:val="center"/>
          </w:tcPr>
          <w:p w14:paraId="13BE2953" w14:textId="4F932B4B" w:rsidR="00520668" w:rsidRPr="00E07ECB" w:rsidRDefault="00520668" w:rsidP="00520668">
            <w:pPr>
              <w:jc w:val="center"/>
              <w:rPr>
                <w:bCs/>
                <w:szCs w:val="17"/>
              </w:rPr>
            </w:pPr>
            <w:r>
              <w:rPr>
                <w:bCs/>
                <w:szCs w:val="17"/>
              </w:rPr>
              <w:t>244</w:t>
            </w:r>
          </w:p>
        </w:tc>
        <w:tc>
          <w:tcPr>
            <w:tcW w:w="1909" w:type="dxa"/>
            <w:shd w:val="clear" w:color="auto" w:fill="auto"/>
            <w:vAlign w:val="center"/>
          </w:tcPr>
          <w:p w14:paraId="0144020A" w14:textId="5BF0BBC7" w:rsidR="00520668" w:rsidRPr="00E07ECB" w:rsidRDefault="00520668" w:rsidP="00520668">
            <w:pPr>
              <w:jc w:val="center"/>
              <w:rPr>
                <w:bCs/>
                <w:szCs w:val="17"/>
              </w:rPr>
            </w:pPr>
            <w:r>
              <w:rPr>
                <w:bCs/>
                <w:szCs w:val="17"/>
              </w:rPr>
              <w:t>Recital 26</w:t>
            </w:r>
          </w:p>
        </w:tc>
        <w:tc>
          <w:tcPr>
            <w:tcW w:w="6116" w:type="dxa"/>
            <w:shd w:val="clear" w:color="auto" w:fill="auto"/>
          </w:tcPr>
          <w:p w14:paraId="290EE58B" w14:textId="68BFED10" w:rsidR="00520668" w:rsidRPr="00E07ECB" w:rsidRDefault="00C9756A" w:rsidP="009A71C9">
            <w:pPr>
              <w:jc w:val="left"/>
              <w:rPr>
                <w:bCs/>
                <w:szCs w:val="17"/>
              </w:rPr>
            </w:pPr>
            <w:r>
              <w:rPr>
                <w:bCs/>
                <w:szCs w:val="17"/>
              </w:rPr>
              <w:t>A</w:t>
            </w:r>
            <w:r w:rsidR="00520668">
              <w:rPr>
                <w:bCs/>
                <w:szCs w:val="17"/>
              </w:rPr>
              <w:t xml:space="preserve">ll undertakings </w:t>
            </w:r>
            <w:r w:rsidR="000606EA">
              <w:rPr>
                <w:bCs/>
                <w:szCs w:val="17"/>
              </w:rPr>
              <w:t xml:space="preserve">should </w:t>
            </w:r>
            <w:r w:rsidR="005640E0">
              <w:rPr>
                <w:bCs/>
                <w:szCs w:val="17"/>
              </w:rPr>
              <w:t>analyse</w:t>
            </w:r>
            <w:r w:rsidR="0016213F">
              <w:rPr>
                <w:bCs/>
                <w:szCs w:val="17"/>
              </w:rPr>
              <w:t xml:space="preserve"> </w:t>
            </w:r>
            <w:r w:rsidR="003C6211">
              <w:rPr>
                <w:bCs/>
                <w:szCs w:val="17"/>
              </w:rPr>
              <w:t>the</w:t>
            </w:r>
            <w:r w:rsidR="00520668" w:rsidRPr="00695F80">
              <w:rPr>
                <w:bCs/>
                <w:szCs w:val="17"/>
              </w:rPr>
              <w:t xml:space="preserve"> </w:t>
            </w:r>
            <w:r w:rsidR="005640E0">
              <w:rPr>
                <w:bCs/>
                <w:szCs w:val="17"/>
              </w:rPr>
              <w:t xml:space="preserve">impact of </w:t>
            </w:r>
            <w:r w:rsidR="00520668" w:rsidRPr="00695F80">
              <w:rPr>
                <w:bCs/>
                <w:szCs w:val="17"/>
              </w:rPr>
              <w:t>long-term climate change risk scenarios</w:t>
            </w:r>
            <w:r w:rsidR="005640E0">
              <w:rPr>
                <w:bCs/>
                <w:szCs w:val="17"/>
              </w:rPr>
              <w:t xml:space="preserve"> (</w:t>
            </w:r>
            <w:r w:rsidR="00BE096F">
              <w:rPr>
                <w:bCs/>
                <w:szCs w:val="17"/>
              </w:rPr>
              <w:t>regardless of material exposure or not)</w:t>
            </w:r>
            <w:r w:rsidR="00520668">
              <w:rPr>
                <w:bCs/>
                <w:szCs w:val="17"/>
              </w:rPr>
              <w:t xml:space="preserve">. </w:t>
            </w:r>
            <w:r w:rsidR="00750DBC">
              <w:rPr>
                <w:bCs/>
                <w:szCs w:val="17"/>
              </w:rPr>
              <w:t>LRPUs are not exempted.</w:t>
            </w:r>
          </w:p>
        </w:tc>
        <w:tc>
          <w:tcPr>
            <w:tcW w:w="1909" w:type="dxa"/>
            <w:shd w:val="clear" w:color="auto" w:fill="auto"/>
            <w:vAlign w:val="center"/>
          </w:tcPr>
          <w:p w14:paraId="3B88C9E8" w14:textId="419331D7" w:rsidR="00520668" w:rsidRPr="00E07ECB" w:rsidRDefault="00520668" w:rsidP="00520668">
            <w:pPr>
              <w:jc w:val="center"/>
              <w:rPr>
                <w:bCs/>
                <w:szCs w:val="17"/>
              </w:rPr>
            </w:pPr>
            <w:r w:rsidRPr="00E76E73">
              <w:rPr>
                <w:szCs w:val="17"/>
              </w:rPr>
              <w:t>Hahn</w:t>
            </w:r>
          </w:p>
        </w:tc>
        <w:tc>
          <w:tcPr>
            <w:tcW w:w="2543" w:type="dxa"/>
            <w:shd w:val="clear" w:color="auto" w:fill="auto"/>
            <w:vAlign w:val="center"/>
          </w:tcPr>
          <w:p w14:paraId="09B6A868" w14:textId="4D8EAEE8" w:rsidR="00520668" w:rsidRPr="00E07ECB" w:rsidRDefault="00F875C9" w:rsidP="00520668">
            <w:pPr>
              <w:jc w:val="center"/>
              <w:rPr>
                <w:bCs/>
                <w:szCs w:val="17"/>
              </w:rPr>
            </w:pPr>
            <w:r>
              <w:rPr>
                <w:bCs/>
                <w:szCs w:val="17"/>
              </w:rPr>
              <w:t>Sustainable finance/ORSA</w:t>
            </w:r>
          </w:p>
        </w:tc>
        <w:tc>
          <w:tcPr>
            <w:tcW w:w="1293" w:type="dxa"/>
            <w:shd w:val="clear" w:color="auto" w:fill="auto"/>
            <w:vAlign w:val="center"/>
          </w:tcPr>
          <w:p w14:paraId="3F6754C7" w14:textId="6BFC65F4" w:rsidR="00520668" w:rsidRPr="00E07ECB" w:rsidRDefault="00520668" w:rsidP="00520668">
            <w:pPr>
              <w:jc w:val="center"/>
              <w:rPr>
                <w:bCs/>
                <w:szCs w:val="17"/>
              </w:rPr>
            </w:pPr>
            <w:r w:rsidRPr="00E72AD5">
              <w:rPr>
                <w:b/>
                <w:color w:val="FF0000"/>
                <w:szCs w:val="17"/>
              </w:rPr>
              <w:t>Negative</w:t>
            </w:r>
          </w:p>
        </w:tc>
      </w:tr>
      <w:tr w:rsidR="00520668" w:rsidRPr="00D43554" w14:paraId="52A78A9E" w14:textId="77777777" w:rsidTr="00424768">
        <w:trPr>
          <w:trHeight w:val="499"/>
        </w:trPr>
        <w:tc>
          <w:tcPr>
            <w:tcW w:w="689" w:type="dxa"/>
            <w:shd w:val="clear" w:color="auto" w:fill="auto"/>
            <w:vAlign w:val="center"/>
          </w:tcPr>
          <w:p w14:paraId="48B56C14" w14:textId="5E9BC0B3" w:rsidR="00520668" w:rsidRPr="00E07ECB" w:rsidRDefault="00520668" w:rsidP="00520668">
            <w:pPr>
              <w:jc w:val="center"/>
              <w:rPr>
                <w:bCs/>
                <w:szCs w:val="17"/>
              </w:rPr>
            </w:pPr>
            <w:r>
              <w:rPr>
                <w:bCs/>
                <w:szCs w:val="17"/>
              </w:rPr>
              <w:t>245</w:t>
            </w:r>
          </w:p>
        </w:tc>
        <w:tc>
          <w:tcPr>
            <w:tcW w:w="1909" w:type="dxa"/>
            <w:shd w:val="clear" w:color="auto" w:fill="auto"/>
            <w:vAlign w:val="center"/>
          </w:tcPr>
          <w:p w14:paraId="73001900" w14:textId="183C8C44" w:rsidR="00520668" w:rsidRPr="00E07ECB" w:rsidRDefault="00520668" w:rsidP="00520668">
            <w:pPr>
              <w:jc w:val="center"/>
              <w:rPr>
                <w:bCs/>
                <w:szCs w:val="17"/>
              </w:rPr>
            </w:pPr>
            <w:r w:rsidRPr="005F577C">
              <w:rPr>
                <w:bCs/>
                <w:szCs w:val="17"/>
              </w:rPr>
              <w:t>Recital 26</w:t>
            </w:r>
          </w:p>
        </w:tc>
        <w:tc>
          <w:tcPr>
            <w:tcW w:w="6116" w:type="dxa"/>
            <w:shd w:val="clear" w:color="auto" w:fill="auto"/>
          </w:tcPr>
          <w:p w14:paraId="65CBF7C1" w14:textId="7BC43603" w:rsidR="00520668" w:rsidRPr="00E07ECB" w:rsidRDefault="00520668" w:rsidP="009A71C9">
            <w:pPr>
              <w:jc w:val="left"/>
              <w:rPr>
                <w:bCs/>
                <w:szCs w:val="17"/>
              </w:rPr>
            </w:pPr>
            <w:r>
              <w:rPr>
                <w:bCs/>
                <w:szCs w:val="17"/>
              </w:rPr>
              <w:t xml:space="preserve">Undertaking should prove </w:t>
            </w:r>
            <w:r w:rsidRPr="00323736">
              <w:rPr>
                <w:bCs/>
                <w:szCs w:val="17"/>
              </w:rPr>
              <w:t>that it has no material exposure to climate change risks</w:t>
            </w:r>
            <w:r>
              <w:rPr>
                <w:bCs/>
                <w:szCs w:val="17"/>
              </w:rPr>
              <w:t xml:space="preserve">, to be excluded from the </w:t>
            </w:r>
            <w:r w:rsidR="00A13890" w:rsidRPr="00A13890">
              <w:rPr>
                <w:bCs/>
                <w:szCs w:val="17"/>
              </w:rPr>
              <w:t>analyses of the impact of long-term climate change risk scenarios</w:t>
            </w:r>
            <w:r w:rsidR="00735ACF">
              <w:rPr>
                <w:bCs/>
                <w:szCs w:val="17"/>
              </w:rPr>
              <w:t>.</w:t>
            </w:r>
          </w:p>
        </w:tc>
        <w:tc>
          <w:tcPr>
            <w:tcW w:w="1909" w:type="dxa"/>
            <w:shd w:val="clear" w:color="auto" w:fill="auto"/>
            <w:vAlign w:val="center"/>
          </w:tcPr>
          <w:p w14:paraId="5CEC9089" w14:textId="06873D5F" w:rsidR="00520668" w:rsidRPr="00E07ECB" w:rsidRDefault="00520668" w:rsidP="00520668">
            <w:pPr>
              <w:jc w:val="center"/>
              <w:rPr>
                <w:bCs/>
                <w:szCs w:val="17"/>
              </w:rPr>
            </w:pPr>
            <w:r w:rsidRPr="00E76E73">
              <w:rPr>
                <w:szCs w:val="17"/>
              </w:rPr>
              <w:t>MacManus</w:t>
            </w:r>
          </w:p>
        </w:tc>
        <w:tc>
          <w:tcPr>
            <w:tcW w:w="2543" w:type="dxa"/>
            <w:shd w:val="clear" w:color="auto" w:fill="auto"/>
            <w:vAlign w:val="center"/>
          </w:tcPr>
          <w:p w14:paraId="7A71C769" w14:textId="1E31C7E0" w:rsidR="00520668" w:rsidRPr="00E07ECB" w:rsidRDefault="00F875C9" w:rsidP="00520668">
            <w:pPr>
              <w:jc w:val="center"/>
              <w:rPr>
                <w:bCs/>
                <w:szCs w:val="17"/>
              </w:rPr>
            </w:pPr>
            <w:r>
              <w:rPr>
                <w:bCs/>
                <w:szCs w:val="17"/>
              </w:rPr>
              <w:t>Sustainable finance/ORSA</w:t>
            </w:r>
          </w:p>
        </w:tc>
        <w:tc>
          <w:tcPr>
            <w:tcW w:w="1293" w:type="dxa"/>
            <w:shd w:val="clear" w:color="auto" w:fill="auto"/>
            <w:vAlign w:val="center"/>
          </w:tcPr>
          <w:p w14:paraId="79FBF9B5" w14:textId="7705DADD" w:rsidR="00520668" w:rsidRPr="00DA133E" w:rsidRDefault="00DA133E" w:rsidP="00520668">
            <w:pPr>
              <w:jc w:val="center"/>
              <w:rPr>
                <w:szCs w:val="17"/>
                <w:highlight w:val="yellow"/>
              </w:rPr>
            </w:pPr>
            <w:r w:rsidRPr="00E76E73">
              <w:rPr>
                <w:b/>
                <w:color w:val="808080" w:themeColor="background1" w:themeShade="80"/>
                <w:szCs w:val="17"/>
              </w:rPr>
              <w:t>Neutral</w:t>
            </w:r>
            <w:r>
              <w:rPr>
                <w:b/>
                <w:color w:val="808080" w:themeColor="background1" w:themeShade="80"/>
                <w:szCs w:val="17"/>
              </w:rPr>
              <w:t xml:space="preserve"> </w:t>
            </w:r>
          </w:p>
        </w:tc>
      </w:tr>
      <w:tr w:rsidR="00520668" w:rsidRPr="00D43554" w14:paraId="13FD18B4" w14:textId="77777777" w:rsidTr="00424768">
        <w:trPr>
          <w:trHeight w:val="499"/>
        </w:trPr>
        <w:tc>
          <w:tcPr>
            <w:tcW w:w="689" w:type="dxa"/>
            <w:shd w:val="clear" w:color="auto" w:fill="auto"/>
            <w:vAlign w:val="center"/>
          </w:tcPr>
          <w:p w14:paraId="6D77018C" w14:textId="77777777" w:rsidR="00520668" w:rsidRDefault="00520668" w:rsidP="00520668">
            <w:pPr>
              <w:jc w:val="center"/>
              <w:rPr>
                <w:bCs/>
                <w:szCs w:val="17"/>
              </w:rPr>
            </w:pPr>
            <w:r>
              <w:rPr>
                <w:bCs/>
                <w:szCs w:val="17"/>
              </w:rPr>
              <w:t>246</w:t>
            </w:r>
          </w:p>
          <w:p w14:paraId="007D9E9A" w14:textId="09834855" w:rsidR="00520668" w:rsidRPr="00E07ECB" w:rsidRDefault="00520668" w:rsidP="00520668">
            <w:pPr>
              <w:jc w:val="center"/>
              <w:rPr>
                <w:bCs/>
                <w:szCs w:val="17"/>
              </w:rPr>
            </w:pPr>
            <w:r>
              <w:rPr>
                <w:bCs/>
                <w:szCs w:val="17"/>
              </w:rPr>
              <w:t>276</w:t>
            </w:r>
          </w:p>
        </w:tc>
        <w:tc>
          <w:tcPr>
            <w:tcW w:w="1909" w:type="dxa"/>
            <w:shd w:val="clear" w:color="auto" w:fill="auto"/>
            <w:vAlign w:val="center"/>
          </w:tcPr>
          <w:p w14:paraId="0C7A8AB9" w14:textId="77777777" w:rsidR="00520668" w:rsidRDefault="00520668" w:rsidP="00520668">
            <w:pPr>
              <w:jc w:val="center"/>
              <w:rPr>
                <w:bCs/>
                <w:szCs w:val="17"/>
              </w:rPr>
            </w:pPr>
            <w:r w:rsidRPr="009E2719">
              <w:rPr>
                <w:bCs/>
                <w:szCs w:val="17"/>
              </w:rPr>
              <w:t>Recital 2</w:t>
            </w:r>
            <w:r>
              <w:rPr>
                <w:bCs/>
                <w:szCs w:val="17"/>
              </w:rPr>
              <w:t>6</w:t>
            </w:r>
          </w:p>
          <w:p w14:paraId="6E3A2D32" w14:textId="54288444" w:rsidR="00520668" w:rsidRPr="00E07ECB" w:rsidRDefault="00520668" w:rsidP="00520668">
            <w:pPr>
              <w:jc w:val="center"/>
              <w:rPr>
                <w:bCs/>
                <w:szCs w:val="17"/>
              </w:rPr>
            </w:pPr>
            <w:r w:rsidRPr="009E2719">
              <w:rPr>
                <w:bCs/>
                <w:szCs w:val="17"/>
              </w:rPr>
              <w:t xml:space="preserve">Recital </w:t>
            </w:r>
            <w:r>
              <w:rPr>
                <w:bCs/>
                <w:szCs w:val="17"/>
              </w:rPr>
              <w:t>54</w:t>
            </w:r>
          </w:p>
        </w:tc>
        <w:tc>
          <w:tcPr>
            <w:tcW w:w="6116" w:type="dxa"/>
            <w:shd w:val="clear" w:color="auto" w:fill="auto"/>
          </w:tcPr>
          <w:p w14:paraId="48E4BA4C" w14:textId="31671339" w:rsidR="00520668" w:rsidRPr="00E07ECB" w:rsidRDefault="00520668" w:rsidP="009A71C9">
            <w:pPr>
              <w:jc w:val="left"/>
              <w:rPr>
                <w:bCs/>
                <w:szCs w:val="17"/>
              </w:rPr>
            </w:pPr>
            <w:r>
              <w:rPr>
                <w:bCs/>
                <w:szCs w:val="17"/>
              </w:rPr>
              <w:t>Inclusion of acronyms (SCR)</w:t>
            </w:r>
          </w:p>
        </w:tc>
        <w:tc>
          <w:tcPr>
            <w:tcW w:w="1909" w:type="dxa"/>
            <w:shd w:val="clear" w:color="auto" w:fill="auto"/>
            <w:vAlign w:val="center"/>
          </w:tcPr>
          <w:p w14:paraId="09CBC09E" w14:textId="5A594879" w:rsidR="00520668" w:rsidRPr="00E07ECB" w:rsidRDefault="00520668" w:rsidP="00520668">
            <w:pPr>
              <w:jc w:val="center"/>
              <w:rPr>
                <w:bCs/>
                <w:szCs w:val="17"/>
              </w:rPr>
            </w:pPr>
            <w:r w:rsidRPr="00E76E73">
              <w:rPr>
                <w:szCs w:val="17"/>
              </w:rPr>
              <w:t>Yon-Courtin, Boyer</w:t>
            </w:r>
          </w:p>
        </w:tc>
        <w:tc>
          <w:tcPr>
            <w:tcW w:w="2543" w:type="dxa"/>
            <w:shd w:val="clear" w:color="auto" w:fill="auto"/>
            <w:vAlign w:val="center"/>
          </w:tcPr>
          <w:p w14:paraId="68A91A0E" w14:textId="2E3E30D6" w:rsidR="00520668" w:rsidRPr="00E07ECB" w:rsidRDefault="00520668" w:rsidP="00520668">
            <w:pPr>
              <w:jc w:val="center"/>
              <w:rPr>
                <w:bCs/>
                <w:szCs w:val="17"/>
              </w:rPr>
            </w:pPr>
            <w:r>
              <w:rPr>
                <w:bCs/>
                <w:szCs w:val="17"/>
              </w:rPr>
              <w:t>Editorial</w:t>
            </w:r>
          </w:p>
        </w:tc>
        <w:tc>
          <w:tcPr>
            <w:tcW w:w="1293" w:type="dxa"/>
            <w:shd w:val="clear" w:color="auto" w:fill="auto"/>
            <w:vAlign w:val="center"/>
          </w:tcPr>
          <w:p w14:paraId="3A596ED1" w14:textId="22E44448" w:rsidR="00520668" w:rsidRPr="00E07ECB" w:rsidRDefault="00520668" w:rsidP="00520668">
            <w:pPr>
              <w:jc w:val="center"/>
              <w:rPr>
                <w:bCs/>
                <w:szCs w:val="17"/>
              </w:rPr>
            </w:pPr>
            <w:r w:rsidRPr="00F63B3C">
              <w:rPr>
                <w:b/>
                <w:color w:val="808080" w:themeColor="background1" w:themeShade="80"/>
                <w:szCs w:val="17"/>
              </w:rPr>
              <w:t>Neutral</w:t>
            </w:r>
          </w:p>
        </w:tc>
      </w:tr>
      <w:tr w:rsidR="00520668" w:rsidRPr="00D43554" w14:paraId="43438692" w14:textId="77777777" w:rsidTr="00424768">
        <w:trPr>
          <w:trHeight w:val="499"/>
        </w:trPr>
        <w:tc>
          <w:tcPr>
            <w:tcW w:w="689" w:type="dxa"/>
            <w:shd w:val="clear" w:color="auto" w:fill="auto"/>
            <w:vAlign w:val="center"/>
          </w:tcPr>
          <w:p w14:paraId="6FA95D85" w14:textId="2A1C3D06" w:rsidR="00520668" w:rsidRPr="00E07ECB" w:rsidRDefault="00520668" w:rsidP="00520668">
            <w:pPr>
              <w:jc w:val="center"/>
              <w:rPr>
                <w:bCs/>
                <w:szCs w:val="17"/>
              </w:rPr>
            </w:pPr>
            <w:r>
              <w:rPr>
                <w:bCs/>
                <w:szCs w:val="17"/>
              </w:rPr>
              <w:t>247</w:t>
            </w:r>
          </w:p>
        </w:tc>
        <w:tc>
          <w:tcPr>
            <w:tcW w:w="1909" w:type="dxa"/>
            <w:shd w:val="clear" w:color="auto" w:fill="auto"/>
            <w:vAlign w:val="center"/>
          </w:tcPr>
          <w:p w14:paraId="4F75B6FE" w14:textId="185DD1DE" w:rsidR="00520668" w:rsidRPr="00E07ECB" w:rsidRDefault="00520668" w:rsidP="00520668">
            <w:pPr>
              <w:jc w:val="center"/>
              <w:rPr>
                <w:bCs/>
                <w:szCs w:val="17"/>
              </w:rPr>
            </w:pPr>
            <w:r>
              <w:rPr>
                <w:bCs/>
                <w:szCs w:val="17"/>
              </w:rPr>
              <w:t>Recital 27</w:t>
            </w:r>
          </w:p>
        </w:tc>
        <w:tc>
          <w:tcPr>
            <w:tcW w:w="6116" w:type="dxa"/>
            <w:shd w:val="clear" w:color="auto" w:fill="auto"/>
          </w:tcPr>
          <w:p w14:paraId="71FA1BE4" w14:textId="4F31D5BA" w:rsidR="00520668" w:rsidRPr="00E07ECB" w:rsidRDefault="00520668" w:rsidP="009A71C9">
            <w:pPr>
              <w:jc w:val="left"/>
              <w:rPr>
                <w:bCs/>
                <w:szCs w:val="17"/>
              </w:rPr>
            </w:pPr>
            <w:r>
              <w:rPr>
                <w:bCs/>
                <w:szCs w:val="17"/>
              </w:rPr>
              <w:t xml:space="preserve">Inclusion </w:t>
            </w:r>
            <w:r w:rsidR="00B53B33">
              <w:rPr>
                <w:bCs/>
                <w:szCs w:val="17"/>
              </w:rPr>
              <w:t xml:space="preserve">of </w:t>
            </w:r>
            <w:r>
              <w:rPr>
                <w:bCs/>
                <w:szCs w:val="17"/>
              </w:rPr>
              <w:t xml:space="preserve">information </w:t>
            </w:r>
            <w:r w:rsidR="00B53B33">
              <w:rPr>
                <w:bCs/>
                <w:szCs w:val="17"/>
              </w:rPr>
              <w:t xml:space="preserve">regarding </w:t>
            </w:r>
            <w:r>
              <w:rPr>
                <w:bCs/>
                <w:szCs w:val="17"/>
              </w:rPr>
              <w:t>sustainability risk</w:t>
            </w:r>
            <w:r w:rsidR="00B53B33">
              <w:rPr>
                <w:bCs/>
                <w:szCs w:val="17"/>
              </w:rPr>
              <w:t xml:space="preserve"> in the SFCR for PH. </w:t>
            </w:r>
            <w:r w:rsidR="00D7409E">
              <w:rPr>
                <w:bCs/>
                <w:szCs w:val="17"/>
              </w:rPr>
              <w:t xml:space="preserve">The SFCR for </w:t>
            </w:r>
            <w:r w:rsidR="00D82D15">
              <w:rPr>
                <w:bCs/>
                <w:szCs w:val="17"/>
              </w:rPr>
              <w:t xml:space="preserve">other market participants </w:t>
            </w:r>
            <w:r w:rsidR="0031234E">
              <w:rPr>
                <w:bCs/>
                <w:szCs w:val="17"/>
              </w:rPr>
              <w:t xml:space="preserve">should include information on </w:t>
            </w:r>
            <w:r w:rsidR="00F914FC">
              <w:rPr>
                <w:bCs/>
                <w:szCs w:val="17"/>
              </w:rPr>
              <w:t xml:space="preserve">role of </w:t>
            </w:r>
            <w:r w:rsidR="0031234E">
              <w:rPr>
                <w:bCs/>
                <w:szCs w:val="17"/>
              </w:rPr>
              <w:t>AMSB</w:t>
            </w:r>
            <w:r w:rsidR="00F914FC">
              <w:rPr>
                <w:bCs/>
                <w:szCs w:val="17"/>
              </w:rPr>
              <w:t xml:space="preserve"> </w:t>
            </w:r>
            <w:r w:rsidR="004714D0">
              <w:rPr>
                <w:bCs/>
                <w:szCs w:val="17"/>
              </w:rPr>
              <w:t>regarding sustainability risk</w:t>
            </w:r>
            <w:r w:rsidR="004C699A">
              <w:rPr>
                <w:bCs/>
                <w:szCs w:val="17"/>
              </w:rPr>
              <w:t>,</w:t>
            </w:r>
            <w:r>
              <w:rPr>
                <w:bCs/>
                <w:szCs w:val="17"/>
              </w:rPr>
              <w:t xml:space="preserve"> </w:t>
            </w:r>
            <w:r w:rsidRPr="00C34D23">
              <w:rPr>
                <w:bCs/>
                <w:szCs w:val="17"/>
              </w:rPr>
              <w:t>targets and milestones defined in the transition plan</w:t>
            </w:r>
            <w:r>
              <w:rPr>
                <w:bCs/>
                <w:szCs w:val="17"/>
              </w:rPr>
              <w:t xml:space="preserve"> and </w:t>
            </w:r>
            <w:r w:rsidR="00C13591">
              <w:rPr>
                <w:bCs/>
                <w:szCs w:val="17"/>
              </w:rPr>
              <w:t>f</w:t>
            </w:r>
            <w:r w:rsidR="0040454F">
              <w:rPr>
                <w:bCs/>
                <w:szCs w:val="17"/>
              </w:rPr>
              <w:t>o</w:t>
            </w:r>
            <w:r w:rsidR="00C13591">
              <w:rPr>
                <w:bCs/>
                <w:szCs w:val="17"/>
              </w:rPr>
              <w:t>r IM companies</w:t>
            </w:r>
            <w:r w:rsidR="0040454F">
              <w:rPr>
                <w:bCs/>
                <w:szCs w:val="17"/>
              </w:rPr>
              <w:t xml:space="preserve">, </w:t>
            </w:r>
            <w:r w:rsidR="0040454F">
              <w:rPr>
                <w:bCs/>
                <w:szCs w:val="17"/>
              </w:rPr>
              <w:lastRenderedPageBreak/>
              <w:t>the Standard Formula SCR.</w:t>
            </w:r>
          </w:p>
        </w:tc>
        <w:tc>
          <w:tcPr>
            <w:tcW w:w="1909" w:type="dxa"/>
            <w:shd w:val="clear" w:color="auto" w:fill="auto"/>
            <w:vAlign w:val="center"/>
          </w:tcPr>
          <w:p w14:paraId="230CF011" w14:textId="25566296" w:rsidR="00520668" w:rsidRPr="00E07ECB" w:rsidRDefault="00520668" w:rsidP="00520668">
            <w:pPr>
              <w:jc w:val="center"/>
              <w:rPr>
                <w:bCs/>
                <w:szCs w:val="17"/>
              </w:rPr>
            </w:pPr>
            <w:r w:rsidRPr="00E76E73">
              <w:rPr>
                <w:szCs w:val="17"/>
              </w:rPr>
              <w:lastRenderedPageBreak/>
              <w:t>Hahn</w:t>
            </w:r>
          </w:p>
        </w:tc>
        <w:tc>
          <w:tcPr>
            <w:tcW w:w="2543" w:type="dxa"/>
            <w:shd w:val="clear" w:color="auto" w:fill="auto"/>
            <w:vAlign w:val="center"/>
          </w:tcPr>
          <w:p w14:paraId="2ACF0E3D" w14:textId="3C45D9DA" w:rsidR="00B957F7" w:rsidRDefault="00B957F7" w:rsidP="00B957F7">
            <w:pPr>
              <w:spacing w:line="240" w:lineRule="auto"/>
              <w:jc w:val="center"/>
              <w:rPr>
                <w:rFonts w:cs="Calibri"/>
                <w:color w:val="000000"/>
                <w:szCs w:val="17"/>
              </w:rPr>
            </w:pPr>
            <w:r>
              <w:rPr>
                <w:rFonts w:cs="Calibri"/>
                <w:color w:val="000000"/>
                <w:szCs w:val="17"/>
              </w:rPr>
              <w:t>Reporting/sustainability</w:t>
            </w:r>
            <w:r w:rsidR="00134207">
              <w:rPr>
                <w:rFonts w:cs="Calibri"/>
                <w:color w:val="000000"/>
                <w:szCs w:val="17"/>
              </w:rPr>
              <w:t>/</w:t>
            </w:r>
            <w:r w:rsidR="00134207">
              <w:rPr>
                <w:bCs/>
                <w:szCs w:val="17"/>
              </w:rPr>
              <w:t xml:space="preserve"> transition plan</w:t>
            </w:r>
          </w:p>
          <w:p w14:paraId="426287EE" w14:textId="77777777" w:rsidR="00520668" w:rsidRPr="00E07ECB" w:rsidRDefault="00520668" w:rsidP="00520668">
            <w:pPr>
              <w:jc w:val="center"/>
              <w:rPr>
                <w:bCs/>
                <w:szCs w:val="17"/>
              </w:rPr>
            </w:pPr>
          </w:p>
        </w:tc>
        <w:tc>
          <w:tcPr>
            <w:tcW w:w="1293" w:type="dxa"/>
            <w:shd w:val="clear" w:color="auto" w:fill="auto"/>
            <w:vAlign w:val="center"/>
          </w:tcPr>
          <w:p w14:paraId="59058170" w14:textId="7E10E20A" w:rsidR="00520668" w:rsidRPr="00E07ECB" w:rsidRDefault="00520668" w:rsidP="00520668">
            <w:pPr>
              <w:jc w:val="center"/>
              <w:rPr>
                <w:bCs/>
                <w:szCs w:val="17"/>
              </w:rPr>
            </w:pPr>
            <w:r w:rsidRPr="00E72AD5">
              <w:rPr>
                <w:b/>
                <w:color w:val="FF0000"/>
                <w:szCs w:val="17"/>
              </w:rPr>
              <w:t>Negative</w:t>
            </w:r>
          </w:p>
        </w:tc>
      </w:tr>
      <w:tr w:rsidR="00520668" w:rsidRPr="00D43554" w14:paraId="2515CB41" w14:textId="77777777" w:rsidTr="00424768">
        <w:trPr>
          <w:trHeight w:val="499"/>
        </w:trPr>
        <w:tc>
          <w:tcPr>
            <w:tcW w:w="689" w:type="dxa"/>
            <w:shd w:val="clear" w:color="auto" w:fill="auto"/>
            <w:vAlign w:val="center"/>
          </w:tcPr>
          <w:p w14:paraId="108E6390" w14:textId="68BC99C2" w:rsidR="00520668" w:rsidRPr="00E07ECB" w:rsidRDefault="00520668" w:rsidP="00520668">
            <w:pPr>
              <w:jc w:val="center"/>
              <w:rPr>
                <w:bCs/>
                <w:szCs w:val="17"/>
              </w:rPr>
            </w:pPr>
            <w:r>
              <w:rPr>
                <w:bCs/>
                <w:szCs w:val="17"/>
              </w:rPr>
              <w:t>248</w:t>
            </w:r>
          </w:p>
        </w:tc>
        <w:tc>
          <w:tcPr>
            <w:tcW w:w="1909" w:type="dxa"/>
            <w:shd w:val="clear" w:color="auto" w:fill="auto"/>
            <w:vAlign w:val="center"/>
          </w:tcPr>
          <w:p w14:paraId="418E3A98" w14:textId="266398B2" w:rsidR="00520668" w:rsidRPr="00E07ECB" w:rsidRDefault="00520668" w:rsidP="00520668">
            <w:pPr>
              <w:jc w:val="center"/>
              <w:rPr>
                <w:bCs/>
                <w:szCs w:val="17"/>
              </w:rPr>
            </w:pPr>
            <w:r w:rsidRPr="00274319">
              <w:rPr>
                <w:bCs/>
                <w:szCs w:val="17"/>
              </w:rPr>
              <w:t>Recital 27 a (new)</w:t>
            </w:r>
          </w:p>
        </w:tc>
        <w:tc>
          <w:tcPr>
            <w:tcW w:w="6116" w:type="dxa"/>
            <w:shd w:val="clear" w:color="auto" w:fill="auto"/>
          </w:tcPr>
          <w:p w14:paraId="086AA44D" w14:textId="097A362C" w:rsidR="00520668" w:rsidRPr="00E07ECB" w:rsidRDefault="00520668" w:rsidP="00F6168C">
            <w:pPr>
              <w:jc w:val="left"/>
              <w:rPr>
                <w:bCs/>
                <w:szCs w:val="17"/>
              </w:rPr>
            </w:pPr>
            <w:proofErr w:type="gramStart"/>
            <w:r w:rsidRPr="00026B81">
              <w:rPr>
                <w:bCs/>
                <w:szCs w:val="17"/>
              </w:rPr>
              <w:t>Similarly</w:t>
            </w:r>
            <w:proofErr w:type="gramEnd"/>
            <w:r w:rsidR="00A5640F">
              <w:rPr>
                <w:bCs/>
                <w:szCs w:val="17"/>
              </w:rPr>
              <w:t xml:space="preserve"> to the IORPS stress test of 2022, NSAs </w:t>
            </w:r>
            <w:r w:rsidRPr="00026B81">
              <w:rPr>
                <w:bCs/>
                <w:szCs w:val="17"/>
              </w:rPr>
              <w:t>should perform stress tests on climate</w:t>
            </w:r>
            <w:r w:rsidR="00F6168C">
              <w:rPr>
                <w:bCs/>
                <w:szCs w:val="17"/>
              </w:rPr>
              <w:t xml:space="preserve">, </w:t>
            </w:r>
            <w:r w:rsidRPr="00026B81">
              <w:rPr>
                <w:bCs/>
                <w:szCs w:val="17"/>
              </w:rPr>
              <w:t>environmental and social risks.</w:t>
            </w:r>
          </w:p>
        </w:tc>
        <w:tc>
          <w:tcPr>
            <w:tcW w:w="1909" w:type="dxa"/>
            <w:shd w:val="clear" w:color="auto" w:fill="auto"/>
            <w:vAlign w:val="center"/>
          </w:tcPr>
          <w:p w14:paraId="7E2DD198" w14:textId="66ADF05B" w:rsidR="00520668" w:rsidRPr="00E07ECB" w:rsidRDefault="00520668" w:rsidP="00520668">
            <w:pPr>
              <w:jc w:val="center"/>
              <w:rPr>
                <w:bCs/>
                <w:szCs w:val="17"/>
              </w:rPr>
            </w:pPr>
            <w:r w:rsidRPr="00E76E73">
              <w:rPr>
                <w:szCs w:val="17"/>
              </w:rPr>
              <w:t xml:space="preserve">Yon-Courtin, Boyer, </w:t>
            </w:r>
            <w:proofErr w:type="spellStart"/>
            <w:r w:rsidRPr="00E76E73">
              <w:rPr>
                <w:szCs w:val="17"/>
              </w:rPr>
              <w:t>Canfin</w:t>
            </w:r>
            <w:proofErr w:type="spellEnd"/>
            <w:r w:rsidRPr="00E76E73">
              <w:rPr>
                <w:szCs w:val="17"/>
              </w:rPr>
              <w:t>, Durand</w:t>
            </w:r>
          </w:p>
        </w:tc>
        <w:tc>
          <w:tcPr>
            <w:tcW w:w="2543" w:type="dxa"/>
            <w:shd w:val="clear" w:color="auto" w:fill="auto"/>
            <w:vAlign w:val="center"/>
          </w:tcPr>
          <w:p w14:paraId="2E982F66" w14:textId="307CFE11" w:rsidR="00B957F7" w:rsidRDefault="00813979" w:rsidP="00B957F7">
            <w:pPr>
              <w:spacing w:line="240" w:lineRule="auto"/>
              <w:jc w:val="center"/>
              <w:rPr>
                <w:rFonts w:cs="Calibri"/>
                <w:color w:val="000000"/>
                <w:szCs w:val="17"/>
              </w:rPr>
            </w:pPr>
            <w:r>
              <w:rPr>
                <w:rFonts w:cs="Calibri"/>
                <w:color w:val="000000"/>
                <w:szCs w:val="17"/>
              </w:rPr>
              <w:t>Stress test</w:t>
            </w:r>
            <w:r w:rsidR="00B957F7">
              <w:rPr>
                <w:rFonts w:cs="Calibri"/>
                <w:color w:val="000000"/>
                <w:szCs w:val="17"/>
              </w:rPr>
              <w:t>/sustainability</w:t>
            </w:r>
          </w:p>
          <w:p w14:paraId="3ECEBA31" w14:textId="77777777" w:rsidR="00520668" w:rsidRPr="00E07ECB" w:rsidRDefault="00520668" w:rsidP="00520668">
            <w:pPr>
              <w:jc w:val="center"/>
              <w:rPr>
                <w:bCs/>
                <w:szCs w:val="17"/>
              </w:rPr>
            </w:pPr>
          </w:p>
        </w:tc>
        <w:tc>
          <w:tcPr>
            <w:tcW w:w="1293" w:type="dxa"/>
            <w:shd w:val="clear" w:color="auto" w:fill="auto"/>
            <w:vAlign w:val="center"/>
          </w:tcPr>
          <w:p w14:paraId="1BC9BAF3" w14:textId="77B8BD4E" w:rsidR="00520668" w:rsidRPr="00E07ECB" w:rsidRDefault="00520668" w:rsidP="00520668">
            <w:pPr>
              <w:jc w:val="center"/>
              <w:rPr>
                <w:bCs/>
                <w:szCs w:val="17"/>
              </w:rPr>
            </w:pPr>
            <w:r w:rsidRPr="00E72AD5">
              <w:rPr>
                <w:b/>
                <w:color w:val="FF0000"/>
                <w:szCs w:val="17"/>
              </w:rPr>
              <w:t>Negative</w:t>
            </w:r>
            <w:r w:rsidR="00F514D6">
              <w:rPr>
                <w:b/>
                <w:color w:val="FF0000"/>
                <w:szCs w:val="17"/>
              </w:rPr>
              <w:t xml:space="preserve"> </w:t>
            </w:r>
            <w:r w:rsidR="00F514D6" w:rsidRPr="00DA133E">
              <w:rPr>
                <w:szCs w:val="17"/>
              </w:rPr>
              <w:t>(because unclear)</w:t>
            </w:r>
          </w:p>
        </w:tc>
      </w:tr>
      <w:tr w:rsidR="00520668" w:rsidRPr="00D43554" w14:paraId="7E395E37" w14:textId="77777777" w:rsidTr="00424768">
        <w:trPr>
          <w:trHeight w:val="499"/>
        </w:trPr>
        <w:tc>
          <w:tcPr>
            <w:tcW w:w="689" w:type="dxa"/>
            <w:shd w:val="clear" w:color="auto" w:fill="auto"/>
            <w:vAlign w:val="center"/>
          </w:tcPr>
          <w:p w14:paraId="50234152" w14:textId="7F3EF3F3" w:rsidR="00520668" w:rsidRPr="00E07ECB" w:rsidRDefault="00520668" w:rsidP="00520668">
            <w:pPr>
              <w:jc w:val="center"/>
              <w:rPr>
                <w:bCs/>
                <w:szCs w:val="17"/>
              </w:rPr>
            </w:pPr>
            <w:r>
              <w:rPr>
                <w:bCs/>
                <w:szCs w:val="17"/>
              </w:rPr>
              <w:t>249</w:t>
            </w:r>
          </w:p>
        </w:tc>
        <w:tc>
          <w:tcPr>
            <w:tcW w:w="1909" w:type="dxa"/>
            <w:shd w:val="clear" w:color="auto" w:fill="auto"/>
            <w:vAlign w:val="center"/>
          </w:tcPr>
          <w:p w14:paraId="738DD648" w14:textId="2D21B3CE" w:rsidR="00520668" w:rsidRPr="00E07ECB" w:rsidRDefault="00520668" w:rsidP="00520668">
            <w:pPr>
              <w:jc w:val="center"/>
              <w:rPr>
                <w:bCs/>
                <w:szCs w:val="17"/>
              </w:rPr>
            </w:pPr>
            <w:r w:rsidRPr="008C3572">
              <w:rPr>
                <w:bCs/>
                <w:szCs w:val="17"/>
              </w:rPr>
              <w:t>Recital 28 a (new)</w:t>
            </w:r>
          </w:p>
        </w:tc>
        <w:tc>
          <w:tcPr>
            <w:tcW w:w="6116" w:type="dxa"/>
            <w:shd w:val="clear" w:color="auto" w:fill="auto"/>
          </w:tcPr>
          <w:p w14:paraId="23626CC9" w14:textId="12F1B875" w:rsidR="00520668" w:rsidRPr="00E07ECB" w:rsidRDefault="00520668" w:rsidP="009A71C9">
            <w:pPr>
              <w:jc w:val="left"/>
              <w:rPr>
                <w:bCs/>
                <w:szCs w:val="17"/>
              </w:rPr>
            </w:pPr>
            <w:r>
              <w:rPr>
                <w:bCs/>
                <w:szCs w:val="17"/>
              </w:rPr>
              <w:t>D</w:t>
            </w:r>
            <w:r w:rsidRPr="00E45603">
              <w:rPr>
                <w:bCs/>
                <w:szCs w:val="17"/>
              </w:rPr>
              <w:t xml:space="preserve">ifferences in currencies and national characteristics should be taken into account when determining the starting point for the extrapolation of </w:t>
            </w:r>
            <w:r w:rsidR="00765BF6">
              <w:rPr>
                <w:bCs/>
                <w:szCs w:val="17"/>
              </w:rPr>
              <w:t>RFR</w:t>
            </w:r>
            <w:r w:rsidRPr="00E45603">
              <w:rPr>
                <w:bCs/>
                <w:szCs w:val="17"/>
              </w:rPr>
              <w:t xml:space="preserve"> and the appropriate convergence period to the </w:t>
            </w:r>
            <w:r w:rsidR="00765BF6">
              <w:rPr>
                <w:bCs/>
                <w:szCs w:val="17"/>
              </w:rPr>
              <w:t>UFR</w:t>
            </w:r>
            <w:r w:rsidR="00A62EA5">
              <w:rPr>
                <w:bCs/>
                <w:szCs w:val="17"/>
              </w:rPr>
              <w:t>.</w:t>
            </w:r>
          </w:p>
        </w:tc>
        <w:tc>
          <w:tcPr>
            <w:tcW w:w="1909" w:type="dxa"/>
            <w:shd w:val="clear" w:color="auto" w:fill="auto"/>
            <w:vAlign w:val="center"/>
          </w:tcPr>
          <w:p w14:paraId="11F432C4" w14:textId="51A247CD" w:rsidR="00520668" w:rsidRPr="00E07ECB" w:rsidRDefault="00520668" w:rsidP="00520668">
            <w:pPr>
              <w:jc w:val="center"/>
              <w:rPr>
                <w:bCs/>
                <w:szCs w:val="17"/>
              </w:rPr>
            </w:pPr>
            <w:proofErr w:type="spellStart"/>
            <w:r w:rsidRPr="00E76E73">
              <w:rPr>
                <w:szCs w:val="17"/>
              </w:rPr>
              <w:t>Polfjärd</w:t>
            </w:r>
            <w:proofErr w:type="spellEnd"/>
          </w:p>
        </w:tc>
        <w:tc>
          <w:tcPr>
            <w:tcW w:w="2543" w:type="dxa"/>
            <w:shd w:val="clear" w:color="auto" w:fill="auto"/>
            <w:vAlign w:val="center"/>
          </w:tcPr>
          <w:p w14:paraId="604C3137" w14:textId="7495E985" w:rsidR="00520668" w:rsidRPr="000A3C24" w:rsidRDefault="000A3C24" w:rsidP="000A3C24">
            <w:pPr>
              <w:spacing w:line="240" w:lineRule="auto"/>
              <w:jc w:val="center"/>
              <w:rPr>
                <w:rFonts w:cs="Calibri"/>
                <w:color w:val="000000"/>
                <w:szCs w:val="17"/>
              </w:rPr>
            </w:pPr>
            <w:r>
              <w:rPr>
                <w:rFonts w:cs="Calibri"/>
                <w:bCs/>
                <w:color w:val="000000"/>
                <w:szCs w:val="17"/>
              </w:rPr>
              <w:t>Extrapolation</w:t>
            </w:r>
          </w:p>
        </w:tc>
        <w:tc>
          <w:tcPr>
            <w:tcW w:w="1293" w:type="dxa"/>
            <w:shd w:val="clear" w:color="auto" w:fill="auto"/>
            <w:vAlign w:val="center"/>
          </w:tcPr>
          <w:p w14:paraId="6608E4AB" w14:textId="59A95512" w:rsidR="00520668" w:rsidRPr="00E07ECB" w:rsidRDefault="00520668" w:rsidP="00520668">
            <w:pPr>
              <w:jc w:val="center"/>
              <w:rPr>
                <w:bCs/>
                <w:szCs w:val="17"/>
              </w:rPr>
            </w:pPr>
            <w:r w:rsidRPr="00F63B3C">
              <w:rPr>
                <w:b/>
                <w:color w:val="00B050"/>
                <w:szCs w:val="17"/>
              </w:rPr>
              <w:t>Positive</w:t>
            </w:r>
          </w:p>
        </w:tc>
      </w:tr>
      <w:tr w:rsidR="00520668" w:rsidRPr="00D43554" w14:paraId="34032B2D" w14:textId="77777777" w:rsidTr="00424768">
        <w:trPr>
          <w:trHeight w:val="499"/>
        </w:trPr>
        <w:tc>
          <w:tcPr>
            <w:tcW w:w="689" w:type="dxa"/>
            <w:shd w:val="clear" w:color="auto" w:fill="auto"/>
            <w:vAlign w:val="center"/>
          </w:tcPr>
          <w:p w14:paraId="79E06BF9" w14:textId="5031716C" w:rsidR="00520668" w:rsidRPr="00E07ECB" w:rsidRDefault="00520668" w:rsidP="00520668">
            <w:pPr>
              <w:jc w:val="center"/>
              <w:rPr>
                <w:bCs/>
                <w:szCs w:val="17"/>
              </w:rPr>
            </w:pPr>
            <w:r>
              <w:rPr>
                <w:bCs/>
                <w:szCs w:val="17"/>
              </w:rPr>
              <w:t>250</w:t>
            </w:r>
          </w:p>
        </w:tc>
        <w:tc>
          <w:tcPr>
            <w:tcW w:w="1909" w:type="dxa"/>
            <w:shd w:val="clear" w:color="auto" w:fill="auto"/>
            <w:vAlign w:val="center"/>
          </w:tcPr>
          <w:p w14:paraId="319B235F" w14:textId="13D92CEE" w:rsidR="00520668" w:rsidRPr="00E07ECB" w:rsidRDefault="00520668" w:rsidP="00520668">
            <w:pPr>
              <w:jc w:val="center"/>
              <w:rPr>
                <w:bCs/>
                <w:szCs w:val="17"/>
              </w:rPr>
            </w:pPr>
            <w:r w:rsidRPr="00C03F4E">
              <w:rPr>
                <w:bCs/>
                <w:szCs w:val="17"/>
              </w:rPr>
              <w:t>Recital 30</w:t>
            </w:r>
          </w:p>
        </w:tc>
        <w:tc>
          <w:tcPr>
            <w:tcW w:w="6116" w:type="dxa"/>
            <w:shd w:val="clear" w:color="auto" w:fill="auto"/>
          </w:tcPr>
          <w:p w14:paraId="27A8CD5A" w14:textId="0D9D6122" w:rsidR="00520668" w:rsidRPr="00E07ECB" w:rsidRDefault="00520668" w:rsidP="009A71C9">
            <w:pPr>
              <w:jc w:val="left"/>
              <w:rPr>
                <w:bCs/>
                <w:szCs w:val="17"/>
              </w:rPr>
            </w:pPr>
            <w:r>
              <w:rPr>
                <w:bCs/>
                <w:szCs w:val="17"/>
              </w:rPr>
              <w:t>Simplification of wording.</w:t>
            </w:r>
          </w:p>
        </w:tc>
        <w:tc>
          <w:tcPr>
            <w:tcW w:w="1909" w:type="dxa"/>
            <w:shd w:val="clear" w:color="auto" w:fill="auto"/>
            <w:vAlign w:val="center"/>
          </w:tcPr>
          <w:p w14:paraId="11DAC75F" w14:textId="69A41171" w:rsidR="00520668" w:rsidRPr="00E07ECB" w:rsidRDefault="00520668" w:rsidP="00520668">
            <w:pPr>
              <w:jc w:val="center"/>
              <w:rPr>
                <w:bCs/>
                <w:szCs w:val="17"/>
              </w:rPr>
            </w:pPr>
            <w:r w:rsidRPr="00E76E73">
              <w:rPr>
                <w:szCs w:val="17"/>
              </w:rPr>
              <w:t>Yon-Courtin, Boyer, Durand</w:t>
            </w:r>
          </w:p>
        </w:tc>
        <w:tc>
          <w:tcPr>
            <w:tcW w:w="2543" w:type="dxa"/>
            <w:shd w:val="clear" w:color="auto" w:fill="auto"/>
            <w:vAlign w:val="center"/>
          </w:tcPr>
          <w:p w14:paraId="111F3A8B" w14:textId="563E0FD0" w:rsidR="00520668" w:rsidRPr="00E07ECB" w:rsidRDefault="00520668" w:rsidP="00520668">
            <w:pPr>
              <w:jc w:val="center"/>
              <w:rPr>
                <w:bCs/>
                <w:szCs w:val="17"/>
              </w:rPr>
            </w:pPr>
            <w:r>
              <w:rPr>
                <w:bCs/>
                <w:szCs w:val="17"/>
              </w:rPr>
              <w:t>Editorial</w:t>
            </w:r>
          </w:p>
        </w:tc>
        <w:tc>
          <w:tcPr>
            <w:tcW w:w="1293" w:type="dxa"/>
            <w:shd w:val="clear" w:color="auto" w:fill="auto"/>
            <w:vAlign w:val="center"/>
          </w:tcPr>
          <w:p w14:paraId="76158E5B" w14:textId="25F190C1" w:rsidR="00520668" w:rsidRPr="00E07ECB" w:rsidRDefault="00520668" w:rsidP="00520668">
            <w:pPr>
              <w:jc w:val="center"/>
              <w:rPr>
                <w:bCs/>
                <w:szCs w:val="17"/>
              </w:rPr>
            </w:pPr>
            <w:r w:rsidRPr="00F63B3C">
              <w:rPr>
                <w:b/>
                <w:color w:val="808080" w:themeColor="background1" w:themeShade="80"/>
                <w:szCs w:val="17"/>
              </w:rPr>
              <w:t>Neutral</w:t>
            </w:r>
          </w:p>
        </w:tc>
      </w:tr>
      <w:tr w:rsidR="00520668" w:rsidRPr="00D43554" w14:paraId="6232FE40" w14:textId="77777777" w:rsidTr="00424768">
        <w:trPr>
          <w:trHeight w:val="499"/>
        </w:trPr>
        <w:tc>
          <w:tcPr>
            <w:tcW w:w="689" w:type="dxa"/>
            <w:shd w:val="clear" w:color="auto" w:fill="auto"/>
            <w:vAlign w:val="center"/>
          </w:tcPr>
          <w:p w14:paraId="789C2966" w14:textId="3F4B0F0F" w:rsidR="00520668" w:rsidRPr="00E07ECB" w:rsidRDefault="00520668" w:rsidP="00520668">
            <w:pPr>
              <w:jc w:val="center"/>
              <w:rPr>
                <w:bCs/>
                <w:szCs w:val="17"/>
              </w:rPr>
            </w:pPr>
            <w:r>
              <w:rPr>
                <w:bCs/>
                <w:szCs w:val="17"/>
              </w:rPr>
              <w:t>251</w:t>
            </w:r>
          </w:p>
        </w:tc>
        <w:tc>
          <w:tcPr>
            <w:tcW w:w="1909" w:type="dxa"/>
            <w:shd w:val="clear" w:color="auto" w:fill="auto"/>
            <w:vAlign w:val="center"/>
          </w:tcPr>
          <w:p w14:paraId="19ED15E8" w14:textId="3D8D8F36" w:rsidR="00520668" w:rsidRPr="00E07ECB" w:rsidRDefault="00520668" w:rsidP="00520668">
            <w:pPr>
              <w:jc w:val="center"/>
              <w:rPr>
                <w:bCs/>
                <w:szCs w:val="17"/>
              </w:rPr>
            </w:pPr>
            <w:r w:rsidRPr="00C03F4E">
              <w:rPr>
                <w:bCs/>
                <w:szCs w:val="17"/>
              </w:rPr>
              <w:t>Recital 3</w:t>
            </w:r>
            <w:r>
              <w:rPr>
                <w:bCs/>
                <w:szCs w:val="17"/>
              </w:rPr>
              <w:t>1</w:t>
            </w:r>
          </w:p>
        </w:tc>
        <w:tc>
          <w:tcPr>
            <w:tcW w:w="6116" w:type="dxa"/>
            <w:shd w:val="clear" w:color="auto" w:fill="auto"/>
          </w:tcPr>
          <w:p w14:paraId="376E35D4" w14:textId="53F914F7" w:rsidR="00520668" w:rsidRPr="00E07ECB" w:rsidRDefault="00520668" w:rsidP="009A71C9">
            <w:pPr>
              <w:jc w:val="left"/>
              <w:rPr>
                <w:bCs/>
                <w:szCs w:val="17"/>
              </w:rPr>
            </w:pPr>
            <w:r>
              <w:rPr>
                <w:bCs/>
                <w:szCs w:val="17"/>
              </w:rPr>
              <w:t>Removal of the whole recital 31 (</w:t>
            </w:r>
            <w:r w:rsidR="009566C6">
              <w:rPr>
                <w:bCs/>
                <w:szCs w:val="17"/>
              </w:rPr>
              <w:t>Exemption of external audit requirements for LRPU</w:t>
            </w:r>
            <w:r>
              <w:rPr>
                <w:bCs/>
                <w:szCs w:val="17"/>
              </w:rPr>
              <w:t>)</w:t>
            </w:r>
          </w:p>
        </w:tc>
        <w:tc>
          <w:tcPr>
            <w:tcW w:w="1909" w:type="dxa"/>
            <w:shd w:val="clear" w:color="auto" w:fill="auto"/>
            <w:vAlign w:val="center"/>
          </w:tcPr>
          <w:p w14:paraId="1A13E9F9" w14:textId="147A76B7" w:rsidR="00520668" w:rsidRPr="00E07ECB" w:rsidRDefault="00520668" w:rsidP="00520668">
            <w:pPr>
              <w:jc w:val="center"/>
              <w:rPr>
                <w:bCs/>
                <w:szCs w:val="17"/>
              </w:rPr>
            </w:pPr>
            <w:proofErr w:type="spellStart"/>
            <w:r w:rsidRPr="00F31F7D">
              <w:rPr>
                <w:bCs/>
                <w:szCs w:val="17"/>
              </w:rPr>
              <w:t>Heinäluoma</w:t>
            </w:r>
            <w:proofErr w:type="spellEnd"/>
            <w:r>
              <w:rPr>
                <w:bCs/>
                <w:szCs w:val="17"/>
              </w:rPr>
              <w:t xml:space="preserve">, </w:t>
            </w:r>
            <w:proofErr w:type="spellStart"/>
            <w:r w:rsidRPr="00E76E73">
              <w:rPr>
                <w:szCs w:val="17"/>
              </w:rPr>
              <w:t>Lalucq</w:t>
            </w:r>
            <w:proofErr w:type="spellEnd"/>
          </w:p>
        </w:tc>
        <w:tc>
          <w:tcPr>
            <w:tcW w:w="2543" w:type="dxa"/>
            <w:shd w:val="clear" w:color="auto" w:fill="auto"/>
            <w:vAlign w:val="center"/>
          </w:tcPr>
          <w:p w14:paraId="2126F7B4" w14:textId="15A61DAD" w:rsidR="00B479AB" w:rsidRDefault="007E4E4B" w:rsidP="00BC0BFE">
            <w:pPr>
              <w:spacing w:line="240" w:lineRule="auto"/>
              <w:jc w:val="center"/>
              <w:rPr>
                <w:rFonts w:cs="Calibri"/>
                <w:color w:val="000000"/>
                <w:szCs w:val="17"/>
              </w:rPr>
            </w:pPr>
            <w:r>
              <w:rPr>
                <w:rFonts w:cs="Calibri"/>
                <w:color w:val="000000"/>
                <w:szCs w:val="17"/>
              </w:rPr>
              <w:t>Audit requirements</w:t>
            </w:r>
            <w:r w:rsidR="003D3748" w:rsidRPr="003D3748">
              <w:rPr>
                <w:rFonts w:cs="Calibri"/>
                <w:color w:val="000000"/>
                <w:szCs w:val="17"/>
              </w:rPr>
              <w:t>/</w:t>
            </w:r>
          </w:p>
          <w:p w14:paraId="0903B4C6" w14:textId="5182C75C" w:rsidR="00520668" w:rsidRPr="00BC0BFE" w:rsidRDefault="003D3748" w:rsidP="00BC0BFE">
            <w:pPr>
              <w:spacing w:line="240" w:lineRule="auto"/>
              <w:jc w:val="center"/>
              <w:rPr>
                <w:rFonts w:cs="Calibri"/>
                <w:color w:val="000000"/>
                <w:szCs w:val="17"/>
              </w:rPr>
            </w:pPr>
            <w:r w:rsidRPr="003D3748">
              <w:rPr>
                <w:rFonts w:cs="Calibri"/>
                <w:color w:val="000000"/>
                <w:szCs w:val="17"/>
              </w:rPr>
              <w:t>proportionality</w:t>
            </w:r>
          </w:p>
        </w:tc>
        <w:tc>
          <w:tcPr>
            <w:tcW w:w="1293" w:type="dxa"/>
            <w:shd w:val="clear" w:color="auto" w:fill="auto"/>
            <w:vAlign w:val="center"/>
          </w:tcPr>
          <w:p w14:paraId="6E3AD60F" w14:textId="392900F4" w:rsidR="00520668" w:rsidRPr="00E07ECB" w:rsidRDefault="00520668" w:rsidP="00520668">
            <w:pPr>
              <w:jc w:val="center"/>
              <w:rPr>
                <w:bCs/>
                <w:szCs w:val="17"/>
              </w:rPr>
            </w:pPr>
            <w:r w:rsidRPr="00E72AD5">
              <w:rPr>
                <w:b/>
                <w:color w:val="FF0000"/>
                <w:szCs w:val="17"/>
              </w:rPr>
              <w:t>Negative</w:t>
            </w:r>
          </w:p>
        </w:tc>
      </w:tr>
      <w:tr w:rsidR="00520668" w:rsidRPr="00D43554" w14:paraId="0A77ACA6" w14:textId="77777777" w:rsidTr="00424768">
        <w:trPr>
          <w:trHeight w:val="499"/>
        </w:trPr>
        <w:tc>
          <w:tcPr>
            <w:tcW w:w="689" w:type="dxa"/>
            <w:shd w:val="clear" w:color="auto" w:fill="auto"/>
            <w:vAlign w:val="center"/>
          </w:tcPr>
          <w:p w14:paraId="5950C061" w14:textId="75166C80" w:rsidR="00520668" w:rsidRPr="00E07ECB" w:rsidRDefault="00520668" w:rsidP="00520668">
            <w:pPr>
              <w:jc w:val="center"/>
              <w:rPr>
                <w:bCs/>
                <w:szCs w:val="17"/>
              </w:rPr>
            </w:pPr>
            <w:r>
              <w:rPr>
                <w:bCs/>
                <w:szCs w:val="17"/>
              </w:rPr>
              <w:t>252</w:t>
            </w:r>
          </w:p>
        </w:tc>
        <w:tc>
          <w:tcPr>
            <w:tcW w:w="1909" w:type="dxa"/>
            <w:shd w:val="clear" w:color="auto" w:fill="auto"/>
            <w:vAlign w:val="center"/>
          </w:tcPr>
          <w:p w14:paraId="09F12EFF" w14:textId="784D5EDC" w:rsidR="00520668" w:rsidRPr="00E07ECB" w:rsidRDefault="00520668" w:rsidP="00520668">
            <w:pPr>
              <w:jc w:val="center"/>
              <w:rPr>
                <w:bCs/>
                <w:szCs w:val="17"/>
              </w:rPr>
            </w:pPr>
            <w:r w:rsidRPr="00C03F4E">
              <w:rPr>
                <w:bCs/>
                <w:szCs w:val="17"/>
              </w:rPr>
              <w:t>Recital 3</w:t>
            </w:r>
            <w:r>
              <w:rPr>
                <w:bCs/>
                <w:szCs w:val="17"/>
              </w:rPr>
              <w:t>1</w:t>
            </w:r>
          </w:p>
        </w:tc>
        <w:tc>
          <w:tcPr>
            <w:tcW w:w="6116" w:type="dxa"/>
            <w:shd w:val="clear" w:color="auto" w:fill="auto"/>
          </w:tcPr>
          <w:p w14:paraId="04A49361" w14:textId="647BA8E8" w:rsidR="00520668" w:rsidRPr="00E07ECB" w:rsidRDefault="003B2C89" w:rsidP="009A71C9">
            <w:pPr>
              <w:jc w:val="left"/>
              <w:rPr>
                <w:bCs/>
                <w:szCs w:val="17"/>
              </w:rPr>
            </w:pPr>
            <w:r>
              <w:rPr>
                <w:bCs/>
                <w:szCs w:val="17"/>
              </w:rPr>
              <w:t xml:space="preserve">MS can extend the external audit requirement </w:t>
            </w:r>
            <w:r w:rsidR="001E40E7">
              <w:rPr>
                <w:bCs/>
                <w:szCs w:val="17"/>
              </w:rPr>
              <w:t xml:space="preserve">and the scope </w:t>
            </w:r>
            <w:r>
              <w:rPr>
                <w:bCs/>
                <w:szCs w:val="17"/>
              </w:rPr>
              <w:t>to LRPU, if the MS has already such a requirement in place for all insurer</w:t>
            </w:r>
            <w:r w:rsidR="000D0B6D">
              <w:rPr>
                <w:bCs/>
                <w:szCs w:val="17"/>
              </w:rPr>
              <w:t>s</w:t>
            </w:r>
          </w:p>
        </w:tc>
        <w:tc>
          <w:tcPr>
            <w:tcW w:w="1909" w:type="dxa"/>
            <w:shd w:val="clear" w:color="auto" w:fill="auto"/>
            <w:vAlign w:val="center"/>
          </w:tcPr>
          <w:p w14:paraId="38B6A031" w14:textId="033DBD6D" w:rsidR="00520668" w:rsidRPr="00E07ECB" w:rsidRDefault="00520668" w:rsidP="00520668">
            <w:pPr>
              <w:jc w:val="center"/>
              <w:rPr>
                <w:bCs/>
                <w:szCs w:val="17"/>
              </w:rPr>
            </w:pPr>
            <w:r w:rsidRPr="003173F2">
              <w:rPr>
                <w:bCs/>
                <w:szCs w:val="17"/>
              </w:rPr>
              <w:t>MacManus</w:t>
            </w:r>
          </w:p>
        </w:tc>
        <w:tc>
          <w:tcPr>
            <w:tcW w:w="2543" w:type="dxa"/>
            <w:shd w:val="clear" w:color="auto" w:fill="auto"/>
            <w:vAlign w:val="center"/>
          </w:tcPr>
          <w:p w14:paraId="23B6416D" w14:textId="770BB5B4" w:rsidR="00B479AB" w:rsidRDefault="007E4E4B" w:rsidP="00520668">
            <w:pPr>
              <w:jc w:val="center"/>
              <w:rPr>
                <w:rFonts w:cs="Calibri"/>
                <w:color w:val="000000"/>
                <w:szCs w:val="17"/>
              </w:rPr>
            </w:pPr>
            <w:r>
              <w:rPr>
                <w:rFonts w:cs="Calibri"/>
                <w:color w:val="000000"/>
                <w:szCs w:val="17"/>
              </w:rPr>
              <w:t>Audit requirements</w:t>
            </w:r>
            <w:r w:rsidR="003D3748" w:rsidRPr="003D3748">
              <w:rPr>
                <w:rFonts w:cs="Calibri"/>
                <w:color w:val="000000"/>
                <w:szCs w:val="17"/>
              </w:rPr>
              <w:t>/</w:t>
            </w:r>
          </w:p>
          <w:p w14:paraId="512C5B3B" w14:textId="398AFA6F" w:rsidR="00520668" w:rsidRPr="00E07ECB" w:rsidRDefault="003D3748" w:rsidP="00520668">
            <w:pPr>
              <w:jc w:val="center"/>
              <w:rPr>
                <w:bCs/>
                <w:szCs w:val="17"/>
              </w:rPr>
            </w:pPr>
            <w:r w:rsidRPr="003D3748">
              <w:rPr>
                <w:rFonts w:cs="Calibri"/>
                <w:color w:val="000000"/>
                <w:szCs w:val="17"/>
              </w:rPr>
              <w:t>proportionality</w:t>
            </w:r>
          </w:p>
        </w:tc>
        <w:tc>
          <w:tcPr>
            <w:tcW w:w="1293" w:type="dxa"/>
            <w:shd w:val="clear" w:color="auto" w:fill="auto"/>
            <w:vAlign w:val="center"/>
          </w:tcPr>
          <w:p w14:paraId="2DB4C1B3" w14:textId="7298BAD6" w:rsidR="00520668" w:rsidRPr="00E07ECB" w:rsidRDefault="00520668" w:rsidP="00520668">
            <w:pPr>
              <w:jc w:val="center"/>
              <w:rPr>
                <w:bCs/>
                <w:szCs w:val="17"/>
              </w:rPr>
            </w:pPr>
            <w:r w:rsidRPr="00E72AD5">
              <w:rPr>
                <w:b/>
                <w:color w:val="FF0000"/>
                <w:szCs w:val="17"/>
              </w:rPr>
              <w:t>Negative</w:t>
            </w:r>
          </w:p>
        </w:tc>
      </w:tr>
      <w:tr w:rsidR="00520668" w:rsidRPr="00D43554" w14:paraId="56C66F03" w14:textId="77777777" w:rsidTr="00424768">
        <w:trPr>
          <w:trHeight w:val="499"/>
        </w:trPr>
        <w:tc>
          <w:tcPr>
            <w:tcW w:w="689" w:type="dxa"/>
            <w:shd w:val="clear" w:color="auto" w:fill="auto"/>
            <w:vAlign w:val="center"/>
          </w:tcPr>
          <w:p w14:paraId="2C270DC2" w14:textId="6844A571" w:rsidR="00520668" w:rsidRPr="00E07ECB" w:rsidRDefault="00520668" w:rsidP="00520668">
            <w:pPr>
              <w:jc w:val="center"/>
              <w:rPr>
                <w:bCs/>
                <w:szCs w:val="17"/>
              </w:rPr>
            </w:pPr>
            <w:r>
              <w:rPr>
                <w:bCs/>
                <w:szCs w:val="17"/>
              </w:rPr>
              <w:t>253</w:t>
            </w:r>
          </w:p>
        </w:tc>
        <w:tc>
          <w:tcPr>
            <w:tcW w:w="1909" w:type="dxa"/>
            <w:shd w:val="clear" w:color="auto" w:fill="auto"/>
            <w:vAlign w:val="center"/>
          </w:tcPr>
          <w:p w14:paraId="7147A0D1" w14:textId="2C8BE101" w:rsidR="00520668" w:rsidRPr="00E07ECB" w:rsidRDefault="00520668" w:rsidP="00520668">
            <w:pPr>
              <w:jc w:val="center"/>
              <w:rPr>
                <w:bCs/>
                <w:szCs w:val="17"/>
              </w:rPr>
            </w:pPr>
            <w:r w:rsidRPr="00C03F4E">
              <w:rPr>
                <w:bCs/>
                <w:szCs w:val="17"/>
              </w:rPr>
              <w:t>Recital 3</w:t>
            </w:r>
            <w:r>
              <w:rPr>
                <w:bCs/>
                <w:szCs w:val="17"/>
              </w:rPr>
              <w:t>1</w:t>
            </w:r>
          </w:p>
        </w:tc>
        <w:tc>
          <w:tcPr>
            <w:tcW w:w="6116" w:type="dxa"/>
            <w:shd w:val="clear" w:color="auto" w:fill="auto"/>
          </w:tcPr>
          <w:p w14:paraId="63F16DDB" w14:textId="53284023" w:rsidR="00520668" w:rsidRPr="00E07ECB" w:rsidRDefault="00B751C9" w:rsidP="009A71C9">
            <w:pPr>
              <w:jc w:val="left"/>
              <w:rPr>
                <w:bCs/>
                <w:szCs w:val="17"/>
              </w:rPr>
            </w:pPr>
            <w:r>
              <w:rPr>
                <w:bCs/>
                <w:szCs w:val="17"/>
              </w:rPr>
              <w:t xml:space="preserve">NSAs can </w:t>
            </w:r>
            <w:r w:rsidR="00375DBD">
              <w:rPr>
                <w:bCs/>
                <w:szCs w:val="17"/>
              </w:rPr>
              <w:t xml:space="preserve">remove </w:t>
            </w:r>
            <w:r w:rsidR="003B13AE">
              <w:rPr>
                <w:bCs/>
                <w:szCs w:val="17"/>
              </w:rPr>
              <w:t>ex</w:t>
            </w:r>
            <w:r w:rsidR="009566C6">
              <w:rPr>
                <w:bCs/>
                <w:szCs w:val="17"/>
              </w:rPr>
              <w:t xml:space="preserve">emption of external audit requirement for LRPU. </w:t>
            </w:r>
          </w:p>
        </w:tc>
        <w:tc>
          <w:tcPr>
            <w:tcW w:w="1909" w:type="dxa"/>
            <w:shd w:val="clear" w:color="auto" w:fill="auto"/>
            <w:vAlign w:val="center"/>
          </w:tcPr>
          <w:p w14:paraId="4010552F" w14:textId="7876BFD0" w:rsidR="00520668" w:rsidRPr="00E07ECB" w:rsidRDefault="00520668" w:rsidP="00520668">
            <w:pPr>
              <w:jc w:val="center"/>
              <w:rPr>
                <w:bCs/>
                <w:szCs w:val="17"/>
              </w:rPr>
            </w:pPr>
            <w:r w:rsidRPr="00E76E73">
              <w:rPr>
                <w:szCs w:val="17"/>
              </w:rPr>
              <w:t>Hahn</w:t>
            </w:r>
          </w:p>
        </w:tc>
        <w:tc>
          <w:tcPr>
            <w:tcW w:w="2543" w:type="dxa"/>
            <w:shd w:val="clear" w:color="auto" w:fill="auto"/>
            <w:vAlign w:val="center"/>
          </w:tcPr>
          <w:p w14:paraId="4DA0B1C2" w14:textId="4A3164C4" w:rsidR="00520668" w:rsidRPr="00E07ECB" w:rsidRDefault="007E4E4B" w:rsidP="00520668">
            <w:pPr>
              <w:jc w:val="center"/>
              <w:rPr>
                <w:bCs/>
                <w:szCs w:val="17"/>
              </w:rPr>
            </w:pPr>
            <w:r>
              <w:rPr>
                <w:rFonts w:cs="Calibri"/>
                <w:color w:val="000000"/>
                <w:szCs w:val="17"/>
              </w:rPr>
              <w:t xml:space="preserve">Audit </w:t>
            </w:r>
            <w:r w:rsidR="00B479AB">
              <w:rPr>
                <w:rFonts w:cs="Calibri"/>
                <w:color w:val="000000"/>
                <w:szCs w:val="17"/>
              </w:rPr>
              <w:t>requirements</w:t>
            </w:r>
            <w:r w:rsidR="003D3748" w:rsidRPr="003D3748">
              <w:rPr>
                <w:rFonts w:cs="Calibri"/>
                <w:color w:val="000000"/>
                <w:szCs w:val="17"/>
              </w:rPr>
              <w:t>/proportionality</w:t>
            </w:r>
          </w:p>
        </w:tc>
        <w:tc>
          <w:tcPr>
            <w:tcW w:w="1293" w:type="dxa"/>
            <w:shd w:val="clear" w:color="auto" w:fill="auto"/>
            <w:vAlign w:val="center"/>
          </w:tcPr>
          <w:p w14:paraId="28D03678" w14:textId="7EA986E5" w:rsidR="00520668" w:rsidRPr="00E07ECB" w:rsidRDefault="00520668" w:rsidP="00520668">
            <w:pPr>
              <w:jc w:val="center"/>
              <w:rPr>
                <w:bCs/>
                <w:szCs w:val="17"/>
              </w:rPr>
            </w:pPr>
            <w:r w:rsidRPr="00E72AD5">
              <w:rPr>
                <w:b/>
                <w:color w:val="FF0000"/>
                <w:szCs w:val="17"/>
              </w:rPr>
              <w:t>Negative</w:t>
            </w:r>
          </w:p>
        </w:tc>
      </w:tr>
      <w:tr w:rsidR="00520668" w:rsidRPr="00D43554" w14:paraId="67BA0C0C" w14:textId="77777777" w:rsidTr="00424768">
        <w:trPr>
          <w:trHeight w:val="499"/>
        </w:trPr>
        <w:tc>
          <w:tcPr>
            <w:tcW w:w="689" w:type="dxa"/>
            <w:shd w:val="clear" w:color="auto" w:fill="auto"/>
            <w:vAlign w:val="center"/>
          </w:tcPr>
          <w:p w14:paraId="159DA2A1" w14:textId="48A8F49B" w:rsidR="00520668" w:rsidRPr="00E07ECB" w:rsidRDefault="00520668" w:rsidP="00520668">
            <w:pPr>
              <w:jc w:val="center"/>
              <w:rPr>
                <w:bCs/>
                <w:szCs w:val="17"/>
              </w:rPr>
            </w:pPr>
            <w:r>
              <w:rPr>
                <w:bCs/>
                <w:szCs w:val="17"/>
              </w:rPr>
              <w:t>254</w:t>
            </w:r>
          </w:p>
        </w:tc>
        <w:tc>
          <w:tcPr>
            <w:tcW w:w="1909" w:type="dxa"/>
            <w:shd w:val="clear" w:color="auto" w:fill="auto"/>
            <w:vAlign w:val="center"/>
          </w:tcPr>
          <w:p w14:paraId="5B74BA7A" w14:textId="14BCAA10" w:rsidR="00520668" w:rsidRPr="00E07ECB" w:rsidRDefault="00520668" w:rsidP="00520668">
            <w:pPr>
              <w:jc w:val="center"/>
              <w:rPr>
                <w:bCs/>
                <w:szCs w:val="17"/>
              </w:rPr>
            </w:pPr>
            <w:r w:rsidRPr="00C03F4E">
              <w:rPr>
                <w:bCs/>
                <w:szCs w:val="17"/>
              </w:rPr>
              <w:t>Recital 3</w:t>
            </w:r>
            <w:r>
              <w:rPr>
                <w:bCs/>
                <w:szCs w:val="17"/>
              </w:rPr>
              <w:t>2</w:t>
            </w:r>
          </w:p>
        </w:tc>
        <w:tc>
          <w:tcPr>
            <w:tcW w:w="6116" w:type="dxa"/>
            <w:shd w:val="clear" w:color="auto" w:fill="auto"/>
          </w:tcPr>
          <w:p w14:paraId="2822B8CF" w14:textId="6E67DDC5" w:rsidR="00520668" w:rsidRPr="00E07ECB" w:rsidRDefault="00520668" w:rsidP="009A71C9">
            <w:pPr>
              <w:jc w:val="left"/>
              <w:rPr>
                <w:bCs/>
                <w:szCs w:val="17"/>
              </w:rPr>
            </w:pPr>
            <w:r>
              <w:rPr>
                <w:bCs/>
                <w:szCs w:val="17"/>
              </w:rPr>
              <w:t>Removal of recital</w:t>
            </w:r>
            <w:r w:rsidR="005575F5">
              <w:rPr>
                <w:bCs/>
                <w:szCs w:val="17"/>
              </w:rPr>
              <w:t xml:space="preserve">, thereby </w:t>
            </w:r>
            <w:r w:rsidR="007E5DC1">
              <w:rPr>
                <w:bCs/>
                <w:szCs w:val="17"/>
              </w:rPr>
              <w:t xml:space="preserve">removing the </w:t>
            </w:r>
            <w:r w:rsidR="000D17A1">
              <w:rPr>
                <w:bCs/>
                <w:szCs w:val="17"/>
              </w:rPr>
              <w:t xml:space="preserve">extension of </w:t>
            </w:r>
            <w:r w:rsidR="00DD41CC">
              <w:rPr>
                <w:bCs/>
                <w:szCs w:val="17"/>
              </w:rPr>
              <w:t xml:space="preserve">the </w:t>
            </w:r>
            <w:r w:rsidR="000D17A1">
              <w:rPr>
                <w:bCs/>
                <w:szCs w:val="17"/>
              </w:rPr>
              <w:t xml:space="preserve">reporting timelines. </w:t>
            </w:r>
          </w:p>
        </w:tc>
        <w:tc>
          <w:tcPr>
            <w:tcW w:w="1909" w:type="dxa"/>
            <w:shd w:val="clear" w:color="auto" w:fill="auto"/>
            <w:vAlign w:val="center"/>
          </w:tcPr>
          <w:p w14:paraId="5718928C" w14:textId="18996D45" w:rsidR="00520668" w:rsidRPr="00E07ECB" w:rsidRDefault="00520668" w:rsidP="00520668">
            <w:pPr>
              <w:jc w:val="center"/>
              <w:rPr>
                <w:bCs/>
                <w:szCs w:val="17"/>
              </w:rPr>
            </w:pPr>
            <w:proofErr w:type="spellStart"/>
            <w:r w:rsidRPr="00F31F7D">
              <w:rPr>
                <w:bCs/>
                <w:szCs w:val="17"/>
              </w:rPr>
              <w:t>Heinäluoma</w:t>
            </w:r>
            <w:proofErr w:type="spellEnd"/>
            <w:r>
              <w:rPr>
                <w:bCs/>
                <w:szCs w:val="17"/>
              </w:rPr>
              <w:t xml:space="preserve">, </w:t>
            </w:r>
            <w:proofErr w:type="spellStart"/>
            <w:r w:rsidRPr="00E76E73">
              <w:rPr>
                <w:szCs w:val="17"/>
              </w:rPr>
              <w:t>Lalucq</w:t>
            </w:r>
            <w:proofErr w:type="spellEnd"/>
          </w:p>
        </w:tc>
        <w:tc>
          <w:tcPr>
            <w:tcW w:w="2543" w:type="dxa"/>
            <w:shd w:val="clear" w:color="auto" w:fill="auto"/>
            <w:vAlign w:val="center"/>
          </w:tcPr>
          <w:p w14:paraId="64BAEB49" w14:textId="79ED276A" w:rsidR="00520668" w:rsidRPr="00E07ECB" w:rsidRDefault="007A0929" w:rsidP="00520668">
            <w:pPr>
              <w:jc w:val="center"/>
              <w:rPr>
                <w:bCs/>
                <w:szCs w:val="17"/>
              </w:rPr>
            </w:pPr>
            <w:r w:rsidRPr="003D3748">
              <w:rPr>
                <w:rFonts w:cs="Calibri"/>
                <w:color w:val="000000"/>
                <w:szCs w:val="17"/>
              </w:rPr>
              <w:t>Reporting/proportionality</w:t>
            </w:r>
          </w:p>
        </w:tc>
        <w:tc>
          <w:tcPr>
            <w:tcW w:w="1293" w:type="dxa"/>
            <w:shd w:val="clear" w:color="auto" w:fill="auto"/>
            <w:vAlign w:val="center"/>
          </w:tcPr>
          <w:p w14:paraId="71E134F8" w14:textId="51019E39" w:rsidR="00520668" w:rsidRPr="00E07ECB" w:rsidRDefault="00520668" w:rsidP="00520668">
            <w:pPr>
              <w:jc w:val="center"/>
              <w:rPr>
                <w:bCs/>
                <w:szCs w:val="17"/>
              </w:rPr>
            </w:pPr>
            <w:r w:rsidRPr="00E72AD5">
              <w:rPr>
                <w:b/>
                <w:color w:val="FF0000"/>
                <w:szCs w:val="17"/>
              </w:rPr>
              <w:t>Negative</w:t>
            </w:r>
          </w:p>
        </w:tc>
      </w:tr>
      <w:tr w:rsidR="00520668" w:rsidRPr="00D43554" w14:paraId="47DE29F9" w14:textId="77777777" w:rsidTr="00424768">
        <w:trPr>
          <w:trHeight w:val="499"/>
        </w:trPr>
        <w:tc>
          <w:tcPr>
            <w:tcW w:w="689" w:type="dxa"/>
            <w:shd w:val="clear" w:color="auto" w:fill="auto"/>
            <w:vAlign w:val="center"/>
          </w:tcPr>
          <w:p w14:paraId="676D0F3C" w14:textId="461FC65A" w:rsidR="00520668" w:rsidRPr="00E07ECB" w:rsidRDefault="00520668" w:rsidP="00520668">
            <w:pPr>
              <w:jc w:val="center"/>
              <w:rPr>
                <w:bCs/>
                <w:szCs w:val="17"/>
              </w:rPr>
            </w:pPr>
            <w:r>
              <w:rPr>
                <w:bCs/>
                <w:szCs w:val="17"/>
              </w:rPr>
              <w:t>255</w:t>
            </w:r>
          </w:p>
        </w:tc>
        <w:tc>
          <w:tcPr>
            <w:tcW w:w="1909" w:type="dxa"/>
            <w:shd w:val="clear" w:color="auto" w:fill="auto"/>
            <w:vAlign w:val="center"/>
          </w:tcPr>
          <w:p w14:paraId="5DEE59B2" w14:textId="4C0935C6" w:rsidR="00520668" w:rsidRPr="00E07ECB" w:rsidRDefault="00520668" w:rsidP="00520668">
            <w:pPr>
              <w:jc w:val="center"/>
              <w:rPr>
                <w:bCs/>
                <w:szCs w:val="17"/>
              </w:rPr>
            </w:pPr>
            <w:r w:rsidRPr="00C03F4E">
              <w:rPr>
                <w:bCs/>
                <w:szCs w:val="17"/>
              </w:rPr>
              <w:t>Recital 3</w:t>
            </w:r>
            <w:r>
              <w:rPr>
                <w:bCs/>
                <w:szCs w:val="17"/>
              </w:rPr>
              <w:t>4</w:t>
            </w:r>
          </w:p>
        </w:tc>
        <w:tc>
          <w:tcPr>
            <w:tcW w:w="6116" w:type="dxa"/>
            <w:shd w:val="clear" w:color="auto" w:fill="auto"/>
          </w:tcPr>
          <w:p w14:paraId="1BF3E6E5" w14:textId="21B3D238" w:rsidR="00520668" w:rsidRPr="00E07ECB" w:rsidRDefault="001F1B98" w:rsidP="009A71C9">
            <w:pPr>
              <w:jc w:val="left"/>
              <w:rPr>
                <w:bCs/>
                <w:szCs w:val="17"/>
              </w:rPr>
            </w:pPr>
            <w:r>
              <w:rPr>
                <w:bCs/>
                <w:szCs w:val="17"/>
              </w:rPr>
              <w:t>St</w:t>
            </w:r>
            <w:r w:rsidR="00520668" w:rsidRPr="00CB7D76">
              <w:rPr>
                <w:bCs/>
                <w:szCs w:val="17"/>
              </w:rPr>
              <w:t xml:space="preserve">arting point for the extrapolation of </w:t>
            </w:r>
            <w:r w:rsidR="000E04E9">
              <w:rPr>
                <w:bCs/>
                <w:szCs w:val="17"/>
              </w:rPr>
              <w:t>RF</w:t>
            </w:r>
            <w:r w:rsidR="002F4315">
              <w:rPr>
                <w:bCs/>
                <w:szCs w:val="17"/>
              </w:rPr>
              <w:t>R</w:t>
            </w:r>
            <w:r w:rsidR="00520668" w:rsidRPr="00CB7D76">
              <w:rPr>
                <w:bCs/>
                <w:szCs w:val="17"/>
              </w:rPr>
              <w:t>, in particular for the euro, should be at a maturity of 20 years</w:t>
            </w:r>
            <w:r w:rsidR="00520668">
              <w:rPr>
                <w:bCs/>
                <w:szCs w:val="17"/>
              </w:rPr>
              <w:t xml:space="preserve">, the </w:t>
            </w:r>
            <w:r w:rsidR="00520668" w:rsidRPr="004D6075">
              <w:rPr>
                <w:bCs/>
                <w:szCs w:val="17"/>
              </w:rPr>
              <w:t>extrapolated part of the relevant risk-free interest rate term structure</w:t>
            </w:r>
            <w:r w:rsidR="00520668">
              <w:rPr>
                <w:bCs/>
                <w:szCs w:val="17"/>
              </w:rPr>
              <w:t xml:space="preserve"> </w:t>
            </w:r>
            <w:r w:rsidR="00520668" w:rsidRPr="004D6075">
              <w:rPr>
                <w:bCs/>
                <w:szCs w:val="17"/>
              </w:rPr>
              <w:t>should converge so that for maturities</w:t>
            </w:r>
            <w:r w:rsidR="00520668">
              <w:rPr>
                <w:bCs/>
                <w:szCs w:val="17"/>
              </w:rPr>
              <w:t xml:space="preserve"> </w:t>
            </w:r>
            <w:r w:rsidR="00520668" w:rsidRPr="004D6075">
              <w:rPr>
                <w:bCs/>
                <w:szCs w:val="17"/>
              </w:rPr>
              <w:t>40 years past the starting point of the extrapolation</w:t>
            </w:r>
            <w:r w:rsidR="00520668">
              <w:rPr>
                <w:bCs/>
                <w:szCs w:val="17"/>
              </w:rPr>
              <w:t xml:space="preserve"> and</w:t>
            </w:r>
            <w:r w:rsidR="00520668" w:rsidRPr="004D6075">
              <w:rPr>
                <w:bCs/>
                <w:szCs w:val="17"/>
              </w:rPr>
              <w:t xml:space="preserve"> the extrapolated forward rates do not differ more than seven basis points from the ultimate forward rate</w:t>
            </w:r>
          </w:p>
        </w:tc>
        <w:tc>
          <w:tcPr>
            <w:tcW w:w="1909" w:type="dxa"/>
            <w:shd w:val="clear" w:color="auto" w:fill="auto"/>
            <w:vAlign w:val="center"/>
          </w:tcPr>
          <w:p w14:paraId="76EDA1E0" w14:textId="53BC04FB" w:rsidR="00520668" w:rsidRPr="00E07ECB" w:rsidRDefault="00520668" w:rsidP="00520668">
            <w:pPr>
              <w:jc w:val="center"/>
              <w:rPr>
                <w:bCs/>
                <w:szCs w:val="17"/>
              </w:rPr>
            </w:pPr>
            <w:r w:rsidRPr="00E76E73">
              <w:rPr>
                <w:szCs w:val="17"/>
              </w:rPr>
              <w:t>Yon-Courtin, Boyer</w:t>
            </w:r>
          </w:p>
        </w:tc>
        <w:tc>
          <w:tcPr>
            <w:tcW w:w="2543" w:type="dxa"/>
            <w:shd w:val="clear" w:color="auto" w:fill="auto"/>
            <w:vAlign w:val="center"/>
          </w:tcPr>
          <w:p w14:paraId="1568018B" w14:textId="54A09EFB" w:rsidR="00520668" w:rsidRPr="00E07ECB" w:rsidRDefault="007A0929" w:rsidP="00520668">
            <w:pPr>
              <w:jc w:val="center"/>
              <w:rPr>
                <w:bCs/>
                <w:szCs w:val="17"/>
              </w:rPr>
            </w:pPr>
            <w:r>
              <w:rPr>
                <w:rFonts w:cs="Calibri"/>
                <w:bCs/>
                <w:color w:val="000000"/>
                <w:szCs w:val="17"/>
              </w:rPr>
              <w:t>Extrapolation</w:t>
            </w:r>
          </w:p>
        </w:tc>
        <w:tc>
          <w:tcPr>
            <w:tcW w:w="1293" w:type="dxa"/>
            <w:shd w:val="clear" w:color="auto" w:fill="auto"/>
            <w:vAlign w:val="center"/>
          </w:tcPr>
          <w:p w14:paraId="520FEC04" w14:textId="75C005DC" w:rsidR="00520668" w:rsidRPr="000D4029" w:rsidRDefault="00AD1FA5" w:rsidP="00520668">
            <w:pPr>
              <w:jc w:val="center"/>
              <w:rPr>
                <w:b/>
                <w:szCs w:val="17"/>
              </w:rPr>
            </w:pPr>
            <w:r>
              <w:rPr>
                <w:b/>
                <w:color w:val="F79646" w:themeColor="accent6"/>
                <w:szCs w:val="17"/>
              </w:rPr>
              <w:t>Mixed</w:t>
            </w:r>
          </w:p>
        </w:tc>
      </w:tr>
      <w:tr w:rsidR="00520668" w:rsidRPr="00D43554" w14:paraId="2A358E39" w14:textId="77777777" w:rsidTr="00424768">
        <w:trPr>
          <w:trHeight w:val="499"/>
        </w:trPr>
        <w:tc>
          <w:tcPr>
            <w:tcW w:w="689" w:type="dxa"/>
            <w:shd w:val="clear" w:color="auto" w:fill="auto"/>
            <w:vAlign w:val="center"/>
          </w:tcPr>
          <w:p w14:paraId="30FD0B1A" w14:textId="6F17E254" w:rsidR="00520668" w:rsidRPr="00E07ECB" w:rsidRDefault="00520668" w:rsidP="00520668">
            <w:pPr>
              <w:jc w:val="center"/>
              <w:rPr>
                <w:bCs/>
                <w:szCs w:val="17"/>
              </w:rPr>
            </w:pPr>
            <w:r>
              <w:rPr>
                <w:bCs/>
                <w:szCs w:val="17"/>
              </w:rPr>
              <w:t>256</w:t>
            </w:r>
          </w:p>
        </w:tc>
        <w:tc>
          <w:tcPr>
            <w:tcW w:w="1909" w:type="dxa"/>
            <w:shd w:val="clear" w:color="auto" w:fill="auto"/>
            <w:vAlign w:val="center"/>
          </w:tcPr>
          <w:p w14:paraId="769FAF85" w14:textId="0252A5DC" w:rsidR="00520668" w:rsidRPr="00E07ECB" w:rsidRDefault="00520668" w:rsidP="00520668">
            <w:pPr>
              <w:jc w:val="center"/>
              <w:rPr>
                <w:bCs/>
                <w:szCs w:val="17"/>
              </w:rPr>
            </w:pPr>
            <w:r w:rsidRPr="00C03F4E">
              <w:rPr>
                <w:bCs/>
                <w:szCs w:val="17"/>
              </w:rPr>
              <w:t>Recital 3</w:t>
            </w:r>
            <w:r>
              <w:rPr>
                <w:bCs/>
                <w:szCs w:val="17"/>
              </w:rPr>
              <w:t>6</w:t>
            </w:r>
          </w:p>
        </w:tc>
        <w:tc>
          <w:tcPr>
            <w:tcW w:w="6116" w:type="dxa"/>
            <w:shd w:val="clear" w:color="auto" w:fill="auto"/>
          </w:tcPr>
          <w:p w14:paraId="32CA1DE5" w14:textId="677D053A" w:rsidR="00320205" w:rsidRDefault="00277805" w:rsidP="009A71C9">
            <w:pPr>
              <w:jc w:val="left"/>
              <w:rPr>
                <w:bCs/>
                <w:szCs w:val="17"/>
              </w:rPr>
            </w:pPr>
            <w:r>
              <w:rPr>
                <w:bCs/>
                <w:szCs w:val="17"/>
              </w:rPr>
              <w:t xml:space="preserve">Opens possibility for application of </w:t>
            </w:r>
            <w:r w:rsidR="00DD13A8">
              <w:rPr>
                <w:bCs/>
                <w:szCs w:val="17"/>
              </w:rPr>
              <w:t xml:space="preserve">quality overshooting </w:t>
            </w:r>
            <w:r>
              <w:rPr>
                <w:bCs/>
                <w:szCs w:val="17"/>
              </w:rPr>
              <w:t xml:space="preserve">adjustment </w:t>
            </w:r>
            <w:r w:rsidR="000F2B3E">
              <w:rPr>
                <w:bCs/>
                <w:szCs w:val="17"/>
              </w:rPr>
              <w:t xml:space="preserve">to the </w:t>
            </w:r>
            <w:r w:rsidR="001931B2">
              <w:rPr>
                <w:bCs/>
                <w:szCs w:val="17"/>
              </w:rPr>
              <w:t>VA</w:t>
            </w:r>
            <w:r w:rsidR="00441126">
              <w:rPr>
                <w:bCs/>
                <w:szCs w:val="17"/>
              </w:rPr>
              <w:t>.</w:t>
            </w:r>
          </w:p>
          <w:p w14:paraId="3502FBB8" w14:textId="77777777" w:rsidR="00320205" w:rsidRDefault="00320205" w:rsidP="009A71C9">
            <w:pPr>
              <w:jc w:val="left"/>
              <w:rPr>
                <w:bCs/>
                <w:szCs w:val="17"/>
              </w:rPr>
            </w:pPr>
          </w:p>
          <w:p w14:paraId="5E69AC60" w14:textId="67055C9F" w:rsidR="00C30286" w:rsidRDefault="00823D25" w:rsidP="009A71C9">
            <w:pPr>
              <w:jc w:val="left"/>
              <w:rPr>
                <w:bCs/>
                <w:szCs w:val="17"/>
              </w:rPr>
            </w:pPr>
            <w:r>
              <w:rPr>
                <w:bCs/>
                <w:szCs w:val="17"/>
              </w:rPr>
              <w:t xml:space="preserve">Minimum conditions </w:t>
            </w:r>
            <w:r w:rsidR="004E6307">
              <w:rPr>
                <w:bCs/>
                <w:szCs w:val="17"/>
              </w:rPr>
              <w:t>for VA use s</w:t>
            </w:r>
            <w:r w:rsidR="009C613A">
              <w:rPr>
                <w:bCs/>
                <w:szCs w:val="17"/>
              </w:rPr>
              <w:t>hould be introduced.</w:t>
            </w:r>
          </w:p>
          <w:p w14:paraId="671D81AB" w14:textId="7A4E3D63" w:rsidR="00520668" w:rsidRPr="00E07ECB" w:rsidRDefault="00520668" w:rsidP="009A71C9">
            <w:pPr>
              <w:jc w:val="left"/>
              <w:rPr>
                <w:bCs/>
                <w:szCs w:val="17"/>
              </w:rPr>
            </w:pPr>
            <w:r>
              <w:rPr>
                <w:bCs/>
                <w:szCs w:val="17"/>
              </w:rPr>
              <w:t xml:space="preserve">MS </w:t>
            </w:r>
            <w:r w:rsidR="00C30286">
              <w:rPr>
                <w:bCs/>
                <w:szCs w:val="17"/>
              </w:rPr>
              <w:t xml:space="preserve">should have the option to extend conditions for approval </w:t>
            </w:r>
            <w:r w:rsidR="003A1ADF">
              <w:rPr>
                <w:bCs/>
                <w:szCs w:val="17"/>
              </w:rPr>
              <w:t>to include an</w:t>
            </w:r>
            <w:r>
              <w:rPr>
                <w:bCs/>
                <w:szCs w:val="17"/>
              </w:rPr>
              <w:t xml:space="preserve"> assessment against </w:t>
            </w:r>
            <w:r w:rsidR="00DE471E">
              <w:rPr>
                <w:bCs/>
                <w:szCs w:val="17"/>
              </w:rPr>
              <w:t>VA</w:t>
            </w:r>
            <w:r>
              <w:rPr>
                <w:bCs/>
                <w:szCs w:val="17"/>
              </w:rPr>
              <w:t xml:space="preserve"> underlying assumptions.</w:t>
            </w:r>
          </w:p>
        </w:tc>
        <w:tc>
          <w:tcPr>
            <w:tcW w:w="1909" w:type="dxa"/>
            <w:shd w:val="clear" w:color="auto" w:fill="auto"/>
            <w:vAlign w:val="center"/>
          </w:tcPr>
          <w:p w14:paraId="72045CCD" w14:textId="30A4EAF1" w:rsidR="00520668" w:rsidRPr="00E07ECB" w:rsidRDefault="00520668" w:rsidP="00520668">
            <w:pPr>
              <w:jc w:val="center"/>
              <w:rPr>
                <w:bCs/>
                <w:szCs w:val="17"/>
              </w:rPr>
            </w:pPr>
            <w:r>
              <w:rPr>
                <w:bCs/>
                <w:szCs w:val="17"/>
              </w:rPr>
              <w:t>V</w:t>
            </w:r>
            <w:r w:rsidRPr="00200E30">
              <w:rPr>
                <w:bCs/>
                <w:szCs w:val="17"/>
              </w:rPr>
              <w:t xml:space="preserve">an </w:t>
            </w:r>
            <w:proofErr w:type="spellStart"/>
            <w:r w:rsidRPr="00200E30">
              <w:rPr>
                <w:bCs/>
                <w:szCs w:val="17"/>
              </w:rPr>
              <w:t>Overtveldt</w:t>
            </w:r>
            <w:proofErr w:type="spellEnd"/>
          </w:p>
        </w:tc>
        <w:tc>
          <w:tcPr>
            <w:tcW w:w="2543" w:type="dxa"/>
            <w:shd w:val="clear" w:color="auto" w:fill="auto"/>
            <w:vAlign w:val="center"/>
          </w:tcPr>
          <w:p w14:paraId="2C6922F4" w14:textId="5B8A4B9F" w:rsidR="00520668" w:rsidRPr="00E07ECB" w:rsidRDefault="00F00924" w:rsidP="00520668">
            <w:pPr>
              <w:jc w:val="center"/>
              <w:rPr>
                <w:bCs/>
                <w:szCs w:val="17"/>
              </w:rPr>
            </w:pPr>
            <w:r>
              <w:rPr>
                <w:bCs/>
                <w:szCs w:val="17"/>
              </w:rPr>
              <w:t>VA</w:t>
            </w:r>
          </w:p>
        </w:tc>
        <w:tc>
          <w:tcPr>
            <w:tcW w:w="1293" w:type="dxa"/>
            <w:shd w:val="clear" w:color="auto" w:fill="auto"/>
            <w:vAlign w:val="center"/>
          </w:tcPr>
          <w:p w14:paraId="586EB57E" w14:textId="41D5EC94" w:rsidR="00520668" w:rsidRPr="00E07ECB" w:rsidRDefault="00520668" w:rsidP="00520668">
            <w:pPr>
              <w:jc w:val="center"/>
              <w:rPr>
                <w:bCs/>
                <w:szCs w:val="17"/>
              </w:rPr>
            </w:pPr>
            <w:r w:rsidRPr="00E72AD5">
              <w:rPr>
                <w:b/>
                <w:color w:val="FF0000"/>
                <w:szCs w:val="17"/>
              </w:rPr>
              <w:t>Negative</w:t>
            </w:r>
          </w:p>
        </w:tc>
      </w:tr>
      <w:tr w:rsidR="00520668" w:rsidRPr="00D43554" w14:paraId="2CAB9637" w14:textId="77777777" w:rsidTr="00424768">
        <w:trPr>
          <w:trHeight w:val="499"/>
        </w:trPr>
        <w:tc>
          <w:tcPr>
            <w:tcW w:w="689" w:type="dxa"/>
            <w:shd w:val="clear" w:color="auto" w:fill="auto"/>
            <w:vAlign w:val="center"/>
          </w:tcPr>
          <w:p w14:paraId="639DE650" w14:textId="46E1B91D" w:rsidR="00520668" w:rsidRPr="00E07ECB" w:rsidRDefault="00520668" w:rsidP="00520668">
            <w:pPr>
              <w:jc w:val="center"/>
              <w:rPr>
                <w:bCs/>
                <w:szCs w:val="17"/>
              </w:rPr>
            </w:pPr>
            <w:r>
              <w:rPr>
                <w:bCs/>
                <w:szCs w:val="17"/>
              </w:rPr>
              <w:lastRenderedPageBreak/>
              <w:t>257</w:t>
            </w:r>
          </w:p>
        </w:tc>
        <w:tc>
          <w:tcPr>
            <w:tcW w:w="1909" w:type="dxa"/>
            <w:shd w:val="clear" w:color="auto" w:fill="auto"/>
            <w:vAlign w:val="center"/>
          </w:tcPr>
          <w:p w14:paraId="3B998173" w14:textId="5C877516" w:rsidR="00520668" w:rsidRPr="00E07ECB" w:rsidRDefault="00520668" w:rsidP="00520668">
            <w:pPr>
              <w:jc w:val="center"/>
              <w:rPr>
                <w:bCs/>
                <w:szCs w:val="17"/>
              </w:rPr>
            </w:pPr>
            <w:r w:rsidRPr="00C03F4E">
              <w:rPr>
                <w:bCs/>
                <w:szCs w:val="17"/>
              </w:rPr>
              <w:t>Recital 3</w:t>
            </w:r>
            <w:r>
              <w:rPr>
                <w:bCs/>
                <w:szCs w:val="17"/>
              </w:rPr>
              <w:t>6</w:t>
            </w:r>
          </w:p>
        </w:tc>
        <w:tc>
          <w:tcPr>
            <w:tcW w:w="6116" w:type="dxa"/>
            <w:shd w:val="clear" w:color="auto" w:fill="auto"/>
          </w:tcPr>
          <w:p w14:paraId="0B07F252" w14:textId="269600AB" w:rsidR="00520668" w:rsidRPr="00E07ECB" w:rsidRDefault="00520668" w:rsidP="009A71C9">
            <w:pPr>
              <w:jc w:val="left"/>
              <w:rPr>
                <w:bCs/>
                <w:szCs w:val="17"/>
              </w:rPr>
            </w:pPr>
            <w:r>
              <w:rPr>
                <w:bCs/>
                <w:szCs w:val="17"/>
              </w:rPr>
              <w:t xml:space="preserve">Introduction of </w:t>
            </w:r>
            <w:r w:rsidRPr="00EC30EE">
              <w:rPr>
                <w:bCs/>
                <w:szCs w:val="17"/>
              </w:rPr>
              <w:t>illiquidity</w:t>
            </w:r>
            <w:r>
              <w:rPr>
                <w:bCs/>
                <w:szCs w:val="17"/>
              </w:rPr>
              <w:t xml:space="preserve"> factor </w:t>
            </w:r>
            <w:r w:rsidR="004C796A">
              <w:rPr>
                <w:bCs/>
                <w:szCs w:val="17"/>
              </w:rPr>
              <w:t>in the VA</w:t>
            </w:r>
          </w:p>
        </w:tc>
        <w:tc>
          <w:tcPr>
            <w:tcW w:w="1909" w:type="dxa"/>
            <w:shd w:val="clear" w:color="auto" w:fill="auto"/>
            <w:vAlign w:val="center"/>
          </w:tcPr>
          <w:p w14:paraId="4AE7E996" w14:textId="486C493D" w:rsidR="00520668" w:rsidRPr="00E07ECB" w:rsidRDefault="00520668" w:rsidP="00520668">
            <w:pPr>
              <w:jc w:val="center"/>
              <w:rPr>
                <w:bCs/>
                <w:szCs w:val="17"/>
              </w:rPr>
            </w:pPr>
            <w:r w:rsidRPr="00355E78">
              <w:rPr>
                <w:bCs/>
                <w:szCs w:val="17"/>
              </w:rPr>
              <w:t>Hahn</w:t>
            </w:r>
          </w:p>
        </w:tc>
        <w:tc>
          <w:tcPr>
            <w:tcW w:w="2543" w:type="dxa"/>
            <w:shd w:val="clear" w:color="auto" w:fill="auto"/>
            <w:vAlign w:val="center"/>
          </w:tcPr>
          <w:p w14:paraId="3DF9095E" w14:textId="162B1F02" w:rsidR="00520668" w:rsidRPr="00E07ECB" w:rsidRDefault="00D92AC3" w:rsidP="00520668">
            <w:pPr>
              <w:jc w:val="center"/>
              <w:rPr>
                <w:bCs/>
                <w:szCs w:val="17"/>
              </w:rPr>
            </w:pPr>
            <w:r>
              <w:rPr>
                <w:bCs/>
                <w:szCs w:val="17"/>
              </w:rPr>
              <w:t>VA</w:t>
            </w:r>
          </w:p>
        </w:tc>
        <w:tc>
          <w:tcPr>
            <w:tcW w:w="1293" w:type="dxa"/>
            <w:shd w:val="clear" w:color="auto" w:fill="auto"/>
            <w:vAlign w:val="center"/>
          </w:tcPr>
          <w:p w14:paraId="15E927E1" w14:textId="7D429594" w:rsidR="00520668" w:rsidRPr="00E07ECB" w:rsidRDefault="00520668" w:rsidP="00520668">
            <w:pPr>
              <w:jc w:val="center"/>
              <w:rPr>
                <w:bCs/>
                <w:szCs w:val="17"/>
              </w:rPr>
            </w:pPr>
            <w:r w:rsidRPr="00E72AD5">
              <w:rPr>
                <w:b/>
                <w:color w:val="FF0000"/>
                <w:szCs w:val="17"/>
              </w:rPr>
              <w:t>Negative</w:t>
            </w:r>
          </w:p>
        </w:tc>
      </w:tr>
      <w:tr w:rsidR="00520668" w:rsidRPr="00D43554" w14:paraId="61DE78EA" w14:textId="77777777" w:rsidTr="00424768">
        <w:trPr>
          <w:trHeight w:val="499"/>
        </w:trPr>
        <w:tc>
          <w:tcPr>
            <w:tcW w:w="689" w:type="dxa"/>
            <w:shd w:val="clear" w:color="auto" w:fill="auto"/>
            <w:vAlign w:val="center"/>
          </w:tcPr>
          <w:p w14:paraId="4DAE8DA7" w14:textId="63A463C8" w:rsidR="00520668" w:rsidRPr="00E07ECB" w:rsidRDefault="00520668" w:rsidP="00520668">
            <w:pPr>
              <w:jc w:val="center"/>
              <w:rPr>
                <w:bCs/>
                <w:szCs w:val="17"/>
              </w:rPr>
            </w:pPr>
            <w:r>
              <w:rPr>
                <w:bCs/>
                <w:szCs w:val="17"/>
              </w:rPr>
              <w:t>25</w:t>
            </w:r>
            <w:r w:rsidR="007A21CC">
              <w:rPr>
                <w:bCs/>
                <w:szCs w:val="17"/>
              </w:rPr>
              <w:t>8-</w:t>
            </w:r>
            <w:r w:rsidR="00897902">
              <w:rPr>
                <w:bCs/>
                <w:szCs w:val="17"/>
              </w:rPr>
              <w:t>259</w:t>
            </w:r>
            <w:r w:rsidR="007A21CC">
              <w:rPr>
                <w:bCs/>
                <w:szCs w:val="17"/>
              </w:rPr>
              <w:t>-260</w:t>
            </w:r>
          </w:p>
        </w:tc>
        <w:tc>
          <w:tcPr>
            <w:tcW w:w="1909" w:type="dxa"/>
            <w:shd w:val="clear" w:color="auto" w:fill="auto"/>
            <w:vAlign w:val="center"/>
          </w:tcPr>
          <w:p w14:paraId="3C7D190F" w14:textId="5AFAFCE8" w:rsidR="00520668" w:rsidRPr="00E07ECB" w:rsidRDefault="00520668" w:rsidP="00520668">
            <w:pPr>
              <w:jc w:val="center"/>
              <w:rPr>
                <w:bCs/>
                <w:szCs w:val="17"/>
              </w:rPr>
            </w:pPr>
            <w:r w:rsidRPr="000C1E64">
              <w:rPr>
                <w:bCs/>
                <w:szCs w:val="17"/>
              </w:rPr>
              <w:t>Recital 36 a (new)</w:t>
            </w:r>
          </w:p>
        </w:tc>
        <w:tc>
          <w:tcPr>
            <w:tcW w:w="6116" w:type="dxa"/>
            <w:shd w:val="clear" w:color="auto" w:fill="auto"/>
          </w:tcPr>
          <w:p w14:paraId="263722AD" w14:textId="4B227D63" w:rsidR="00520668" w:rsidRPr="00E07ECB" w:rsidRDefault="009D13E4" w:rsidP="009A71C9">
            <w:pPr>
              <w:jc w:val="left"/>
              <w:rPr>
                <w:bCs/>
                <w:szCs w:val="17"/>
              </w:rPr>
            </w:pPr>
            <w:r>
              <w:rPr>
                <w:bCs/>
                <w:szCs w:val="17"/>
              </w:rPr>
              <w:t>U</w:t>
            </w:r>
            <w:r w:rsidRPr="009D13E4">
              <w:rPr>
                <w:bCs/>
                <w:szCs w:val="17"/>
              </w:rPr>
              <w:t>ndertakings should be able to apply for a</w:t>
            </w:r>
            <w:r w:rsidR="00974859">
              <w:rPr>
                <w:bCs/>
                <w:szCs w:val="17"/>
              </w:rPr>
              <w:t xml:space="preserve"> quality overshooting </w:t>
            </w:r>
            <w:r w:rsidR="00A82D6E">
              <w:rPr>
                <w:bCs/>
                <w:szCs w:val="17"/>
              </w:rPr>
              <w:t xml:space="preserve">adjustment to the </w:t>
            </w:r>
            <w:r w:rsidR="000071CF">
              <w:rPr>
                <w:bCs/>
                <w:szCs w:val="17"/>
              </w:rPr>
              <w:t>VA</w:t>
            </w:r>
            <w:r w:rsidRPr="009D13E4">
              <w:rPr>
                <w:bCs/>
                <w:szCs w:val="17"/>
              </w:rPr>
              <w:t>.</w:t>
            </w:r>
          </w:p>
        </w:tc>
        <w:tc>
          <w:tcPr>
            <w:tcW w:w="1909" w:type="dxa"/>
            <w:shd w:val="clear" w:color="auto" w:fill="auto"/>
            <w:vAlign w:val="center"/>
          </w:tcPr>
          <w:p w14:paraId="13F60343" w14:textId="60558AE5" w:rsidR="00897902" w:rsidRPr="00E76E73" w:rsidRDefault="004C796A" w:rsidP="00897902">
            <w:pPr>
              <w:jc w:val="center"/>
              <w:rPr>
                <w:szCs w:val="17"/>
              </w:rPr>
            </w:pPr>
            <w:r w:rsidRPr="00E76E73">
              <w:rPr>
                <w:szCs w:val="17"/>
              </w:rPr>
              <w:t xml:space="preserve">Van </w:t>
            </w:r>
            <w:proofErr w:type="spellStart"/>
            <w:r w:rsidR="00520668" w:rsidRPr="00E76E73">
              <w:rPr>
                <w:szCs w:val="17"/>
              </w:rPr>
              <w:t>Overtveldt</w:t>
            </w:r>
            <w:proofErr w:type="spellEnd"/>
            <w:r w:rsidR="00897902" w:rsidRPr="00E76E73">
              <w:rPr>
                <w:szCs w:val="17"/>
              </w:rPr>
              <w:t xml:space="preserve">/ </w:t>
            </w:r>
            <w:proofErr w:type="spellStart"/>
            <w:r w:rsidR="00897902" w:rsidRPr="00E76E73">
              <w:rPr>
                <w:szCs w:val="17"/>
              </w:rPr>
              <w:t>Heinäluoma</w:t>
            </w:r>
            <w:proofErr w:type="spellEnd"/>
            <w:r w:rsidR="00897902" w:rsidRPr="00E76E73">
              <w:rPr>
                <w:szCs w:val="17"/>
              </w:rPr>
              <w:t xml:space="preserve">, </w:t>
            </w:r>
            <w:proofErr w:type="spellStart"/>
            <w:r w:rsidR="00897902" w:rsidRPr="00E76E73">
              <w:rPr>
                <w:szCs w:val="17"/>
              </w:rPr>
              <w:t>Lalucq</w:t>
            </w:r>
            <w:proofErr w:type="spellEnd"/>
            <w:r w:rsidR="00897902" w:rsidRPr="00E76E73">
              <w:rPr>
                <w:szCs w:val="17"/>
              </w:rPr>
              <w:t>/</w:t>
            </w:r>
          </w:p>
          <w:p w14:paraId="2C3A129A" w14:textId="0638B9B5" w:rsidR="00520668" w:rsidRPr="00E76E73" w:rsidRDefault="00897902" w:rsidP="00520668">
            <w:pPr>
              <w:jc w:val="center"/>
              <w:rPr>
                <w:szCs w:val="17"/>
              </w:rPr>
            </w:pPr>
            <w:r w:rsidRPr="00E76E73">
              <w:rPr>
                <w:szCs w:val="17"/>
              </w:rPr>
              <w:t>de Lange</w:t>
            </w:r>
          </w:p>
        </w:tc>
        <w:tc>
          <w:tcPr>
            <w:tcW w:w="2543" w:type="dxa"/>
            <w:shd w:val="clear" w:color="auto" w:fill="auto"/>
            <w:vAlign w:val="center"/>
          </w:tcPr>
          <w:p w14:paraId="4AE869EC" w14:textId="3BD0F076" w:rsidR="00520668" w:rsidRPr="00E07ECB" w:rsidRDefault="00D92AC3" w:rsidP="00520668">
            <w:pPr>
              <w:jc w:val="center"/>
              <w:rPr>
                <w:bCs/>
                <w:szCs w:val="17"/>
              </w:rPr>
            </w:pPr>
            <w:r>
              <w:rPr>
                <w:bCs/>
                <w:szCs w:val="17"/>
              </w:rPr>
              <w:t>VA</w:t>
            </w:r>
          </w:p>
        </w:tc>
        <w:tc>
          <w:tcPr>
            <w:tcW w:w="1293" w:type="dxa"/>
            <w:shd w:val="clear" w:color="auto" w:fill="auto"/>
            <w:vAlign w:val="center"/>
          </w:tcPr>
          <w:p w14:paraId="5134639E" w14:textId="14D38918" w:rsidR="00520668" w:rsidRPr="00DA133E" w:rsidRDefault="00524BDC" w:rsidP="00520668">
            <w:pPr>
              <w:jc w:val="center"/>
              <w:rPr>
                <w:szCs w:val="17"/>
                <w:highlight w:val="yellow"/>
              </w:rPr>
            </w:pPr>
            <w:r w:rsidRPr="00A82D6E">
              <w:rPr>
                <w:b/>
                <w:color w:val="FF0000"/>
                <w:szCs w:val="17"/>
              </w:rPr>
              <w:t>Negative</w:t>
            </w:r>
          </w:p>
        </w:tc>
      </w:tr>
      <w:tr w:rsidR="00520668" w:rsidRPr="00D43554" w14:paraId="16E6C818" w14:textId="77777777" w:rsidTr="00424768">
        <w:trPr>
          <w:trHeight w:val="499"/>
        </w:trPr>
        <w:tc>
          <w:tcPr>
            <w:tcW w:w="689" w:type="dxa"/>
            <w:shd w:val="clear" w:color="auto" w:fill="auto"/>
            <w:vAlign w:val="center"/>
          </w:tcPr>
          <w:p w14:paraId="39ECE524" w14:textId="17E4E6D1" w:rsidR="00520668" w:rsidRPr="00E07ECB" w:rsidRDefault="00520668" w:rsidP="00520668">
            <w:pPr>
              <w:jc w:val="center"/>
              <w:rPr>
                <w:bCs/>
                <w:szCs w:val="17"/>
              </w:rPr>
            </w:pPr>
            <w:r>
              <w:rPr>
                <w:bCs/>
                <w:szCs w:val="17"/>
              </w:rPr>
              <w:t>261</w:t>
            </w:r>
          </w:p>
        </w:tc>
        <w:tc>
          <w:tcPr>
            <w:tcW w:w="1909" w:type="dxa"/>
            <w:shd w:val="clear" w:color="auto" w:fill="auto"/>
            <w:vAlign w:val="center"/>
          </w:tcPr>
          <w:p w14:paraId="501F7AB5" w14:textId="43779367" w:rsidR="00520668" w:rsidRPr="00E07ECB" w:rsidRDefault="00520668" w:rsidP="00520668">
            <w:pPr>
              <w:jc w:val="center"/>
              <w:rPr>
                <w:bCs/>
                <w:szCs w:val="17"/>
              </w:rPr>
            </w:pPr>
            <w:r w:rsidRPr="000060F1">
              <w:rPr>
                <w:bCs/>
                <w:szCs w:val="17"/>
              </w:rPr>
              <w:t>Recital 37</w:t>
            </w:r>
          </w:p>
        </w:tc>
        <w:tc>
          <w:tcPr>
            <w:tcW w:w="6116" w:type="dxa"/>
            <w:shd w:val="clear" w:color="auto" w:fill="auto"/>
          </w:tcPr>
          <w:p w14:paraId="62B3496B" w14:textId="0B282972" w:rsidR="00520668" w:rsidRPr="00E07ECB" w:rsidRDefault="00DB13FA" w:rsidP="009A71C9">
            <w:pPr>
              <w:jc w:val="left"/>
              <w:rPr>
                <w:bCs/>
                <w:szCs w:val="17"/>
              </w:rPr>
            </w:pPr>
            <w:r>
              <w:rPr>
                <w:bCs/>
                <w:szCs w:val="17"/>
              </w:rPr>
              <w:t>Added that t</w:t>
            </w:r>
            <w:r w:rsidR="00520668" w:rsidRPr="002D16A6">
              <w:rPr>
                <w:bCs/>
                <w:szCs w:val="17"/>
              </w:rPr>
              <w:t>he methodology of the risk-correction</w:t>
            </w:r>
            <w:r w:rsidR="00520668">
              <w:rPr>
                <w:bCs/>
                <w:szCs w:val="17"/>
              </w:rPr>
              <w:t xml:space="preserve"> </w:t>
            </w:r>
            <w:r w:rsidR="00520668" w:rsidRPr="002D16A6">
              <w:rPr>
                <w:bCs/>
                <w:szCs w:val="17"/>
              </w:rPr>
              <w:t>should aim at ensuring the counter-cyclicality function of the Volatility Adjustment.</w:t>
            </w:r>
          </w:p>
        </w:tc>
        <w:tc>
          <w:tcPr>
            <w:tcW w:w="1909" w:type="dxa"/>
            <w:shd w:val="clear" w:color="auto" w:fill="auto"/>
            <w:vAlign w:val="center"/>
          </w:tcPr>
          <w:p w14:paraId="13147BA5" w14:textId="136353BF" w:rsidR="00520668" w:rsidRPr="00E07ECB" w:rsidRDefault="00520668" w:rsidP="00520668">
            <w:pPr>
              <w:jc w:val="center"/>
              <w:rPr>
                <w:bCs/>
                <w:szCs w:val="17"/>
              </w:rPr>
            </w:pPr>
            <w:proofErr w:type="spellStart"/>
            <w:r w:rsidRPr="00E76E73">
              <w:rPr>
                <w:szCs w:val="17"/>
              </w:rPr>
              <w:t>Gualmini</w:t>
            </w:r>
            <w:proofErr w:type="spellEnd"/>
          </w:p>
        </w:tc>
        <w:tc>
          <w:tcPr>
            <w:tcW w:w="2543" w:type="dxa"/>
            <w:shd w:val="clear" w:color="auto" w:fill="auto"/>
            <w:vAlign w:val="center"/>
          </w:tcPr>
          <w:p w14:paraId="13D82064" w14:textId="0E7D6F13" w:rsidR="00520668" w:rsidRPr="00E07ECB" w:rsidRDefault="00336A24" w:rsidP="00520668">
            <w:pPr>
              <w:jc w:val="center"/>
              <w:rPr>
                <w:bCs/>
                <w:szCs w:val="17"/>
              </w:rPr>
            </w:pPr>
            <w:r>
              <w:rPr>
                <w:bCs/>
                <w:szCs w:val="17"/>
              </w:rPr>
              <w:t>VA</w:t>
            </w:r>
          </w:p>
        </w:tc>
        <w:tc>
          <w:tcPr>
            <w:tcW w:w="1293" w:type="dxa"/>
            <w:shd w:val="clear" w:color="auto" w:fill="auto"/>
            <w:vAlign w:val="center"/>
          </w:tcPr>
          <w:p w14:paraId="655F5FB0" w14:textId="6490949C" w:rsidR="00520668" w:rsidRPr="00E07ECB" w:rsidRDefault="00520668" w:rsidP="00520668">
            <w:pPr>
              <w:jc w:val="center"/>
              <w:rPr>
                <w:bCs/>
                <w:szCs w:val="17"/>
              </w:rPr>
            </w:pPr>
            <w:r w:rsidRPr="00B9725D">
              <w:rPr>
                <w:b/>
                <w:color w:val="00B050"/>
                <w:szCs w:val="17"/>
              </w:rPr>
              <w:t>Positive</w:t>
            </w:r>
          </w:p>
        </w:tc>
      </w:tr>
      <w:tr w:rsidR="00520668" w:rsidRPr="00D43554" w14:paraId="7B2A6251" w14:textId="77777777" w:rsidTr="00424768">
        <w:trPr>
          <w:trHeight w:val="499"/>
        </w:trPr>
        <w:tc>
          <w:tcPr>
            <w:tcW w:w="689" w:type="dxa"/>
            <w:shd w:val="clear" w:color="auto" w:fill="auto"/>
            <w:vAlign w:val="center"/>
          </w:tcPr>
          <w:p w14:paraId="2E96FC70" w14:textId="19A216CA" w:rsidR="00520668" w:rsidRPr="00E07ECB" w:rsidRDefault="00520668" w:rsidP="00520668">
            <w:pPr>
              <w:jc w:val="center"/>
              <w:rPr>
                <w:bCs/>
                <w:szCs w:val="17"/>
              </w:rPr>
            </w:pPr>
            <w:r>
              <w:rPr>
                <w:bCs/>
                <w:szCs w:val="17"/>
              </w:rPr>
              <w:t>262</w:t>
            </w:r>
          </w:p>
        </w:tc>
        <w:tc>
          <w:tcPr>
            <w:tcW w:w="1909" w:type="dxa"/>
            <w:shd w:val="clear" w:color="auto" w:fill="auto"/>
            <w:vAlign w:val="center"/>
          </w:tcPr>
          <w:p w14:paraId="715F259B" w14:textId="7A510F5B" w:rsidR="00520668" w:rsidRPr="00E07ECB" w:rsidRDefault="00520668" w:rsidP="00520668">
            <w:pPr>
              <w:jc w:val="center"/>
              <w:rPr>
                <w:bCs/>
                <w:szCs w:val="17"/>
              </w:rPr>
            </w:pPr>
            <w:r w:rsidRPr="000060F1">
              <w:rPr>
                <w:bCs/>
                <w:szCs w:val="17"/>
              </w:rPr>
              <w:t>Recital 37</w:t>
            </w:r>
            <w:r>
              <w:rPr>
                <w:bCs/>
                <w:szCs w:val="17"/>
              </w:rPr>
              <w:t xml:space="preserve"> a (new)</w:t>
            </w:r>
          </w:p>
        </w:tc>
        <w:tc>
          <w:tcPr>
            <w:tcW w:w="6116" w:type="dxa"/>
            <w:shd w:val="clear" w:color="auto" w:fill="auto"/>
          </w:tcPr>
          <w:p w14:paraId="6A32B21A" w14:textId="092BAE33" w:rsidR="00520668" w:rsidRPr="00E07ECB" w:rsidRDefault="00C60C6E" w:rsidP="009A71C9">
            <w:pPr>
              <w:jc w:val="left"/>
              <w:rPr>
                <w:bCs/>
                <w:szCs w:val="17"/>
              </w:rPr>
            </w:pPr>
            <w:r>
              <w:rPr>
                <w:bCs/>
                <w:szCs w:val="17"/>
              </w:rPr>
              <w:t xml:space="preserve">Added a recital stating that </w:t>
            </w:r>
            <w:r w:rsidR="003076CB">
              <w:rPr>
                <w:bCs/>
                <w:szCs w:val="17"/>
              </w:rPr>
              <w:t xml:space="preserve">measurement methodologies and </w:t>
            </w:r>
            <w:r w:rsidR="00520668">
              <w:rPr>
                <w:bCs/>
                <w:szCs w:val="17"/>
              </w:rPr>
              <w:t xml:space="preserve">tools on illiquidity should </w:t>
            </w:r>
            <w:r w:rsidR="00855B84">
              <w:rPr>
                <w:bCs/>
                <w:szCs w:val="17"/>
              </w:rPr>
              <w:t xml:space="preserve">not be used when their design could have unintended consequences </w:t>
            </w:r>
            <w:r w:rsidR="002D3278">
              <w:rPr>
                <w:bCs/>
                <w:szCs w:val="17"/>
              </w:rPr>
              <w:t xml:space="preserve">or could be </w:t>
            </w:r>
            <w:r w:rsidR="00520668">
              <w:rPr>
                <w:bCs/>
                <w:szCs w:val="17"/>
              </w:rPr>
              <w:t xml:space="preserve">detrimental for </w:t>
            </w:r>
            <w:r w:rsidR="002D3278">
              <w:rPr>
                <w:bCs/>
                <w:szCs w:val="17"/>
              </w:rPr>
              <w:t>PH</w:t>
            </w:r>
            <w:r w:rsidR="00520668">
              <w:rPr>
                <w:bCs/>
                <w:szCs w:val="17"/>
              </w:rPr>
              <w:t xml:space="preserve"> protection or </w:t>
            </w:r>
            <w:r w:rsidR="00AE247C">
              <w:rPr>
                <w:bCs/>
                <w:szCs w:val="17"/>
              </w:rPr>
              <w:t>in case they are n</w:t>
            </w:r>
            <w:r w:rsidR="00520668">
              <w:rPr>
                <w:bCs/>
                <w:szCs w:val="17"/>
              </w:rPr>
              <w:t>ot based on valid empirical analysis</w:t>
            </w:r>
            <w:r w:rsidR="00044CE8">
              <w:rPr>
                <w:bCs/>
                <w:szCs w:val="17"/>
              </w:rPr>
              <w:t>.</w:t>
            </w:r>
          </w:p>
        </w:tc>
        <w:tc>
          <w:tcPr>
            <w:tcW w:w="1909" w:type="dxa"/>
            <w:shd w:val="clear" w:color="auto" w:fill="auto"/>
            <w:vAlign w:val="center"/>
          </w:tcPr>
          <w:p w14:paraId="35E786F5" w14:textId="7BBC0DED" w:rsidR="00520668" w:rsidRPr="00E07ECB" w:rsidRDefault="00520668" w:rsidP="00520668">
            <w:pPr>
              <w:jc w:val="center"/>
              <w:rPr>
                <w:bCs/>
                <w:szCs w:val="17"/>
              </w:rPr>
            </w:pPr>
            <w:proofErr w:type="spellStart"/>
            <w:r w:rsidRPr="00E76E73">
              <w:rPr>
                <w:szCs w:val="17"/>
              </w:rPr>
              <w:t>Gualmini</w:t>
            </w:r>
            <w:proofErr w:type="spellEnd"/>
          </w:p>
        </w:tc>
        <w:tc>
          <w:tcPr>
            <w:tcW w:w="2543" w:type="dxa"/>
            <w:shd w:val="clear" w:color="auto" w:fill="auto"/>
            <w:vAlign w:val="center"/>
          </w:tcPr>
          <w:p w14:paraId="0E3133FB" w14:textId="0C8ACBCF" w:rsidR="00520668" w:rsidRPr="00E07ECB" w:rsidRDefault="00336A24" w:rsidP="00520668">
            <w:pPr>
              <w:jc w:val="center"/>
              <w:rPr>
                <w:bCs/>
                <w:szCs w:val="17"/>
              </w:rPr>
            </w:pPr>
            <w:r>
              <w:rPr>
                <w:bCs/>
                <w:szCs w:val="17"/>
              </w:rPr>
              <w:t>VA</w:t>
            </w:r>
          </w:p>
        </w:tc>
        <w:tc>
          <w:tcPr>
            <w:tcW w:w="1293" w:type="dxa"/>
            <w:shd w:val="clear" w:color="auto" w:fill="auto"/>
            <w:vAlign w:val="center"/>
          </w:tcPr>
          <w:p w14:paraId="10A3E8E5" w14:textId="123F0BCE" w:rsidR="00520668" w:rsidRPr="00E07ECB" w:rsidRDefault="00B9725D" w:rsidP="00520668">
            <w:pPr>
              <w:jc w:val="center"/>
              <w:rPr>
                <w:bCs/>
                <w:szCs w:val="17"/>
              </w:rPr>
            </w:pPr>
            <w:r w:rsidRPr="00B9725D">
              <w:rPr>
                <w:b/>
                <w:color w:val="00B050"/>
                <w:szCs w:val="17"/>
              </w:rPr>
              <w:t>Positive</w:t>
            </w:r>
            <w:r w:rsidRPr="00F63B3C">
              <w:rPr>
                <w:b/>
                <w:color w:val="00B050"/>
                <w:szCs w:val="17"/>
              </w:rPr>
              <w:t xml:space="preserve"> </w:t>
            </w:r>
          </w:p>
        </w:tc>
      </w:tr>
      <w:tr w:rsidR="00520668" w:rsidRPr="00D43554" w14:paraId="3FA9B61E" w14:textId="77777777" w:rsidTr="00424768">
        <w:trPr>
          <w:trHeight w:val="499"/>
        </w:trPr>
        <w:tc>
          <w:tcPr>
            <w:tcW w:w="689" w:type="dxa"/>
            <w:shd w:val="clear" w:color="auto" w:fill="auto"/>
            <w:vAlign w:val="center"/>
          </w:tcPr>
          <w:p w14:paraId="240AC86B" w14:textId="01FBA660" w:rsidR="00520668" w:rsidRPr="00E07ECB" w:rsidRDefault="00520668" w:rsidP="00C37A6F">
            <w:pPr>
              <w:jc w:val="center"/>
              <w:rPr>
                <w:bCs/>
                <w:szCs w:val="17"/>
              </w:rPr>
            </w:pPr>
            <w:r>
              <w:rPr>
                <w:bCs/>
                <w:szCs w:val="17"/>
              </w:rPr>
              <w:t>263</w:t>
            </w:r>
          </w:p>
        </w:tc>
        <w:tc>
          <w:tcPr>
            <w:tcW w:w="1909" w:type="dxa"/>
            <w:shd w:val="clear" w:color="auto" w:fill="auto"/>
            <w:vAlign w:val="center"/>
          </w:tcPr>
          <w:p w14:paraId="4CB7889D" w14:textId="34BF0D7A" w:rsidR="00520668" w:rsidRPr="00E07ECB" w:rsidRDefault="00520668" w:rsidP="00520668">
            <w:pPr>
              <w:jc w:val="center"/>
              <w:rPr>
                <w:bCs/>
                <w:szCs w:val="17"/>
              </w:rPr>
            </w:pPr>
            <w:r w:rsidRPr="000060F1">
              <w:rPr>
                <w:bCs/>
                <w:szCs w:val="17"/>
              </w:rPr>
              <w:t>Recital 3</w:t>
            </w:r>
            <w:r>
              <w:rPr>
                <w:bCs/>
                <w:szCs w:val="17"/>
              </w:rPr>
              <w:t>9 a (new)</w:t>
            </w:r>
          </w:p>
        </w:tc>
        <w:tc>
          <w:tcPr>
            <w:tcW w:w="6116" w:type="dxa"/>
            <w:shd w:val="clear" w:color="auto" w:fill="auto"/>
          </w:tcPr>
          <w:p w14:paraId="09FC5891" w14:textId="77777777" w:rsidR="00833DCF" w:rsidRDefault="00833DCF" w:rsidP="00833DCF">
            <w:pPr>
              <w:jc w:val="left"/>
              <w:rPr>
                <w:bCs/>
                <w:szCs w:val="17"/>
              </w:rPr>
            </w:pPr>
            <w:r>
              <w:rPr>
                <w:bCs/>
                <w:szCs w:val="17"/>
              </w:rPr>
              <w:t xml:space="preserve">The review should </w:t>
            </w:r>
            <w:r w:rsidRPr="00BA0166">
              <w:rPr>
                <w:bCs/>
                <w:szCs w:val="17"/>
              </w:rPr>
              <w:t xml:space="preserve">ensure that the </w:t>
            </w:r>
            <w:r>
              <w:rPr>
                <w:bCs/>
                <w:szCs w:val="17"/>
              </w:rPr>
              <w:t>CoC-rate</w:t>
            </w:r>
            <w:r w:rsidRPr="00BA0166">
              <w:rPr>
                <w:bCs/>
                <w:szCs w:val="17"/>
              </w:rPr>
              <w:t xml:space="preserve"> remains risk-based and is not set at an overly conservative level</w:t>
            </w:r>
            <w:r>
              <w:rPr>
                <w:bCs/>
                <w:szCs w:val="17"/>
              </w:rPr>
              <w:t>.</w:t>
            </w:r>
          </w:p>
          <w:p w14:paraId="57590999" w14:textId="4404C4E9" w:rsidR="00833DCF" w:rsidRDefault="00520668" w:rsidP="009A71C9">
            <w:pPr>
              <w:jc w:val="left"/>
              <w:rPr>
                <w:bCs/>
                <w:szCs w:val="17"/>
              </w:rPr>
            </w:pPr>
            <w:r>
              <w:rPr>
                <w:bCs/>
                <w:szCs w:val="17"/>
              </w:rPr>
              <w:t>The projection of future capital requirements should consider the time dependence of risk</w:t>
            </w:r>
            <w:r w:rsidR="00833DCF">
              <w:rPr>
                <w:bCs/>
                <w:szCs w:val="17"/>
              </w:rPr>
              <w:t>s</w:t>
            </w:r>
            <w:r>
              <w:rPr>
                <w:bCs/>
                <w:szCs w:val="17"/>
              </w:rPr>
              <w:t>.</w:t>
            </w:r>
          </w:p>
          <w:p w14:paraId="3800BD69" w14:textId="00B26854" w:rsidR="00520668" w:rsidRPr="00E07ECB" w:rsidRDefault="00520668" w:rsidP="009A71C9">
            <w:pPr>
              <w:jc w:val="left"/>
              <w:rPr>
                <w:bCs/>
                <w:szCs w:val="17"/>
              </w:rPr>
            </w:pPr>
            <w:r>
              <w:rPr>
                <w:bCs/>
                <w:szCs w:val="17"/>
              </w:rPr>
              <w:t>The risk margin</w:t>
            </w:r>
            <w:r w:rsidRPr="001E761D">
              <w:rPr>
                <w:bCs/>
                <w:szCs w:val="17"/>
              </w:rPr>
              <w:t xml:space="preserve"> should take diversification effects at group level into accoun</w:t>
            </w:r>
            <w:r w:rsidR="00C37A6F">
              <w:rPr>
                <w:bCs/>
                <w:szCs w:val="17"/>
              </w:rPr>
              <w:t>t.</w:t>
            </w:r>
          </w:p>
        </w:tc>
        <w:tc>
          <w:tcPr>
            <w:tcW w:w="1909" w:type="dxa"/>
            <w:shd w:val="clear" w:color="auto" w:fill="auto"/>
            <w:vAlign w:val="center"/>
          </w:tcPr>
          <w:p w14:paraId="562031D9" w14:textId="77777777" w:rsidR="00520668" w:rsidRPr="00E76E73" w:rsidRDefault="00520668" w:rsidP="00520668">
            <w:pPr>
              <w:jc w:val="center"/>
              <w:rPr>
                <w:szCs w:val="17"/>
              </w:rPr>
            </w:pPr>
            <w:r w:rsidRPr="00E76E73">
              <w:rPr>
                <w:szCs w:val="17"/>
              </w:rPr>
              <w:t>Fitzgerald</w:t>
            </w:r>
          </w:p>
          <w:p w14:paraId="0F6F3ED6" w14:textId="482DF88F" w:rsidR="00520668" w:rsidRPr="00E07ECB" w:rsidRDefault="00520668" w:rsidP="00520668">
            <w:pPr>
              <w:jc w:val="center"/>
              <w:rPr>
                <w:bCs/>
                <w:szCs w:val="17"/>
              </w:rPr>
            </w:pPr>
          </w:p>
        </w:tc>
        <w:tc>
          <w:tcPr>
            <w:tcW w:w="2543" w:type="dxa"/>
            <w:shd w:val="clear" w:color="auto" w:fill="auto"/>
            <w:vAlign w:val="center"/>
          </w:tcPr>
          <w:p w14:paraId="39CA5B7A" w14:textId="76521557" w:rsidR="00520668" w:rsidRPr="00E07ECB" w:rsidRDefault="00336A24" w:rsidP="00520668">
            <w:pPr>
              <w:jc w:val="center"/>
              <w:rPr>
                <w:bCs/>
                <w:szCs w:val="17"/>
              </w:rPr>
            </w:pPr>
            <w:r>
              <w:rPr>
                <w:bCs/>
                <w:szCs w:val="17"/>
              </w:rPr>
              <w:t>Risk Margin</w:t>
            </w:r>
          </w:p>
        </w:tc>
        <w:tc>
          <w:tcPr>
            <w:tcW w:w="1293" w:type="dxa"/>
            <w:shd w:val="clear" w:color="auto" w:fill="auto"/>
            <w:vAlign w:val="center"/>
          </w:tcPr>
          <w:p w14:paraId="232438F4" w14:textId="0D9712FB" w:rsidR="00520668" w:rsidRPr="00DA133E" w:rsidRDefault="00833DCF" w:rsidP="00520668">
            <w:pPr>
              <w:jc w:val="center"/>
              <w:rPr>
                <w:color w:val="00B050"/>
                <w:szCs w:val="17"/>
              </w:rPr>
            </w:pPr>
            <w:r w:rsidRPr="00DA133E">
              <w:rPr>
                <w:b/>
                <w:color w:val="00B050"/>
                <w:szCs w:val="17"/>
              </w:rPr>
              <w:t>Positive</w:t>
            </w:r>
          </w:p>
        </w:tc>
      </w:tr>
      <w:tr w:rsidR="00C37A6F" w:rsidRPr="00D43554" w14:paraId="3B8F428C" w14:textId="77777777" w:rsidTr="00424768">
        <w:trPr>
          <w:trHeight w:val="499"/>
        </w:trPr>
        <w:tc>
          <w:tcPr>
            <w:tcW w:w="689" w:type="dxa"/>
            <w:shd w:val="clear" w:color="auto" w:fill="auto"/>
            <w:vAlign w:val="center"/>
          </w:tcPr>
          <w:p w14:paraId="71C2932C" w14:textId="45C67081" w:rsidR="00C37A6F" w:rsidRDefault="00C37A6F" w:rsidP="00C37A6F">
            <w:pPr>
              <w:jc w:val="center"/>
              <w:rPr>
                <w:bCs/>
                <w:szCs w:val="17"/>
              </w:rPr>
            </w:pPr>
            <w:r>
              <w:rPr>
                <w:bCs/>
                <w:szCs w:val="17"/>
              </w:rPr>
              <w:t>264</w:t>
            </w:r>
          </w:p>
        </w:tc>
        <w:tc>
          <w:tcPr>
            <w:tcW w:w="1909" w:type="dxa"/>
            <w:shd w:val="clear" w:color="auto" w:fill="auto"/>
            <w:vAlign w:val="center"/>
          </w:tcPr>
          <w:p w14:paraId="5094FD03" w14:textId="386B332B" w:rsidR="00C37A6F" w:rsidRPr="000060F1" w:rsidRDefault="00C37A6F" w:rsidP="00C37A6F">
            <w:pPr>
              <w:jc w:val="center"/>
              <w:rPr>
                <w:bCs/>
                <w:szCs w:val="17"/>
              </w:rPr>
            </w:pPr>
            <w:r w:rsidRPr="000060F1">
              <w:rPr>
                <w:bCs/>
                <w:szCs w:val="17"/>
              </w:rPr>
              <w:t>Recital 3</w:t>
            </w:r>
            <w:r>
              <w:rPr>
                <w:bCs/>
                <w:szCs w:val="17"/>
              </w:rPr>
              <w:t>9 a (new)</w:t>
            </w:r>
          </w:p>
        </w:tc>
        <w:tc>
          <w:tcPr>
            <w:tcW w:w="6116" w:type="dxa"/>
            <w:shd w:val="clear" w:color="auto" w:fill="auto"/>
          </w:tcPr>
          <w:p w14:paraId="0396D1CA" w14:textId="30028972" w:rsidR="00C37A6F" w:rsidRDefault="000744D9" w:rsidP="00C37A6F">
            <w:pPr>
              <w:jc w:val="left"/>
              <w:rPr>
                <w:bCs/>
                <w:szCs w:val="17"/>
              </w:rPr>
            </w:pPr>
            <w:r>
              <w:rPr>
                <w:bCs/>
                <w:szCs w:val="17"/>
              </w:rPr>
              <w:t xml:space="preserve">The review </w:t>
            </w:r>
            <w:r w:rsidR="00C37A6F">
              <w:rPr>
                <w:bCs/>
                <w:szCs w:val="17"/>
              </w:rPr>
              <w:t xml:space="preserve">should </w:t>
            </w:r>
            <w:r w:rsidR="00C37A6F" w:rsidRPr="00BA0166">
              <w:rPr>
                <w:bCs/>
                <w:szCs w:val="17"/>
              </w:rPr>
              <w:t xml:space="preserve">ensure that the </w:t>
            </w:r>
            <w:r>
              <w:rPr>
                <w:bCs/>
                <w:szCs w:val="17"/>
              </w:rPr>
              <w:t>CoC</w:t>
            </w:r>
            <w:r w:rsidR="00973818">
              <w:rPr>
                <w:bCs/>
                <w:szCs w:val="17"/>
              </w:rPr>
              <w:t>-rate</w:t>
            </w:r>
            <w:r w:rsidR="00C37A6F" w:rsidRPr="00BA0166">
              <w:rPr>
                <w:bCs/>
                <w:szCs w:val="17"/>
              </w:rPr>
              <w:t xml:space="preserve"> remains risk-based and is not set at an overly conservative level</w:t>
            </w:r>
            <w:r w:rsidR="00C37A6F">
              <w:rPr>
                <w:bCs/>
                <w:szCs w:val="17"/>
              </w:rPr>
              <w:t>.</w:t>
            </w:r>
          </w:p>
          <w:p w14:paraId="7EBB4A02" w14:textId="06030945" w:rsidR="00C37A6F" w:rsidRDefault="00C37A6F" w:rsidP="00F6168C">
            <w:pPr>
              <w:jc w:val="left"/>
              <w:rPr>
                <w:bCs/>
                <w:szCs w:val="17"/>
              </w:rPr>
            </w:pPr>
            <w:r>
              <w:rPr>
                <w:bCs/>
                <w:szCs w:val="17"/>
              </w:rPr>
              <w:t>The projection of future capital requirements should consider the time dependence of risk</w:t>
            </w:r>
            <w:r w:rsidR="00EC4F65">
              <w:rPr>
                <w:bCs/>
                <w:szCs w:val="17"/>
              </w:rPr>
              <w:t>s</w:t>
            </w:r>
            <w:r>
              <w:rPr>
                <w:bCs/>
                <w:szCs w:val="17"/>
              </w:rPr>
              <w:t>.</w:t>
            </w:r>
          </w:p>
        </w:tc>
        <w:tc>
          <w:tcPr>
            <w:tcW w:w="1909" w:type="dxa"/>
            <w:shd w:val="clear" w:color="auto" w:fill="auto"/>
            <w:vAlign w:val="center"/>
          </w:tcPr>
          <w:p w14:paraId="72131A79" w14:textId="1E1EB615" w:rsidR="00C37A6F" w:rsidRPr="00E76E73" w:rsidRDefault="00C37A6F" w:rsidP="00C37A6F">
            <w:pPr>
              <w:jc w:val="center"/>
              <w:rPr>
                <w:szCs w:val="17"/>
              </w:rPr>
            </w:pPr>
            <w:proofErr w:type="spellStart"/>
            <w:r w:rsidRPr="00E76E73">
              <w:rPr>
                <w:szCs w:val="17"/>
              </w:rPr>
              <w:t>Zanni</w:t>
            </w:r>
            <w:proofErr w:type="spellEnd"/>
            <w:r w:rsidRPr="00E76E73">
              <w:rPr>
                <w:szCs w:val="17"/>
              </w:rPr>
              <w:t>, Grant, Rinaldi</w:t>
            </w:r>
          </w:p>
        </w:tc>
        <w:tc>
          <w:tcPr>
            <w:tcW w:w="2543" w:type="dxa"/>
            <w:shd w:val="clear" w:color="auto" w:fill="auto"/>
            <w:vAlign w:val="center"/>
          </w:tcPr>
          <w:p w14:paraId="61EB7596" w14:textId="1B3C08CA" w:rsidR="00C37A6F" w:rsidRDefault="00C37A6F" w:rsidP="00C37A6F">
            <w:pPr>
              <w:jc w:val="center"/>
              <w:rPr>
                <w:bCs/>
                <w:szCs w:val="17"/>
              </w:rPr>
            </w:pPr>
            <w:r>
              <w:rPr>
                <w:bCs/>
                <w:szCs w:val="17"/>
              </w:rPr>
              <w:t>Risk Margin</w:t>
            </w:r>
          </w:p>
        </w:tc>
        <w:tc>
          <w:tcPr>
            <w:tcW w:w="1293" w:type="dxa"/>
            <w:shd w:val="clear" w:color="auto" w:fill="auto"/>
            <w:vAlign w:val="center"/>
          </w:tcPr>
          <w:p w14:paraId="210AEF69" w14:textId="5B184B28" w:rsidR="00C37A6F" w:rsidRPr="00DA133E" w:rsidRDefault="00833DCF" w:rsidP="00C37A6F">
            <w:pPr>
              <w:jc w:val="center"/>
              <w:rPr>
                <w:b/>
                <w:color w:val="00B050"/>
                <w:szCs w:val="17"/>
              </w:rPr>
            </w:pPr>
            <w:r w:rsidRPr="00DA133E">
              <w:rPr>
                <w:b/>
                <w:color w:val="00B050"/>
                <w:szCs w:val="17"/>
              </w:rPr>
              <w:t>Positive</w:t>
            </w:r>
          </w:p>
        </w:tc>
      </w:tr>
      <w:tr w:rsidR="00C37A6F" w:rsidRPr="00D43554" w14:paraId="0546A230" w14:textId="77777777" w:rsidTr="00424768">
        <w:trPr>
          <w:trHeight w:val="499"/>
        </w:trPr>
        <w:tc>
          <w:tcPr>
            <w:tcW w:w="689" w:type="dxa"/>
            <w:shd w:val="clear" w:color="auto" w:fill="auto"/>
            <w:vAlign w:val="center"/>
          </w:tcPr>
          <w:p w14:paraId="43B835C9" w14:textId="77777777" w:rsidR="00C37A6F" w:rsidRDefault="00C37A6F" w:rsidP="00C37A6F">
            <w:pPr>
              <w:jc w:val="center"/>
              <w:rPr>
                <w:bCs/>
                <w:szCs w:val="17"/>
              </w:rPr>
            </w:pPr>
            <w:r>
              <w:rPr>
                <w:bCs/>
                <w:szCs w:val="17"/>
              </w:rPr>
              <w:t>265</w:t>
            </w:r>
          </w:p>
          <w:p w14:paraId="6CBC6FB1" w14:textId="77777777" w:rsidR="00C37A6F" w:rsidRPr="00E07ECB" w:rsidRDefault="00C37A6F" w:rsidP="00C37A6F">
            <w:pPr>
              <w:jc w:val="center"/>
              <w:rPr>
                <w:bCs/>
                <w:szCs w:val="17"/>
              </w:rPr>
            </w:pPr>
          </w:p>
        </w:tc>
        <w:tc>
          <w:tcPr>
            <w:tcW w:w="1909" w:type="dxa"/>
            <w:shd w:val="clear" w:color="auto" w:fill="auto"/>
            <w:vAlign w:val="center"/>
          </w:tcPr>
          <w:p w14:paraId="1415CE7E" w14:textId="0CF44972" w:rsidR="00C37A6F" w:rsidRPr="00E07ECB" w:rsidRDefault="00C37A6F" w:rsidP="00C37A6F">
            <w:pPr>
              <w:jc w:val="center"/>
              <w:rPr>
                <w:bCs/>
                <w:szCs w:val="17"/>
              </w:rPr>
            </w:pPr>
            <w:r w:rsidRPr="00ED7C33">
              <w:rPr>
                <w:bCs/>
                <w:szCs w:val="17"/>
              </w:rPr>
              <w:t>Recital 40</w:t>
            </w:r>
          </w:p>
        </w:tc>
        <w:tc>
          <w:tcPr>
            <w:tcW w:w="6116" w:type="dxa"/>
            <w:shd w:val="clear" w:color="auto" w:fill="auto"/>
          </w:tcPr>
          <w:p w14:paraId="12B263B2" w14:textId="6C5FAB7C" w:rsidR="00C37A6F" w:rsidRPr="00B55455" w:rsidRDefault="00C37A6F" w:rsidP="00C37A6F">
            <w:pPr>
              <w:jc w:val="left"/>
              <w:rPr>
                <w:bCs/>
                <w:szCs w:val="17"/>
              </w:rPr>
            </w:pPr>
            <w:r w:rsidRPr="00B55455">
              <w:rPr>
                <w:bCs/>
                <w:szCs w:val="17"/>
              </w:rPr>
              <w:t>Undertakings should be permitted not to</w:t>
            </w:r>
            <w:r>
              <w:rPr>
                <w:szCs w:val="17"/>
              </w:rPr>
              <w:t xml:space="preserve"> </w:t>
            </w:r>
            <w:r w:rsidR="000E0C17">
              <w:rPr>
                <w:bCs/>
                <w:szCs w:val="17"/>
              </w:rPr>
              <w:t xml:space="preserve">deduct </w:t>
            </w:r>
            <w:r w:rsidR="00886911">
              <w:rPr>
                <w:bCs/>
                <w:szCs w:val="17"/>
              </w:rPr>
              <w:t>from their EOF</w:t>
            </w:r>
            <w:r w:rsidR="00955394">
              <w:rPr>
                <w:bCs/>
                <w:szCs w:val="17"/>
              </w:rPr>
              <w:t xml:space="preserve"> participations in credit and financial institutions</w:t>
            </w:r>
            <w:r w:rsidR="00AC73C3">
              <w:rPr>
                <w:bCs/>
                <w:szCs w:val="17"/>
              </w:rPr>
              <w:t xml:space="preserve"> and </w:t>
            </w:r>
            <w:r w:rsidR="00F7024A">
              <w:rPr>
                <w:bCs/>
                <w:szCs w:val="17"/>
              </w:rPr>
              <w:t>‘</w:t>
            </w:r>
            <w:r w:rsidR="00AC73C3" w:rsidRPr="00DA133E">
              <w:rPr>
                <w:i/>
                <w:szCs w:val="17"/>
              </w:rPr>
              <w:t>to</w:t>
            </w:r>
            <w:r w:rsidRPr="00DA133E">
              <w:rPr>
                <w:i/>
                <w:szCs w:val="17"/>
              </w:rPr>
              <w:t xml:space="preserve"> apply a capital requirement factor based on the </w:t>
            </w:r>
            <w:r w:rsidR="000E4901" w:rsidRPr="00DA133E">
              <w:rPr>
                <w:i/>
                <w:szCs w:val="17"/>
              </w:rPr>
              <w:t xml:space="preserve">SII </w:t>
            </w:r>
            <w:r w:rsidRPr="00DA133E">
              <w:rPr>
                <w:i/>
                <w:szCs w:val="17"/>
              </w:rPr>
              <w:t>market risk module to the participations in credit and financial institutions.</w:t>
            </w:r>
            <w:r w:rsidR="00E57EF7">
              <w:rPr>
                <w:bCs/>
                <w:szCs w:val="17"/>
              </w:rPr>
              <w:t>’</w:t>
            </w:r>
          </w:p>
          <w:p w14:paraId="239F6E8C" w14:textId="482E7117" w:rsidR="00C37A6F" w:rsidRPr="00E07ECB" w:rsidRDefault="00C37A6F" w:rsidP="00C37A6F">
            <w:pPr>
              <w:jc w:val="left"/>
              <w:rPr>
                <w:bCs/>
                <w:szCs w:val="17"/>
              </w:rPr>
            </w:pPr>
            <w:r w:rsidRPr="00B55455">
              <w:rPr>
                <w:bCs/>
                <w:szCs w:val="17"/>
              </w:rPr>
              <w:t xml:space="preserve">Inclusion at the end of the recital </w:t>
            </w:r>
            <w:r w:rsidR="00A472B5">
              <w:rPr>
                <w:bCs/>
                <w:szCs w:val="17"/>
              </w:rPr>
              <w:t>that ‘</w:t>
            </w:r>
            <w:r w:rsidRPr="00DA133E">
              <w:rPr>
                <w:i/>
                <w:szCs w:val="17"/>
              </w:rPr>
              <w:t>the same prudential treatment based on the market risk module should also be permitted if the participations entail a risk exposure similar to investments in financial instruments issued by unrelated entities if specific condition in terms of level of shareholdings and liquidity of the investment are met.</w:t>
            </w:r>
            <w:r w:rsidR="00A472B5">
              <w:rPr>
                <w:bCs/>
                <w:i/>
                <w:iCs/>
                <w:szCs w:val="17"/>
              </w:rPr>
              <w:t>’</w:t>
            </w:r>
          </w:p>
        </w:tc>
        <w:tc>
          <w:tcPr>
            <w:tcW w:w="1909" w:type="dxa"/>
            <w:shd w:val="clear" w:color="auto" w:fill="auto"/>
            <w:vAlign w:val="center"/>
          </w:tcPr>
          <w:p w14:paraId="127B6713" w14:textId="77777777" w:rsidR="00C37A6F" w:rsidRPr="00E76E73" w:rsidRDefault="00C37A6F" w:rsidP="00C37A6F">
            <w:pPr>
              <w:jc w:val="center"/>
              <w:rPr>
                <w:szCs w:val="17"/>
              </w:rPr>
            </w:pPr>
            <w:proofErr w:type="spellStart"/>
            <w:r w:rsidRPr="00E76E73">
              <w:rPr>
                <w:szCs w:val="17"/>
              </w:rPr>
              <w:t>Gualmini</w:t>
            </w:r>
            <w:proofErr w:type="spellEnd"/>
          </w:p>
          <w:p w14:paraId="3660C23B" w14:textId="77777777" w:rsidR="00C37A6F" w:rsidRPr="00E07ECB" w:rsidRDefault="00C37A6F" w:rsidP="00C37A6F">
            <w:pPr>
              <w:jc w:val="center"/>
              <w:rPr>
                <w:bCs/>
                <w:szCs w:val="17"/>
              </w:rPr>
            </w:pPr>
          </w:p>
        </w:tc>
        <w:tc>
          <w:tcPr>
            <w:tcW w:w="2543" w:type="dxa"/>
            <w:shd w:val="clear" w:color="auto" w:fill="auto"/>
            <w:vAlign w:val="center"/>
          </w:tcPr>
          <w:p w14:paraId="39083550" w14:textId="2D42A26B" w:rsidR="00C37A6F" w:rsidRPr="00E07ECB" w:rsidRDefault="00C378A4" w:rsidP="00C37A6F">
            <w:pPr>
              <w:jc w:val="center"/>
              <w:rPr>
                <w:bCs/>
                <w:szCs w:val="17"/>
              </w:rPr>
            </w:pPr>
            <w:r>
              <w:rPr>
                <w:bCs/>
                <w:szCs w:val="17"/>
              </w:rPr>
              <w:t xml:space="preserve">Deductions of </w:t>
            </w:r>
            <w:proofErr w:type="spellStart"/>
            <w:r>
              <w:rPr>
                <w:bCs/>
                <w:szCs w:val="17"/>
              </w:rPr>
              <w:t>OF</w:t>
            </w:r>
            <w:proofErr w:type="spellEnd"/>
            <w:r>
              <w:rPr>
                <w:bCs/>
                <w:szCs w:val="17"/>
              </w:rPr>
              <w:t xml:space="preserve"> </w:t>
            </w:r>
            <w:proofErr w:type="spellStart"/>
            <w:r>
              <w:rPr>
                <w:bCs/>
                <w:szCs w:val="17"/>
              </w:rPr>
              <w:t>of</w:t>
            </w:r>
            <w:proofErr w:type="spellEnd"/>
            <w:r>
              <w:rPr>
                <w:bCs/>
                <w:szCs w:val="17"/>
              </w:rPr>
              <w:t xml:space="preserve"> participations in credit/financial institutions</w:t>
            </w:r>
          </w:p>
        </w:tc>
        <w:tc>
          <w:tcPr>
            <w:tcW w:w="1293" w:type="dxa"/>
            <w:shd w:val="clear" w:color="auto" w:fill="auto"/>
            <w:vAlign w:val="center"/>
          </w:tcPr>
          <w:p w14:paraId="0AF21CC7" w14:textId="24770B9E" w:rsidR="00C37A6F" w:rsidRPr="00E07ECB" w:rsidRDefault="00580626" w:rsidP="00C37A6F">
            <w:pPr>
              <w:jc w:val="center"/>
              <w:rPr>
                <w:bCs/>
                <w:szCs w:val="17"/>
              </w:rPr>
            </w:pPr>
            <w:r w:rsidRPr="003E21D3">
              <w:rPr>
                <w:b/>
                <w:color w:val="808080" w:themeColor="background1" w:themeShade="80"/>
                <w:szCs w:val="17"/>
              </w:rPr>
              <w:t>Neutral</w:t>
            </w:r>
          </w:p>
        </w:tc>
      </w:tr>
      <w:tr w:rsidR="00C37A6F" w:rsidRPr="00D43554" w14:paraId="00E03BD0" w14:textId="77777777" w:rsidTr="00424768">
        <w:trPr>
          <w:trHeight w:val="499"/>
        </w:trPr>
        <w:tc>
          <w:tcPr>
            <w:tcW w:w="689" w:type="dxa"/>
            <w:shd w:val="clear" w:color="auto" w:fill="auto"/>
            <w:vAlign w:val="center"/>
          </w:tcPr>
          <w:p w14:paraId="232E0C0F" w14:textId="77777777" w:rsidR="00C37A6F" w:rsidRDefault="00C37A6F" w:rsidP="00C37A6F">
            <w:pPr>
              <w:jc w:val="center"/>
              <w:rPr>
                <w:bCs/>
                <w:szCs w:val="17"/>
              </w:rPr>
            </w:pPr>
            <w:r>
              <w:rPr>
                <w:bCs/>
                <w:szCs w:val="17"/>
              </w:rPr>
              <w:t>266</w:t>
            </w:r>
          </w:p>
          <w:p w14:paraId="38917238" w14:textId="77777777" w:rsidR="00C37A6F" w:rsidRDefault="00C37A6F" w:rsidP="00C37A6F">
            <w:pPr>
              <w:jc w:val="center"/>
              <w:rPr>
                <w:bCs/>
                <w:szCs w:val="17"/>
              </w:rPr>
            </w:pPr>
            <w:r>
              <w:rPr>
                <w:bCs/>
                <w:szCs w:val="17"/>
              </w:rPr>
              <w:t>267</w:t>
            </w:r>
          </w:p>
          <w:p w14:paraId="01C8BF24" w14:textId="3ED78EDB" w:rsidR="00C37A6F" w:rsidRPr="00E07ECB" w:rsidRDefault="00C37A6F" w:rsidP="00C37A6F">
            <w:pPr>
              <w:jc w:val="center"/>
              <w:rPr>
                <w:bCs/>
                <w:szCs w:val="17"/>
              </w:rPr>
            </w:pPr>
            <w:r>
              <w:rPr>
                <w:bCs/>
                <w:szCs w:val="17"/>
              </w:rPr>
              <w:lastRenderedPageBreak/>
              <w:t>268</w:t>
            </w:r>
          </w:p>
        </w:tc>
        <w:tc>
          <w:tcPr>
            <w:tcW w:w="1909" w:type="dxa"/>
            <w:shd w:val="clear" w:color="auto" w:fill="auto"/>
            <w:vAlign w:val="center"/>
          </w:tcPr>
          <w:p w14:paraId="0D59884C" w14:textId="6E905075" w:rsidR="00C37A6F" w:rsidRPr="00E07ECB" w:rsidRDefault="00C37A6F" w:rsidP="00C37A6F">
            <w:pPr>
              <w:jc w:val="center"/>
              <w:rPr>
                <w:bCs/>
                <w:szCs w:val="17"/>
              </w:rPr>
            </w:pPr>
            <w:r>
              <w:rPr>
                <w:bCs/>
                <w:szCs w:val="17"/>
              </w:rPr>
              <w:lastRenderedPageBreak/>
              <w:t>Recital 40</w:t>
            </w:r>
          </w:p>
        </w:tc>
        <w:tc>
          <w:tcPr>
            <w:tcW w:w="6116" w:type="dxa"/>
            <w:shd w:val="clear" w:color="auto" w:fill="auto"/>
          </w:tcPr>
          <w:p w14:paraId="4C4C1E15" w14:textId="77777777" w:rsidR="000E4DE3" w:rsidRPr="00B55455" w:rsidRDefault="000E4DE3" w:rsidP="000E4DE3">
            <w:pPr>
              <w:jc w:val="left"/>
              <w:rPr>
                <w:bCs/>
                <w:szCs w:val="17"/>
              </w:rPr>
            </w:pPr>
            <w:r w:rsidRPr="00B55455">
              <w:rPr>
                <w:bCs/>
                <w:szCs w:val="17"/>
              </w:rPr>
              <w:t>Undertakings should be permitted not to</w:t>
            </w:r>
            <w:r>
              <w:rPr>
                <w:bCs/>
                <w:szCs w:val="17"/>
              </w:rPr>
              <w:t xml:space="preserve"> deduct from their EOF participations in credit and financial institutions and ‘</w:t>
            </w:r>
            <w:r w:rsidRPr="00976882">
              <w:rPr>
                <w:bCs/>
                <w:i/>
                <w:iCs/>
                <w:szCs w:val="17"/>
              </w:rPr>
              <w:t>to</w:t>
            </w:r>
            <w:r w:rsidRPr="00E76E73">
              <w:rPr>
                <w:i/>
                <w:szCs w:val="17"/>
              </w:rPr>
              <w:t xml:space="preserve"> </w:t>
            </w:r>
            <w:r w:rsidRPr="00976882">
              <w:rPr>
                <w:bCs/>
                <w:i/>
                <w:iCs/>
                <w:szCs w:val="17"/>
              </w:rPr>
              <w:t xml:space="preserve">apply a </w:t>
            </w:r>
            <w:r w:rsidRPr="00976882">
              <w:rPr>
                <w:bCs/>
                <w:i/>
                <w:iCs/>
                <w:szCs w:val="17"/>
              </w:rPr>
              <w:lastRenderedPageBreak/>
              <w:t>capital requirement factor based on the SII market risk module to the participations in credit and financial institutions.</w:t>
            </w:r>
            <w:r>
              <w:rPr>
                <w:bCs/>
                <w:szCs w:val="17"/>
              </w:rPr>
              <w:t>’</w:t>
            </w:r>
          </w:p>
          <w:p w14:paraId="3ECE7246" w14:textId="77777777" w:rsidR="00C37A6F" w:rsidRPr="00E07ECB" w:rsidRDefault="00C37A6F" w:rsidP="00C37A6F">
            <w:pPr>
              <w:jc w:val="left"/>
              <w:rPr>
                <w:bCs/>
                <w:szCs w:val="17"/>
              </w:rPr>
            </w:pPr>
          </w:p>
        </w:tc>
        <w:tc>
          <w:tcPr>
            <w:tcW w:w="1909" w:type="dxa"/>
            <w:shd w:val="clear" w:color="auto" w:fill="auto"/>
            <w:vAlign w:val="center"/>
          </w:tcPr>
          <w:p w14:paraId="03C35810" w14:textId="741CD08C" w:rsidR="00C37A6F" w:rsidRPr="000D4029" w:rsidRDefault="00C37A6F" w:rsidP="00C37A6F">
            <w:pPr>
              <w:jc w:val="center"/>
              <w:rPr>
                <w:szCs w:val="17"/>
                <w:lang w:val="fr-BE"/>
              </w:rPr>
            </w:pPr>
            <w:r w:rsidRPr="000D4029">
              <w:rPr>
                <w:szCs w:val="17"/>
                <w:lang w:val="fr-BE"/>
              </w:rPr>
              <w:lastRenderedPageBreak/>
              <w:t>Zanni, Grant, Rinaldi</w:t>
            </w:r>
            <w:r w:rsidR="000E4DE3" w:rsidRPr="000D4029">
              <w:rPr>
                <w:szCs w:val="17"/>
                <w:lang w:val="fr-BE"/>
              </w:rPr>
              <w:t>/</w:t>
            </w:r>
          </w:p>
          <w:p w14:paraId="78160B37" w14:textId="466BE25B" w:rsidR="00C37A6F" w:rsidRPr="000D4029" w:rsidRDefault="00C37A6F" w:rsidP="00C37A6F">
            <w:pPr>
              <w:jc w:val="center"/>
              <w:rPr>
                <w:szCs w:val="17"/>
                <w:lang w:val="fr-BE"/>
              </w:rPr>
            </w:pPr>
            <w:r w:rsidRPr="000D4029">
              <w:rPr>
                <w:szCs w:val="17"/>
                <w:lang w:val="fr-BE"/>
              </w:rPr>
              <w:lastRenderedPageBreak/>
              <w:t>Tajani, Dorfmann, Martusciello</w:t>
            </w:r>
            <w:r w:rsidR="00CD538A" w:rsidRPr="000D4029">
              <w:rPr>
                <w:szCs w:val="17"/>
                <w:lang w:val="fr-BE"/>
              </w:rPr>
              <w:t>/</w:t>
            </w:r>
          </w:p>
          <w:p w14:paraId="1102CDC9" w14:textId="00B94009" w:rsidR="00C37A6F" w:rsidRPr="00E76E73" w:rsidRDefault="00C37A6F" w:rsidP="00C37A6F">
            <w:pPr>
              <w:jc w:val="center"/>
              <w:rPr>
                <w:szCs w:val="17"/>
              </w:rPr>
            </w:pPr>
            <w:r w:rsidRPr="00E76E73">
              <w:rPr>
                <w:szCs w:val="17"/>
              </w:rPr>
              <w:t>Castaldo</w:t>
            </w:r>
          </w:p>
        </w:tc>
        <w:tc>
          <w:tcPr>
            <w:tcW w:w="2543" w:type="dxa"/>
            <w:shd w:val="clear" w:color="auto" w:fill="auto"/>
            <w:vAlign w:val="center"/>
          </w:tcPr>
          <w:p w14:paraId="339D5024" w14:textId="388D92FC" w:rsidR="00C37A6F" w:rsidRPr="00E07ECB" w:rsidRDefault="0017469F" w:rsidP="00C37A6F">
            <w:pPr>
              <w:jc w:val="center"/>
              <w:rPr>
                <w:bCs/>
                <w:szCs w:val="17"/>
              </w:rPr>
            </w:pPr>
            <w:r>
              <w:rPr>
                <w:bCs/>
                <w:szCs w:val="17"/>
              </w:rPr>
              <w:lastRenderedPageBreak/>
              <w:t xml:space="preserve">Deductions </w:t>
            </w:r>
            <w:r w:rsidR="00C378A4">
              <w:rPr>
                <w:bCs/>
                <w:szCs w:val="17"/>
              </w:rPr>
              <w:t xml:space="preserve">of </w:t>
            </w:r>
            <w:proofErr w:type="spellStart"/>
            <w:r w:rsidR="00C378A4">
              <w:rPr>
                <w:bCs/>
                <w:szCs w:val="17"/>
              </w:rPr>
              <w:t>OF</w:t>
            </w:r>
            <w:proofErr w:type="spellEnd"/>
            <w:r w:rsidR="00C378A4">
              <w:rPr>
                <w:bCs/>
                <w:szCs w:val="17"/>
              </w:rPr>
              <w:t xml:space="preserve"> </w:t>
            </w:r>
            <w:proofErr w:type="spellStart"/>
            <w:r w:rsidR="00C378A4">
              <w:rPr>
                <w:bCs/>
                <w:szCs w:val="17"/>
              </w:rPr>
              <w:t>of</w:t>
            </w:r>
            <w:proofErr w:type="spellEnd"/>
            <w:r w:rsidR="00C378A4">
              <w:rPr>
                <w:bCs/>
                <w:szCs w:val="17"/>
              </w:rPr>
              <w:t xml:space="preserve"> participations in </w:t>
            </w:r>
            <w:r w:rsidR="00C378A4">
              <w:rPr>
                <w:bCs/>
                <w:szCs w:val="17"/>
              </w:rPr>
              <w:lastRenderedPageBreak/>
              <w:t>credit/financial institutions</w:t>
            </w:r>
          </w:p>
        </w:tc>
        <w:tc>
          <w:tcPr>
            <w:tcW w:w="1293" w:type="dxa"/>
            <w:shd w:val="clear" w:color="auto" w:fill="auto"/>
            <w:vAlign w:val="center"/>
          </w:tcPr>
          <w:p w14:paraId="351850CB" w14:textId="6A89D643" w:rsidR="00C37A6F" w:rsidRPr="00E07ECB" w:rsidRDefault="00580626" w:rsidP="00C37A6F">
            <w:pPr>
              <w:jc w:val="center"/>
              <w:rPr>
                <w:bCs/>
                <w:szCs w:val="17"/>
              </w:rPr>
            </w:pPr>
            <w:r w:rsidRPr="003E21D3">
              <w:rPr>
                <w:b/>
                <w:color w:val="808080" w:themeColor="background1" w:themeShade="80"/>
                <w:szCs w:val="17"/>
              </w:rPr>
              <w:lastRenderedPageBreak/>
              <w:t>Neutral</w:t>
            </w:r>
          </w:p>
        </w:tc>
      </w:tr>
      <w:tr w:rsidR="00C37A6F" w:rsidRPr="00D43554" w14:paraId="10D0D69F" w14:textId="77777777" w:rsidTr="00424768">
        <w:trPr>
          <w:trHeight w:val="499"/>
        </w:trPr>
        <w:tc>
          <w:tcPr>
            <w:tcW w:w="689" w:type="dxa"/>
            <w:shd w:val="clear" w:color="auto" w:fill="auto"/>
            <w:vAlign w:val="center"/>
          </w:tcPr>
          <w:p w14:paraId="356359A7" w14:textId="5DDA40E8" w:rsidR="00C37A6F" w:rsidRPr="00E07ECB" w:rsidRDefault="00C37A6F" w:rsidP="00C37A6F">
            <w:pPr>
              <w:jc w:val="center"/>
              <w:rPr>
                <w:bCs/>
                <w:szCs w:val="17"/>
              </w:rPr>
            </w:pPr>
            <w:r>
              <w:rPr>
                <w:bCs/>
                <w:szCs w:val="17"/>
              </w:rPr>
              <w:t>269</w:t>
            </w:r>
          </w:p>
        </w:tc>
        <w:tc>
          <w:tcPr>
            <w:tcW w:w="1909" w:type="dxa"/>
            <w:shd w:val="clear" w:color="auto" w:fill="auto"/>
            <w:vAlign w:val="center"/>
          </w:tcPr>
          <w:p w14:paraId="3F733343" w14:textId="18F8E17F" w:rsidR="00C37A6F" w:rsidRPr="00E07ECB" w:rsidRDefault="00C37A6F" w:rsidP="00C37A6F">
            <w:pPr>
              <w:jc w:val="center"/>
              <w:rPr>
                <w:bCs/>
                <w:szCs w:val="17"/>
              </w:rPr>
            </w:pPr>
            <w:r>
              <w:rPr>
                <w:bCs/>
                <w:szCs w:val="17"/>
              </w:rPr>
              <w:t>Recital 40</w:t>
            </w:r>
          </w:p>
        </w:tc>
        <w:tc>
          <w:tcPr>
            <w:tcW w:w="6116" w:type="dxa"/>
            <w:shd w:val="clear" w:color="auto" w:fill="auto"/>
          </w:tcPr>
          <w:p w14:paraId="1EEF8295" w14:textId="1043B21C" w:rsidR="00C37A6F" w:rsidRPr="004424B4" w:rsidRDefault="002C5997" w:rsidP="000F2B3E">
            <w:pPr>
              <w:jc w:val="left"/>
              <w:rPr>
                <w:bCs/>
                <w:szCs w:val="17"/>
              </w:rPr>
            </w:pPr>
            <w:r w:rsidRPr="00B55455">
              <w:rPr>
                <w:bCs/>
                <w:szCs w:val="17"/>
              </w:rPr>
              <w:t>Undertakings should be permitted not to</w:t>
            </w:r>
            <w:r>
              <w:rPr>
                <w:bCs/>
                <w:szCs w:val="17"/>
              </w:rPr>
              <w:t xml:space="preserve"> deduct from their EOF participations in credit and financial institutions and ‘</w:t>
            </w:r>
            <w:r w:rsidRPr="00976882">
              <w:rPr>
                <w:bCs/>
                <w:i/>
                <w:iCs/>
                <w:szCs w:val="17"/>
              </w:rPr>
              <w:t>to</w:t>
            </w:r>
            <w:r w:rsidRPr="00E76E73">
              <w:rPr>
                <w:i/>
                <w:szCs w:val="17"/>
              </w:rPr>
              <w:t xml:space="preserve"> </w:t>
            </w:r>
            <w:r w:rsidRPr="00976882">
              <w:rPr>
                <w:bCs/>
                <w:i/>
                <w:iCs/>
                <w:szCs w:val="17"/>
              </w:rPr>
              <w:t xml:space="preserve">apply </w:t>
            </w:r>
            <w:r>
              <w:rPr>
                <w:bCs/>
                <w:i/>
                <w:iCs/>
                <w:szCs w:val="17"/>
              </w:rPr>
              <w:t>a</w:t>
            </w:r>
            <w:r w:rsidR="00C37A6F" w:rsidRPr="00504B4E">
              <w:rPr>
                <w:bCs/>
                <w:szCs w:val="17"/>
              </w:rPr>
              <w:t xml:space="preserve"> </w:t>
            </w:r>
            <w:r w:rsidR="00C37A6F" w:rsidRPr="000D4029">
              <w:rPr>
                <w:i/>
                <w:szCs w:val="17"/>
              </w:rPr>
              <w:t xml:space="preserve">risk-weighted adjustment factor to the non-deducted </w:t>
            </w:r>
            <w:r w:rsidR="00C37A6F" w:rsidRPr="000D4029">
              <w:rPr>
                <w:bCs/>
                <w:i/>
                <w:iCs/>
                <w:szCs w:val="17"/>
              </w:rPr>
              <w:t>participations</w:t>
            </w:r>
            <w:r w:rsidRPr="000D4029">
              <w:rPr>
                <w:bCs/>
                <w:i/>
                <w:iCs/>
                <w:szCs w:val="17"/>
              </w:rPr>
              <w:t>’</w:t>
            </w:r>
          </w:p>
          <w:p w14:paraId="41825D3E" w14:textId="77777777" w:rsidR="00C37A6F" w:rsidRPr="00E07ECB" w:rsidRDefault="00C37A6F" w:rsidP="00C37A6F">
            <w:pPr>
              <w:jc w:val="left"/>
              <w:rPr>
                <w:bCs/>
                <w:szCs w:val="17"/>
              </w:rPr>
            </w:pPr>
          </w:p>
        </w:tc>
        <w:tc>
          <w:tcPr>
            <w:tcW w:w="1909" w:type="dxa"/>
            <w:shd w:val="clear" w:color="auto" w:fill="auto"/>
            <w:vAlign w:val="center"/>
          </w:tcPr>
          <w:p w14:paraId="413FED70" w14:textId="65713F81" w:rsidR="00C37A6F" w:rsidRPr="00E07ECB" w:rsidRDefault="00C37A6F" w:rsidP="00C37A6F">
            <w:pPr>
              <w:jc w:val="center"/>
              <w:rPr>
                <w:bCs/>
                <w:szCs w:val="17"/>
              </w:rPr>
            </w:pPr>
            <w:r w:rsidRPr="00E76E73">
              <w:rPr>
                <w:szCs w:val="17"/>
              </w:rPr>
              <w:t>Calenda</w:t>
            </w:r>
          </w:p>
        </w:tc>
        <w:tc>
          <w:tcPr>
            <w:tcW w:w="2543" w:type="dxa"/>
            <w:shd w:val="clear" w:color="auto" w:fill="auto"/>
            <w:vAlign w:val="center"/>
          </w:tcPr>
          <w:p w14:paraId="4C84BA54" w14:textId="1014A05C" w:rsidR="00C37A6F" w:rsidRPr="00E07ECB" w:rsidRDefault="00580626" w:rsidP="00C37A6F">
            <w:pPr>
              <w:jc w:val="center"/>
              <w:rPr>
                <w:bCs/>
                <w:szCs w:val="17"/>
              </w:rPr>
            </w:pPr>
            <w:r>
              <w:rPr>
                <w:bCs/>
                <w:szCs w:val="17"/>
              </w:rPr>
              <w:t xml:space="preserve">Deductions of </w:t>
            </w:r>
            <w:proofErr w:type="spellStart"/>
            <w:r>
              <w:rPr>
                <w:bCs/>
                <w:szCs w:val="17"/>
              </w:rPr>
              <w:t>OF</w:t>
            </w:r>
            <w:proofErr w:type="spellEnd"/>
            <w:r>
              <w:rPr>
                <w:bCs/>
                <w:szCs w:val="17"/>
              </w:rPr>
              <w:t xml:space="preserve"> </w:t>
            </w:r>
            <w:proofErr w:type="spellStart"/>
            <w:r>
              <w:rPr>
                <w:bCs/>
                <w:szCs w:val="17"/>
              </w:rPr>
              <w:t>of</w:t>
            </w:r>
            <w:proofErr w:type="spellEnd"/>
            <w:r>
              <w:rPr>
                <w:bCs/>
                <w:szCs w:val="17"/>
              </w:rPr>
              <w:t xml:space="preserve"> participations in</w:t>
            </w:r>
            <w:r w:rsidR="0030303A">
              <w:rPr>
                <w:bCs/>
                <w:szCs w:val="17"/>
              </w:rPr>
              <w:t xml:space="preserve"> credit/financial institutions</w:t>
            </w:r>
            <w:r w:rsidR="0030303A" w:rsidDel="00580626">
              <w:rPr>
                <w:bCs/>
                <w:szCs w:val="17"/>
              </w:rPr>
              <w:t xml:space="preserve"> </w:t>
            </w:r>
          </w:p>
        </w:tc>
        <w:tc>
          <w:tcPr>
            <w:tcW w:w="1293" w:type="dxa"/>
            <w:shd w:val="clear" w:color="auto" w:fill="auto"/>
            <w:vAlign w:val="center"/>
          </w:tcPr>
          <w:p w14:paraId="1AECFDC9" w14:textId="36A3A6D1" w:rsidR="00C37A6F" w:rsidRPr="00E07ECB" w:rsidRDefault="00580626" w:rsidP="00C37A6F">
            <w:pPr>
              <w:jc w:val="center"/>
              <w:rPr>
                <w:bCs/>
                <w:szCs w:val="17"/>
              </w:rPr>
            </w:pPr>
            <w:r w:rsidRPr="00F63B3C">
              <w:rPr>
                <w:b/>
                <w:color w:val="808080" w:themeColor="background1" w:themeShade="80"/>
                <w:szCs w:val="17"/>
              </w:rPr>
              <w:t>Neutral</w:t>
            </w:r>
          </w:p>
        </w:tc>
      </w:tr>
      <w:tr w:rsidR="00C37A6F" w:rsidRPr="00D43554" w14:paraId="662EE664" w14:textId="77777777" w:rsidTr="00424768">
        <w:trPr>
          <w:trHeight w:val="499"/>
        </w:trPr>
        <w:tc>
          <w:tcPr>
            <w:tcW w:w="689" w:type="dxa"/>
            <w:shd w:val="clear" w:color="auto" w:fill="auto"/>
            <w:vAlign w:val="center"/>
          </w:tcPr>
          <w:p w14:paraId="36C659FE" w14:textId="449E2C9A" w:rsidR="00C37A6F" w:rsidRPr="00E07ECB" w:rsidRDefault="00C37A6F" w:rsidP="00C37A6F">
            <w:pPr>
              <w:jc w:val="center"/>
              <w:rPr>
                <w:bCs/>
                <w:szCs w:val="17"/>
              </w:rPr>
            </w:pPr>
            <w:r>
              <w:rPr>
                <w:bCs/>
                <w:szCs w:val="17"/>
              </w:rPr>
              <w:t>270</w:t>
            </w:r>
          </w:p>
        </w:tc>
        <w:tc>
          <w:tcPr>
            <w:tcW w:w="1909" w:type="dxa"/>
            <w:shd w:val="clear" w:color="auto" w:fill="auto"/>
            <w:vAlign w:val="center"/>
          </w:tcPr>
          <w:p w14:paraId="72774302" w14:textId="0321E9A3" w:rsidR="00C37A6F" w:rsidRPr="00E07ECB" w:rsidRDefault="00C37A6F" w:rsidP="00C37A6F">
            <w:pPr>
              <w:jc w:val="center"/>
              <w:rPr>
                <w:bCs/>
                <w:szCs w:val="17"/>
              </w:rPr>
            </w:pPr>
            <w:r>
              <w:rPr>
                <w:bCs/>
                <w:szCs w:val="17"/>
              </w:rPr>
              <w:t>Recital 41</w:t>
            </w:r>
          </w:p>
        </w:tc>
        <w:tc>
          <w:tcPr>
            <w:tcW w:w="6116" w:type="dxa"/>
            <w:shd w:val="clear" w:color="auto" w:fill="auto"/>
          </w:tcPr>
          <w:p w14:paraId="6452867B" w14:textId="44199710" w:rsidR="00C37A6F" w:rsidRPr="00E07ECB" w:rsidRDefault="002410EB" w:rsidP="00C37A6F">
            <w:pPr>
              <w:jc w:val="left"/>
              <w:rPr>
                <w:bCs/>
                <w:szCs w:val="17"/>
              </w:rPr>
            </w:pPr>
            <w:r w:rsidRPr="002410EB">
              <w:rPr>
                <w:bCs/>
                <w:szCs w:val="17"/>
              </w:rPr>
              <w:t>To prevent an overshooting of the symmetric adjustment, the final capital charge should not be lower than the one which would have resulted from the application of an instantaneous decrease equal to 15% in the value of the equity investment.</w:t>
            </w:r>
          </w:p>
        </w:tc>
        <w:tc>
          <w:tcPr>
            <w:tcW w:w="1909" w:type="dxa"/>
            <w:shd w:val="clear" w:color="auto" w:fill="auto"/>
            <w:vAlign w:val="center"/>
          </w:tcPr>
          <w:p w14:paraId="4CFE061B" w14:textId="5278ACE9" w:rsidR="00C37A6F" w:rsidRPr="00E07ECB" w:rsidRDefault="00C37A6F" w:rsidP="00C37A6F">
            <w:pPr>
              <w:jc w:val="center"/>
              <w:rPr>
                <w:bCs/>
                <w:szCs w:val="17"/>
              </w:rPr>
            </w:pPr>
            <w:r w:rsidRPr="00E76E73">
              <w:rPr>
                <w:szCs w:val="17"/>
              </w:rPr>
              <w:t>Hahn</w:t>
            </w:r>
          </w:p>
        </w:tc>
        <w:tc>
          <w:tcPr>
            <w:tcW w:w="2543" w:type="dxa"/>
            <w:shd w:val="clear" w:color="auto" w:fill="auto"/>
            <w:vAlign w:val="center"/>
          </w:tcPr>
          <w:p w14:paraId="483D2974" w14:textId="24C51183" w:rsidR="00C37A6F" w:rsidRPr="00E07ECB" w:rsidRDefault="00C37A6F" w:rsidP="00C37A6F">
            <w:pPr>
              <w:jc w:val="center"/>
              <w:rPr>
                <w:bCs/>
                <w:szCs w:val="17"/>
              </w:rPr>
            </w:pPr>
            <w:r w:rsidRPr="00ED3E3F">
              <w:rPr>
                <w:bCs/>
                <w:szCs w:val="17"/>
              </w:rPr>
              <w:t xml:space="preserve">Symmetric </w:t>
            </w:r>
            <w:r w:rsidR="00BD03D1">
              <w:rPr>
                <w:bCs/>
                <w:szCs w:val="17"/>
              </w:rPr>
              <w:t>adjustment</w:t>
            </w:r>
          </w:p>
        </w:tc>
        <w:tc>
          <w:tcPr>
            <w:tcW w:w="1293" w:type="dxa"/>
            <w:shd w:val="clear" w:color="auto" w:fill="auto"/>
            <w:vAlign w:val="center"/>
          </w:tcPr>
          <w:p w14:paraId="6D6C1357" w14:textId="1EA027DC" w:rsidR="00C37A6F" w:rsidRPr="00E07ECB" w:rsidRDefault="0043315D" w:rsidP="00C37A6F">
            <w:pPr>
              <w:jc w:val="center"/>
              <w:rPr>
                <w:bCs/>
                <w:szCs w:val="17"/>
              </w:rPr>
            </w:pPr>
            <w:r w:rsidRPr="00F63B3C">
              <w:rPr>
                <w:b/>
                <w:color w:val="808080" w:themeColor="background1" w:themeShade="80"/>
                <w:szCs w:val="17"/>
              </w:rPr>
              <w:t>Neutral</w:t>
            </w:r>
            <w:r w:rsidRPr="00F63B3C">
              <w:rPr>
                <w:b/>
                <w:color w:val="00B050"/>
                <w:szCs w:val="17"/>
              </w:rPr>
              <w:t xml:space="preserve"> </w:t>
            </w:r>
          </w:p>
        </w:tc>
      </w:tr>
      <w:tr w:rsidR="00C37A6F" w:rsidRPr="00D43554" w14:paraId="0516EB14" w14:textId="77777777" w:rsidTr="00424768">
        <w:trPr>
          <w:trHeight w:val="499"/>
        </w:trPr>
        <w:tc>
          <w:tcPr>
            <w:tcW w:w="689" w:type="dxa"/>
            <w:shd w:val="clear" w:color="auto" w:fill="auto"/>
            <w:vAlign w:val="center"/>
          </w:tcPr>
          <w:p w14:paraId="304978D9" w14:textId="3FE4D45B" w:rsidR="00C37A6F" w:rsidRPr="00E07ECB" w:rsidRDefault="00C37A6F" w:rsidP="00C37A6F">
            <w:pPr>
              <w:jc w:val="center"/>
              <w:rPr>
                <w:bCs/>
                <w:szCs w:val="17"/>
              </w:rPr>
            </w:pPr>
            <w:r>
              <w:rPr>
                <w:bCs/>
                <w:szCs w:val="17"/>
              </w:rPr>
              <w:t>271</w:t>
            </w:r>
          </w:p>
        </w:tc>
        <w:tc>
          <w:tcPr>
            <w:tcW w:w="1909" w:type="dxa"/>
            <w:shd w:val="clear" w:color="auto" w:fill="auto"/>
            <w:vAlign w:val="center"/>
          </w:tcPr>
          <w:p w14:paraId="0DADF39A" w14:textId="48B376B5" w:rsidR="00C37A6F" w:rsidRPr="00E07ECB" w:rsidRDefault="00C37A6F" w:rsidP="00C37A6F">
            <w:pPr>
              <w:jc w:val="center"/>
              <w:rPr>
                <w:bCs/>
                <w:szCs w:val="17"/>
              </w:rPr>
            </w:pPr>
            <w:r>
              <w:rPr>
                <w:bCs/>
                <w:szCs w:val="17"/>
              </w:rPr>
              <w:t>Recital 44</w:t>
            </w:r>
          </w:p>
        </w:tc>
        <w:tc>
          <w:tcPr>
            <w:tcW w:w="6116" w:type="dxa"/>
            <w:shd w:val="clear" w:color="auto" w:fill="auto"/>
          </w:tcPr>
          <w:p w14:paraId="65671B75" w14:textId="44200020" w:rsidR="00C37A6F" w:rsidRPr="00E07ECB" w:rsidRDefault="00A10523" w:rsidP="00C37A6F">
            <w:pPr>
              <w:jc w:val="left"/>
              <w:rPr>
                <w:bCs/>
                <w:szCs w:val="17"/>
              </w:rPr>
            </w:pPr>
            <w:r>
              <w:rPr>
                <w:bCs/>
                <w:szCs w:val="17"/>
              </w:rPr>
              <w:t>In case of significant difference between IM SCR and Standard Formula SCR, t</w:t>
            </w:r>
            <w:r w:rsidR="00C37A6F">
              <w:rPr>
                <w:bCs/>
                <w:szCs w:val="17"/>
              </w:rPr>
              <w:t>he undertaking shall provide justification to the NSA</w:t>
            </w:r>
            <w:r w:rsidR="00DE2EB3">
              <w:rPr>
                <w:bCs/>
                <w:szCs w:val="17"/>
              </w:rPr>
              <w:t>.</w:t>
            </w:r>
            <w:r w:rsidR="00C37A6F">
              <w:rPr>
                <w:bCs/>
                <w:szCs w:val="17"/>
              </w:rPr>
              <w:t xml:space="preserve"> </w:t>
            </w:r>
          </w:p>
        </w:tc>
        <w:tc>
          <w:tcPr>
            <w:tcW w:w="1909" w:type="dxa"/>
            <w:shd w:val="clear" w:color="auto" w:fill="auto"/>
            <w:vAlign w:val="center"/>
          </w:tcPr>
          <w:p w14:paraId="3F954067" w14:textId="05204E55" w:rsidR="00C37A6F" w:rsidRPr="00E07ECB" w:rsidRDefault="00C37A6F" w:rsidP="00C37A6F">
            <w:pPr>
              <w:jc w:val="center"/>
              <w:rPr>
                <w:bCs/>
                <w:szCs w:val="17"/>
              </w:rPr>
            </w:pPr>
            <w:r w:rsidRPr="00E76E73">
              <w:rPr>
                <w:szCs w:val="17"/>
              </w:rPr>
              <w:t>Hahn</w:t>
            </w:r>
          </w:p>
        </w:tc>
        <w:tc>
          <w:tcPr>
            <w:tcW w:w="2543" w:type="dxa"/>
            <w:shd w:val="clear" w:color="auto" w:fill="auto"/>
            <w:vAlign w:val="center"/>
          </w:tcPr>
          <w:p w14:paraId="5BD494A5" w14:textId="7CD66BAB" w:rsidR="00C37A6F" w:rsidRPr="00E07ECB" w:rsidRDefault="00C37A6F" w:rsidP="00C37A6F">
            <w:pPr>
              <w:jc w:val="center"/>
              <w:rPr>
                <w:bCs/>
                <w:szCs w:val="17"/>
              </w:rPr>
            </w:pPr>
            <w:r w:rsidRPr="00265A30">
              <w:rPr>
                <w:bCs/>
                <w:szCs w:val="17"/>
              </w:rPr>
              <w:t>Internal models</w:t>
            </w:r>
          </w:p>
        </w:tc>
        <w:tc>
          <w:tcPr>
            <w:tcW w:w="1293" w:type="dxa"/>
            <w:shd w:val="clear" w:color="auto" w:fill="auto"/>
            <w:vAlign w:val="center"/>
          </w:tcPr>
          <w:p w14:paraId="055766FF" w14:textId="4369D484" w:rsidR="00C37A6F" w:rsidRPr="00E07ECB" w:rsidRDefault="00C37A6F" w:rsidP="00C37A6F">
            <w:pPr>
              <w:jc w:val="center"/>
              <w:rPr>
                <w:bCs/>
                <w:szCs w:val="17"/>
              </w:rPr>
            </w:pPr>
            <w:r w:rsidRPr="00DC4CB9">
              <w:rPr>
                <w:b/>
                <w:color w:val="FF0000"/>
                <w:szCs w:val="17"/>
              </w:rPr>
              <w:t>Negative</w:t>
            </w:r>
          </w:p>
        </w:tc>
      </w:tr>
      <w:tr w:rsidR="00C37A6F" w:rsidRPr="00D43554" w14:paraId="78825C0D" w14:textId="77777777" w:rsidTr="00424768">
        <w:trPr>
          <w:trHeight w:val="499"/>
        </w:trPr>
        <w:tc>
          <w:tcPr>
            <w:tcW w:w="689" w:type="dxa"/>
            <w:shd w:val="clear" w:color="auto" w:fill="auto"/>
            <w:vAlign w:val="center"/>
          </w:tcPr>
          <w:p w14:paraId="5B4518B5" w14:textId="4E0AAA4A" w:rsidR="00C37A6F" w:rsidRPr="00E07ECB" w:rsidRDefault="00C37A6F" w:rsidP="00C37A6F">
            <w:pPr>
              <w:jc w:val="center"/>
              <w:rPr>
                <w:bCs/>
                <w:szCs w:val="17"/>
              </w:rPr>
            </w:pPr>
            <w:r>
              <w:rPr>
                <w:bCs/>
                <w:szCs w:val="17"/>
              </w:rPr>
              <w:t>272</w:t>
            </w:r>
          </w:p>
        </w:tc>
        <w:tc>
          <w:tcPr>
            <w:tcW w:w="1909" w:type="dxa"/>
            <w:shd w:val="clear" w:color="auto" w:fill="auto"/>
            <w:vAlign w:val="center"/>
          </w:tcPr>
          <w:p w14:paraId="04D1CBAC" w14:textId="0A33A6A9" w:rsidR="00C37A6F" w:rsidRPr="00E07ECB" w:rsidRDefault="00C37A6F" w:rsidP="00C37A6F">
            <w:pPr>
              <w:jc w:val="center"/>
              <w:rPr>
                <w:bCs/>
                <w:szCs w:val="17"/>
              </w:rPr>
            </w:pPr>
            <w:r>
              <w:rPr>
                <w:bCs/>
                <w:szCs w:val="17"/>
              </w:rPr>
              <w:t>Recital 44</w:t>
            </w:r>
          </w:p>
        </w:tc>
        <w:tc>
          <w:tcPr>
            <w:tcW w:w="6116" w:type="dxa"/>
            <w:shd w:val="clear" w:color="auto" w:fill="auto"/>
          </w:tcPr>
          <w:p w14:paraId="7F7F38E2" w14:textId="00AA1059" w:rsidR="00C37A6F" w:rsidRPr="00E07ECB" w:rsidRDefault="00C37A6F" w:rsidP="00C37A6F">
            <w:pPr>
              <w:jc w:val="left"/>
              <w:rPr>
                <w:bCs/>
                <w:szCs w:val="17"/>
              </w:rPr>
            </w:pPr>
            <w:r>
              <w:rPr>
                <w:bCs/>
                <w:szCs w:val="17"/>
              </w:rPr>
              <w:t xml:space="preserve">Change word “companies” for </w:t>
            </w:r>
            <w:r w:rsidRPr="0081119F">
              <w:rPr>
                <w:bCs/>
                <w:szCs w:val="17"/>
              </w:rPr>
              <w:t>“undertakings</w:t>
            </w:r>
            <w:r>
              <w:rPr>
                <w:bCs/>
                <w:szCs w:val="17"/>
              </w:rPr>
              <w:t>”</w:t>
            </w:r>
            <w:r w:rsidR="008D6E52">
              <w:rPr>
                <w:bCs/>
                <w:szCs w:val="17"/>
              </w:rPr>
              <w:t>.</w:t>
            </w:r>
          </w:p>
        </w:tc>
        <w:tc>
          <w:tcPr>
            <w:tcW w:w="1909" w:type="dxa"/>
            <w:shd w:val="clear" w:color="auto" w:fill="auto"/>
            <w:vAlign w:val="center"/>
          </w:tcPr>
          <w:p w14:paraId="4EB6272B" w14:textId="1E1CDCBC" w:rsidR="00C37A6F" w:rsidRPr="00E07ECB" w:rsidRDefault="00C37A6F" w:rsidP="00C37A6F">
            <w:pPr>
              <w:jc w:val="center"/>
              <w:rPr>
                <w:bCs/>
                <w:szCs w:val="17"/>
              </w:rPr>
            </w:pPr>
            <w:r w:rsidRPr="00E76E73">
              <w:rPr>
                <w:szCs w:val="17"/>
              </w:rPr>
              <w:t>Yon-Courtin, Boyer</w:t>
            </w:r>
          </w:p>
        </w:tc>
        <w:tc>
          <w:tcPr>
            <w:tcW w:w="2543" w:type="dxa"/>
            <w:shd w:val="clear" w:color="auto" w:fill="auto"/>
            <w:vAlign w:val="center"/>
          </w:tcPr>
          <w:p w14:paraId="3D097A35" w14:textId="544CD091" w:rsidR="00C37A6F" w:rsidRPr="00E07ECB" w:rsidRDefault="00C37A6F" w:rsidP="00C37A6F">
            <w:pPr>
              <w:jc w:val="center"/>
              <w:rPr>
                <w:bCs/>
                <w:szCs w:val="17"/>
              </w:rPr>
            </w:pPr>
            <w:r>
              <w:rPr>
                <w:bCs/>
                <w:szCs w:val="17"/>
              </w:rPr>
              <w:t>Editorial</w:t>
            </w:r>
          </w:p>
        </w:tc>
        <w:tc>
          <w:tcPr>
            <w:tcW w:w="1293" w:type="dxa"/>
            <w:shd w:val="clear" w:color="auto" w:fill="auto"/>
            <w:vAlign w:val="center"/>
          </w:tcPr>
          <w:p w14:paraId="2FA21813" w14:textId="1AB19F06" w:rsidR="00C37A6F" w:rsidRPr="00E07ECB" w:rsidRDefault="00C37A6F" w:rsidP="00C37A6F">
            <w:pPr>
              <w:jc w:val="center"/>
              <w:rPr>
                <w:bCs/>
                <w:szCs w:val="17"/>
              </w:rPr>
            </w:pPr>
          </w:p>
        </w:tc>
      </w:tr>
      <w:tr w:rsidR="00C37A6F" w:rsidRPr="00D43554" w14:paraId="4FA61BC4" w14:textId="77777777" w:rsidTr="00424768">
        <w:trPr>
          <w:trHeight w:val="499"/>
        </w:trPr>
        <w:tc>
          <w:tcPr>
            <w:tcW w:w="689" w:type="dxa"/>
            <w:shd w:val="clear" w:color="auto" w:fill="auto"/>
            <w:vAlign w:val="center"/>
          </w:tcPr>
          <w:p w14:paraId="3C12660B" w14:textId="30E63257" w:rsidR="00C37A6F" w:rsidRPr="00E07ECB" w:rsidRDefault="00C37A6F" w:rsidP="00C37A6F">
            <w:pPr>
              <w:jc w:val="center"/>
              <w:rPr>
                <w:bCs/>
                <w:szCs w:val="17"/>
              </w:rPr>
            </w:pPr>
            <w:r>
              <w:rPr>
                <w:bCs/>
                <w:szCs w:val="17"/>
              </w:rPr>
              <w:t>273</w:t>
            </w:r>
          </w:p>
        </w:tc>
        <w:tc>
          <w:tcPr>
            <w:tcW w:w="1909" w:type="dxa"/>
            <w:shd w:val="clear" w:color="auto" w:fill="auto"/>
            <w:vAlign w:val="center"/>
          </w:tcPr>
          <w:p w14:paraId="28E18FA3" w14:textId="0A25F373" w:rsidR="00C37A6F" w:rsidRPr="00E07ECB" w:rsidRDefault="00C37A6F" w:rsidP="00C37A6F">
            <w:pPr>
              <w:jc w:val="center"/>
              <w:rPr>
                <w:bCs/>
                <w:szCs w:val="17"/>
              </w:rPr>
            </w:pPr>
            <w:r w:rsidRPr="00D842CE">
              <w:rPr>
                <w:bCs/>
                <w:szCs w:val="17"/>
              </w:rPr>
              <w:t>Recital 4</w:t>
            </w:r>
            <w:r>
              <w:rPr>
                <w:bCs/>
                <w:szCs w:val="17"/>
              </w:rPr>
              <w:t>5</w:t>
            </w:r>
          </w:p>
        </w:tc>
        <w:tc>
          <w:tcPr>
            <w:tcW w:w="6116" w:type="dxa"/>
            <w:shd w:val="clear" w:color="auto" w:fill="auto"/>
          </w:tcPr>
          <w:p w14:paraId="7050194F" w14:textId="2B2E6307" w:rsidR="00C37A6F" w:rsidRPr="00E07ECB" w:rsidRDefault="00C37A6F" w:rsidP="00C37A6F">
            <w:pPr>
              <w:jc w:val="left"/>
              <w:rPr>
                <w:bCs/>
                <w:szCs w:val="17"/>
              </w:rPr>
            </w:pPr>
            <w:r>
              <w:rPr>
                <w:bCs/>
                <w:szCs w:val="17"/>
              </w:rPr>
              <w:t xml:space="preserve">Removal of the whole recital </w:t>
            </w:r>
            <w:r w:rsidR="00307A28">
              <w:rPr>
                <w:bCs/>
                <w:szCs w:val="17"/>
              </w:rPr>
              <w:t xml:space="preserve">on the </w:t>
            </w:r>
            <w:proofErr w:type="spellStart"/>
            <w:r w:rsidR="00307A28">
              <w:rPr>
                <w:bCs/>
                <w:szCs w:val="17"/>
              </w:rPr>
              <w:t>en</w:t>
            </w:r>
            <w:proofErr w:type="spellEnd"/>
            <w:r w:rsidR="009C0734">
              <w:rPr>
                <w:bCs/>
                <w:szCs w:val="17"/>
              </w:rPr>
              <w:t xml:space="preserve">   </w:t>
            </w:r>
            <w:proofErr w:type="spellStart"/>
            <w:r w:rsidR="00307A28">
              <w:rPr>
                <w:bCs/>
                <w:szCs w:val="17"/>
              </w:rPr>
              <w:t>hanced</w:t>
            </w:r>
            <w:proofErr w:type="spellEnd"/>
            <w:r w:rsidR="00307A28">
              <w:rPr>
                <w:bCs/>
                <w:szCs w:val="17"/>
              </w:rPr>
              <w:t xml:space="preserve"> prudency principle</w:t>
            </w:r>
          </w:p>
        </w:tc>
        <w:tc>
          <w:tcPr>
            <w:tcW w:w="1909" w:type="dxa"/>
            <w:shd w:val="clear" w:color="auto" w:fill="auto"/>
            <w:vAlign w:val="center"/>
          </w:tcPr>
          <w:p w14:paraId="4BE7D546" w14:textId="2E3EBD53" w:rsidR="00C37A6F" w:rsidRPr="00E07ECB" w:rsidRDefault="00C37A6F" w:rsidP="00C37A6F">
            <w:pPr>
              <w:jc w:val="center"/>
              <w:rPr>
                <w:bCs/>
                <w:szCs w:val="17"/>
              </w:rPr>
            </w:pPr>
            <w:proofErr w:type="spellStart"/>
            <w:r w:rsidRPr="00E76E73">
              <w:rPr>
                <w:szCs w:val="17"/>
              </w:rPr>
              <w:t>Zanni</w:t>
            </w:r>
            <w:proofErr w:type="spellEnd"/>
            <w:r w:rsidRPr="00E76E73">
              <w:rPr>
                <w:szCs w:val="17"/>
              </w:rPr>
              <w:t>, Grant, Rinaldi</w:t>
            </w:r>
          </w:p>
        </w:tc>
        <w:tc>
          <w:tcPr>
            <w:tcW w:w="2543" w:type="dxa"/>
            <w:shd w:val="clear" w:color="auto" w:fill="auto"/>
            <w:vAlign w:val="center"/>
          </w:tcPr>
          <w:p w14:paraId="17EDB5B9" w14:textId="2D99BFB6" w:rsidR="00C37A6F" w:rsidRPr="00E07ECB" w:rsidRDefault="00307A28" w:rsidP="00C37A6F">
            <w:pPr>
              <w:jc w:val="center"/>
              <w:rPr>
                <w:bCs/>
                <w:szCs w:val="17"/>
              </w:rPr>
            </w:pPr>
            <w:r>
              <w:rPr>
                <w:bCs/>
                <w:szCs w:val="17"/>
              </w:rPr>
              <w:t>Enhanced prudency principle DVA</w:t>
            </w:r>
          </w:p>
        </w:tc>
        <w:tc>
          <w:tcPr>
            <w:tcW w:w="1293" w:type="dxa"/>
            <w:shd w:val="clear" w:color="auto" w:fill="auto"/>
            <w:vAlign w:val="center"/>
          </w:tcPr>
          <w:p w14:paraId="15614523" w14:textId="37F1D89E" w:rsidR="00C37A6F" w:rsidRPr="00E07ECB" w:rsidRDefault="00C37A6F" w:rsidP="00C37A6F">
            <w:pPr>
              <w:jc w:val="center"/>
              <w:rPr>
                <w:bCs/>
                <w:szCs w:val="17"/>
              </w:rPr>
            </w:pPr>
            <w:r w:rsidRPr="00F63B3C">
              <w:rPr>
                <w:b/>
                <w:color w:val="00B050"/>
                <w:szCs w:val="17"/>
              </w:rPr>
              <w:t>Positive</w:t>
            </w:r>
          </w:p>
        </w:tc>
      </w:tr>
      <w:tr w:rsidR="00C37A6F" w:rsidRPr="00D43554" w14:paraId="3B201E34" w14:textId="77777777" w:rsidTr="00424768">
        <w:trPr>
          <w:trHeight w:val="499"/>
        </w:trPr>
        <w:tc>
          <w:tcPr>
            <w:tcW w:w="689" w:type="dxa"/>
            <w:shd w:val="clear" w:color="auto" w:fill="auto"/>
            <w:vAlign w:val="center"/>
          </w:tcPr>
          <w:p w14:paraId="3284160E" w14:textId="540FF978" w:rsidR="00C37A6F" w:rsidRPr="00E07ECB" w:rsidRDefault="00C37A6F" w:rsidP="00C37A6F">
            <w:pPr>
              <w:jc w:val="center"/>
              <w:rPr>
                <w:bCs/>
                <w:szCs w:val="17"/>
              </w:rPr>
            </w:pPr>
            <w:r>
              <w:rPr>
                <w:bCs/>
                <w:szCs w:val="17"/>
              </w:rPr>
              <w:t>274</w:t>
            </w:r>
          </w:p>
        </w:tc>
        <w:tc>
          <w:tcPr>
            <w:tcW w:w="1909" w:type="dxa"/>
            <w:shd w:val="clear" w:color="auto" w:fill="auto"/>
            <w:vAlign w:val="center"/>
          </w:tcPr>
          <w:p w14:paraId="104EE77D" w14:textId="03E242CB" w:rsidR="00C37A6F" w:rsidRPr="00E07ECB" w:rsidRDefault="00C37A6F" w:rsidP="00C37A6F">
            <w:pPr>
              <w:jc w:val="center"/>
              <w:rPr>
                <w:bCs/>
                <w:szCs w:val="17"/>
              </w:rPr>
            </w:pPr>
            <w:r>
              <w:rPr>
                <w:bCs/>
                <w:szCs w:val="17"/>
              </w:rPr>
              <w:t>Recital 47</w:t>
            </w:r>
          </w:p>
        </w:tc>
        <w:tc>
          <w:tcPr>
            <w:tcW w:w="6116" w:type="dxa"/>
            <w:shd w:val="clear" w:color="auto" w:fill="auto"/>
          </w:tcPr>
          <w:p w14:paraId="3E135611" w14:textId="1A292331" w:rsidR="00C37A6F" w:rsidRPr="00E07ECB" w:rsidRDefault="00C37A6F" w:rsidP="00C37A6F">
            <w:pPr>
              <w:jc w:val="left"/>
              <w:rPr>
                <w:bCs/>
                <w:szCs w:val="17"/>
              </w:rPr>
            </w:pPr>
            <w:r>
              <w:rPr>
                <w:bCs/>
                <w:szCs w:val="17"/>
              </w:rPr>
              <w:t>Change word “</w:t>
            </w:r>
            <w:proofErr w:type="gramStart"/>
            <w:r>
              <w:rPr>
                <w:bCs/>
                <w:szCs w:val="17"/>
              </w:rPr>
              <w:t>their</w:t>
            </w:r>
            <w:proofErr w:type="gramEnd"/>
            <w:r>
              <w:rPr>
                <w:bCs/>
                <w:szCs w:val="17"/>
              </w:rPr>
              <w:t xml:space="preserve">” for </w:t>
            </w:r>
            <w:r w:rsidRPr="0081119F">
              <w:rPr>
                <w:bCs/>
                <w:szCs w:val="17"/>
              </w:rPr>
              <w:t>“</w:t>
            </w:r>
            <w:r>
              <w:rPr>
                <w:bCs/>
                <w:szCs w:val="17"/>
              </w:rPr>
              <w:t>the” in reference to supervision of undertakings</w:t>
            </w:r>
          </w:p>
        </w:tc>
        <w:tc>
          <w:tcPr>
            <w:tcW w:w="1909" w:type="dxa"/>
            <w:shd w:val="clear" w:color="auto" w:fill="auto"/>
            <w:vAlign w:val="center"/>
          </w:tcPr>
          <w:p w14:paraId="06D991BC" w14:textId="3737C02E" w:rsidR="00C37A6F" w:rsidRPr="00E07ECB" w:rsidRDefault="00C37A6F" w:rsidP="00C37A6F">
            <w:pPr>
              <w:jc w:val="center"/>
              <w:rPr>
                <w:bCs/>
                <w:szCs w:val="17"/>
              </w:rPr>
            </w:pPr>
            <w:r w:rsidRPr="00E76E73">
              <w:rPr>
                <w:szCs w:val="17"/>
              </w:rPr>
              <w:t>Yon-Courtin, Boyer</w:t>
            </w:r>
          </w:p>
        </w:tc>
        <w:tc>
          <w:tcPr>
            <w:tcW w:w="2543" w:type="dxa"/>
            <w:shd w:val="clear" w:color="auto" w:fill="auto"/>
            <w:vAlign w:val="center"/>
          </w:tcPr>
          <w:p w14:paraId="63B89EAE" w14:textId="70D47315" w:rsidR="00C37A6F" w:rsidRPr="00E07ECB" w:rsidRDefault="00C37A6F" w:rsidP="00C37A6F">
            <w:pPr>
              <w:jc w:val="center"/>
              <w:rPr>
                <w:bCs/>
                <w:szCs w:val="17"/>
              </w:rPr>
            </w:pPr>
            <w:r>
              <w:rPr>
                <w:bCs/>
                <w:szCs w:val="17"/>
              </w:rPr>
              <w:t>Editorial</w:t>
            </w:r>
          </w:p>
        </w:tc>
        <w:tc>
          <w:tcPr>
            <w:tcW w:w="1293" w:type="dxa"/>
            <w:shd w:val="clear" w:color="auto" w:fill="auto"/>
            <w:vAlign w:val="center"/>
          </w:tcPr>
          <w:p w14:paraId="3CAC5AB1" w14:textId="214FECAF" w:rsidR="00C37A6F" w:rsidRPr="00E07ECB" w:rsidRDefault="00C37A6F" w:rsidP="00C37A6F">
            <w:pPr>
              <w:jc w:val="center"/>
              <w:rPr>
                <w:bCs/>
                <w:szCs w:val="17"/>
              </w:rPr>
            </w:pPr>
            <w:r w:rsidRPr="00F63B3C">
              <w:rPr>
                <w:b/>
                <w:color w:val="808080" w:themeColor="background1" w:themeShade="80"/>
                <w:szCs w:val="17"/>
              </w:rPr>
              <w:t>Neutral</w:t>
            </w:r>
          </w:p>
        </w:tc>
      </w:tr>
      <w:tr w:rsidR="00C37A6F" w:rsidRPr="00D43554" w14:paraId="240686FB" w14:textId="77777777" w:rsidTr="00424768">
        <w:trPr>
          <w:trHeight w:val="499"/>
        </w:trPr>
        <w:tc>
          <w:tcPr>
            <w:tcW w:w="689" w:type="dxa"/>
            <w:shd w:val="clear" w:color="auto" w:fill="auto"/>
            <w:vAlign w:val="center"/>
          </w:tcPr>
          <w:p w14:paraId="5A338BED" w14:textId="1237B963" w:rsidR="00C37A6F" w:rsidRPr="00E07ECB" w:rsidRDefault="00C37A6F" w:rsidP="00C37A6F">
            <w:pPr>
              <w:jc w:val="center"/>
              <w:rPr>
                <w:bCs/>
                <w:szCs w:val="17"/>
              </w:rPr>
            </w:pPr>
            <w:r>
              <w:rPr>
                <w:bCs/>
                <w:szCs w:val="17"/>
              </w:rPr>
              <w:t>275</w:t>
            </w:r>
          </w:p>
        </w:tc>
        <w:tc>
          <w:tcPr>
            <w:tcW w:w="1909" w:type="dxa"/>
            <w:shd w:val="clear" w:color="auto" w:fill="auto"/>
            <w:vAlign w:val="center"/>
          </w:tcPr>
          <w:p w14:paraId="068BF78A" w14:textId="7ECFCD33" w:rsidR="00C37A6F" w:rsidRPr="00E07ECB" w:rsidRDefault="00C37A6F" w:rsidP="00C37A6F">
            <w:pPr>
              <w:jc w:val="center"/>
              <w:rPr>
                <w:bCs/>
                <w:szCs w:val="17"/>
              </w:rPr>
            </w:pPr>
            <w:r w:rsidRPr="000D6EF0">
              <w:rPr>
                <w:bCs/>
                <w:szCs w:val="17"/>
              </w:rPr>
              <w:t>Recital 54</w:t>
            </w:r>
          </w:p>
        </w:tc>
        <w:tc>
          <w:tcPr>
            <w:tcW w:w="6116" w:type="dxa"/>
            <w:shd w:val="clear" w:color="auto" w:fill="auto"/>
          </w:tcPr>
          <w:p w14:paraId="365FD988" w14:textId="7E5C7D7C" w:rsidR="00F9202D" w:rsidRDefault="00C37A6F" w:rsidP="00C37A6F">
            <w:pPr>
              <w:jc w:val="left"/>
              <w:rPr>
                <w:bCs/>
                <w:szCs w:val="17"/>
              </w:rPr>
            </w:pPr>
            <w:r>
              <w:rPr>
                <w:bCs/>
                <w:szCs w:val="17"/>
              </w:rPr>
              <w:t xml:space="preserve">Change word “market” </w:t>
            </w:r>
            <w:r w:rsidR="00307A28">
              <w:rPr>
                <w:bCs/>
                <w:szCs w:val="17"/>
              </w:rPr>
              <w:t>to</w:t>
            </w:r>
            <w:r>
              <w:rPr>
                <w:bCs/>
                <w:szCs w:val="17"/>
              </w:rPr>
              <w:t xml:space="preserve"> </w:t>
            </w:r>
            <w:r w:rsidRPr="0081119F">
              <w:rPr>
                <w:bCs/>
                <w:szCs w:val="17"/>
              </w:rPr>
              <w:t>“</w:t>
            </w:r>
            <w:r>
              <w:rPr>
                <w:bCs/>
                <w:szCs w:val="17"/>
              </w:rPr>
              <w:t>sector”.</w:t>
            </w:r>
          </w:p>
          <w:p w14:paraId="4A9422F0" w14:textId="0DBDD9BF" w:rsidR="003C5584" w:rsidRDefault="00C37A6F" w:rsidP="00C37A6F">
            <w:pPr>
              <w:jc w:val="left"/>
              <w:rPr>
                <w:bCs/>
                <w:szCs w:val="17"/>
              </w:rPr>
            </w:pPr>
            <w:r>
              <w:rPr>
                <w:bCs/>
                <w:szCs w:val="17"/>
              </w:rPr>
              <w:t>Removal of powers to restrict</w:t>
            </w:r>
            <w:r w:rsidRPr="0070537A">
              <w:rPr>
                <w:bCs/>
                <w:szCs w:val="17"/>
              </w:rPr>
              <w:t xml:space="preserve"> or suspend distributions to shareholders and other subordinated lender</w:t>
            </w:r>
            <w:r>
              <w:rPr>
                <w:bCs/>
                <w:szCs w:val="17"/>
              </w:rPr>
              <w:t xml:space="preserve"> before SCR breach.</w:t>
            </w:r>
          </w:p>
          <w:p w14:paraId="42A426F3" w14:textId="64DD0E4B" w:rsidR="00C37A6F" w:rsidRPr="00E07ECB" w:rsidRDefault="003C5584" w:rsidP="00C37A6F">
            <w:pPr>
              <w:jc w:val="left"/>
              <w:rPr>
                <w:bCs/>
                <w:szCs w:val="17"/>
              </w:rPr>
            </w:pPr>
            <w:r>
              <w:rPr>
                <w:bCs/>
                <w:szCs w:val="17"/>
              </w:rPr>
              <w:t xml:space="preserve">Instead, </w:t>
            </w:r>
            <w:r w:rsidR="00AB0685">
              <w:rPr>
                <w:bCs/>
                <w:szCs w:val="17"/>
              </w:rPr>
              <w:t xml:space="preserve">it is specified that </w:t>
            </w:r>
            <w:r w:rsidR="00264C56">
              <w:rPr>
                <w:bCs/>
                <w:szCs w:val="17"/>
              </w:rPr>
              <w:t xml:space="preserve">the powers </w:t>
            </w:r>
            <w:r w:rsidR="001C17A0">
              <w:rPr>
                <w:bCs/>
                <w:szCs w:val="17"/>
              </w:rPr>
              <w:t xml:space="preserve">should be </w:t>
            </w:r>
            <w:r w:rsidR="00C37A6F">
              <w:rPr>
                <w:bCs/>
                <w:szCs w:val="17"/>
              </w:rPr>
              <w:t xml:space="preserve">used as a last resort when there is </w:t>
            </w:r>
            <w:r w:rsidR="00F366EB">
              <w:rPr>
                <w:bCs/>
                <w:szCs w:val="17"/>
              </w:rPr>
              <w:t xml:space="preserve">an </w:t>
            </w:r>
            <w:r w:rsidR="00C37A6F">
              <w:rPr>
                <w:bCs/>
                <w:szCs w:val="17"/>
              </w:rPr>
              <w:t xml:space="preserve">imminent danger for </w:t>
            </w:r>
            <w:r w:rsidR="00A97658">
              <w:rPr>
                <w:bCs/>
                <w:szCs w:val="17"/>
              </w:rPr>
              <w:t>PH or financial stability</w:t>
            </w:r>
            <w:r w:rsidR="00F366EB">
              <w:rPr>
                <w:bCs/>
                <w:szCs w:val="17"/>
              </w:rPr>
              <w:t>.</w:t>
            </w:r>
          </w:p>
        </w:tc>
        <w:tc>
          <w:tcPr>
            <w:tcW w:w="1909" w:type="dxa"/>
            <w:shd w:val="clear" w:color="auto" w:fill="auto"/>
            <w:vAlign w:val="center"/>
          </w:tcPr>
          <w:p w14:paraId="2E770C80" w14:textId="6E08FD21" w:rsidR="00C37A6F" w:rsidRPr="00E07ECB" w:rsidRDefault="00C37A6F" w:rsidP="00C37A6F">
            <w:pPr>
              <w:jc w:val="center"/>
              <w:rPr>
                <w:bCs/>
                <w:szCs w:val="17"/>
              </w:rPr>
            </w:pPr>
            <w:proofErr w:type="spellStart"/>
            <w:r w:rsidRPr="00E76E73">
              <w:rPr>
                <w:szCs w:val="17"/>
              </w:rPr>
              <w:t>Zanni</w:t>
            </w:r>
            <w:proofErr w:type="spellEnd"/>
            <w:r w:rsidRPr="00E76E73">
              <w:rPr>
                <w:szCs w:val="17"/>
              </w:rPr>
              <w:t>, Grant, Rinaldi</w:t>
            </w:r>
          </w:p>
        </w:tc>
        <w:tc>
          <w:tcPr>
            <w:tcW w:w="2543" w:type="dxa"/>
            <w:shd w:val="clear" w:color="auto" w:fill="auto"/>
            <w:vAlign w:val="center"/>
          </w:tcPr>
          <w:p w14:paraId="28274446" w14:textId="7974CB10" w:rsidR="00C37A6F" w:rsidRPr="00E07ECB" w:rsidRDefault="00C37A6F" w:rsidP="00C37A6F">
            <w:pPr>
              <w:jc w:val="center"/>
              <w:rPr>
                <w:bCs/>
                <w:szCs w:val="17"/>
              </w:rPr>
            </w:pPr>
            <w:r w:rsidRPr="00D1670D">
              <w:rPr>
                <w:bCs/>
                <w:szCs w:val="17"/>
              </w:rPr>
              <w:t>Macroprudential/Supervisory powers</w:t>
            </w:r>
          </w:p>
        </w:tc>
        <w:tc>
          <w:tcPr>
            <w:tcW w:w="1293" w:type="dxa"/>
            <w:shd w:val="clear" w:color="auto" w:fill="auto"/>
            <w:vAlign w:val="center"/>
          </w:tcPr>
          <w:p w14:paraId="0572E6A2" w14:textId="69E3D39F" w:rsidR="00C37A6F" w:rsidRPr="00E07ECB" w:rsidRDefault="00C37A6F" w:rsidP="00C37A6F">
            <w:pPr>
              <w:jc w:val="center"/>
              <w:rPr>
                <w:bCs/>
                <w:szCs w:val="17"/>
              </w:rPr>
            </w:pPr>
            <w:r w:rsidRPr="00F63B3C">
              <w:rPr>
                <w:b/>
                <w:color w:val="00B050"/>
                <w:szCs w:val="17"/>
              </w:rPr>
              <w:t>Positive</w:t>
            </w:r>
          </w:p>
        </w:tc>
      </w:tr>
      <w:tr w:rsidR="00C37A6F" w:rsidRPr="00D43554" w14:paraId="29711FAF" w14:textId="77777777" w:rsidTr="00424768">
        <w:trPr>
          <w:trHeight w:val="499"/>
        </w:trPr>
        <w:tc>
          <w:tcPr>
            <w:tcW w:w="689" w:type="dxa"/>
            <w:shd w:val="clear" w:color="auto" w:fill="auto"/>
            <w:vAlign w:val="center"/>
          </w:tcPr>
          <w:p w14:paraId="29751284" w14:textId="643A65AF" w:rsidR="00C37A6F" w:rsidRPr="00E07ECB" w:rsidRDefault="00C37A6F" w:rsidP="00C37A6F">
            <w:pPr>
              <w:jc w:val="center"/>
              <w:rPr>
                <w:bCs/>
                <w:szCs w:val="17"/>
              </w:rPr>
            </w:pPr>
            <w:r>
              <w:rPr>
                <w:bCs/>
                <w:szCs w:val="17"/>
              </w:rPr>
              <w:t>277</w:t>
            </w:r>
          </w:p>
        </w:tc>
        <w:tc>
          <w:tcPr>
            <w:tcW w:w="1909" w:type="dxa"/>
            <w:shd w:val="clear" w:color="auto" w:fill="auto"/>
            <w:vAlign w:val="center"/>
          </w:tcPr>
          <w:p w14:paraId="0B5428CC" w14:textId="2F5BCC22" w:rsidR="00C37A6F" w:rsidRPr="00E07ECB" w:rsidRDefault="00C37A6F" w:rsidP="00C37A6F">
            <w:pPr>
              <w:jc w:val="center"/>
              <w:rPr>
                <w:bCs/>
                <w:szCs w:val="17"/>
              </w:rPr>
            </w:pPr>
            <w:r w:rsidRPr="00A30555">
              <w:rPr>
                <w:bCs/>
                <w:szCs w:val="17"/>
              </w:rPr>
              <w:t>Recital 56 a (new)</w:t>
            </w:r>
          </w:p>
        </w:tc>
        <w:tc>
          <w:tcPr>
            <w:tcW w:w="6116" w:type="dxa"/>
            <w:shd w:val="clear" w:color="auto" w:fill="auto"/>
          </w:tcPr>
          <w:p w14:paraId="1200AB0F" w14:textId="5ED659DA" w:rsidR="005B0926" w:rsidRDefault="005C0BC4" w:rsidP="00C37A6F">
            <w:pPr>
              <w:jc w:val="left"/>
              <w:rPr>
                <w:bCs/>
                <w:szCs w:val="17"/>
              </w:rPr>
            </w:pPr>
            <w:r>
              <w:rPr>
                <w:bCs/>
                <w:szCs w:val="17"/>
              </w:rPr>
              <w:t xml:space="preserve">NSA authorizing </w:t>
            </w:r>
            <w:r w:rsidR="004D471A">
              <w:rPr>
                <w:bCs/>
                <w:szCs w:val="17"/>
              </w:rPr>
              <w:t>an insurer should particularly assess</w:t>
            </w:r>
            <w:r>
              <w:rPr>
                <w:bCs/>
                <w:szCs w:val="17"/>
              </w:rPr>
              <w:t xml:space="preserve"> </w:t>
            </w:r>
            <w:r w:rsidR="005B0926">
              <w:rPr>
                <w:bCs/>
                <w:szCs w:val="17"/>
              </w:rPr>
              <w:t>if business model/activity might pose risks to consumers in a specific MS.</w:t>
            </w:r>
          </w:p>
          <w:p w14:paraId="336B0585" w14:textId="2F7C116C" w:rsidR="00955FFA" w:rsidRDefault="005B0926" w:rsidP="00C37A6F">
            <w:pPr>
              <w:jc w:val="left"/>
              <w:rPr>
                <w:bCs/>
                <w:szCs w:val="17"/>
              </w:rPr>
            </w:pPr>
            <w:r>
              <w:rPr>
                <w:bCs/>
                <w:szCs w:val="17"/>
              </w:rPr>
              <w:t xml:space="preserve">In case of </w:t>
            </w:r>
            <w:r w:rsidR="00F8450D">
              <w:rPr>
                <w:bCs/>
                <w:szCs w:val="17"/>
              </w:rPr>
              <w:t>authorisation</w:t>
            </w:r>
            <w:r>
              <w:rPr>
                <w:bCs/>
                <w:szCs w:val="17"/>
              </w:rPr>
              <w:t xml:space="preserve"> of FOS/FOE business, </w:t>
            </w:r>
            <w:r w:rsidR="00955FFA">
              <w:rPr>
                <w:bCs/>
                <w:szCs w:val="17"/>
              </w:rPr>
              <w:t>the NSA should inform all concerned NSAs of the outcome of its assessment</w:t>
            </w:r>
            <w:r w:rsidR="00766D2B">
              <w:rPr>
                <w:bCs/>
                <w:szCs w:val="17"/>
              </w:rPr>
              <w:t>.</w:t>
            </w:r>
          </w:p>
          <w:p w14:paraId="46959292" w14:textId="501414AC" w:rsidR="00766D2B" w:rsidRDefault="00766D2B" w:rsidP="00C37A6F">
            <w:pPr>
              <w:jc w:val="left"/>
              <w:rPr>
                <w:bCs/>
                <w:szCs w:val="17"/>
              </w:rPr>
            </w:pPr>
          </w:p>
          <w:p w14:paraId="36ADE198" w14:textId="161C2330" w:rsidR="00C37A6F" w:rsidRPr="00E07ECB" w:rsidRDefault="00C37A6F" w:rsidP="00C37A6F">
            <w:pPr>
              <w:jc w:val="left"/>
              <w:rPr>
                <w:bCs/>
                <w:szCs w:val="17"/>
              </w:rPr>
            </w:pPr>
            <w:r>
              <w:rPr>
                <w:bCs/>
                <w:szCs w:val="17"/>
              </w:rPr>
              <w:t xml:space="preserve">If these </w:t>
            </w:r>
            <w:r w:rsidR="00766D2B">
              <w:rPr>
                <w:bCs/>
                <w:szCs w:val="17"/>
              </w:rPr>
              <w:t>FOS/FOE</w:t>
            </w:r>
            <w:r>
              <w:rPr>
                <w:bCs/>
                <w:szCs w:val="17"/>
              </w:rPr>
              <w:t xml:space="preserve"> activities present a risk to customer</w:t>
            </w:r>
            <w:r w:rsidR="00D77110">
              <w:rPr>
                <w:bCs/>
                <w:szCs w:val="17"/>
              </w:rPr>
              <w:t>/</w:t>
            </w:r>
            <w:r>
              <w:rPr>
                <w:bCs/>
                <w:szCs w:val="17"/>
              </w:rPr>
              <w:t>internal market</w:t>
            </w:r>
            <w:r w:rsidR="00D77110">
              <w:rPr>
                <w:bCs/>
                <w:szCs w:val="17"/>
              </w:rPr>
              <w:t xml:space="preserve"> these </w:t>
            </w:r>
            <w:r>
              <w:rPr>
                <w:bCs/>
                <w:szCs w:val="17"/>
              </w:rPr>
              <w:t xml:space="preserve">activities should be considered as </w:t>
            </w:r>
            <w:r w:rsidRPr="00430E8A">
              <w:rPr>
                <w:bCs/>
                <w:szCs w:val="17"/>
              </w:rPr>
              <w:t>“</w:t>
            </w:r>
            <w:r>
              <w:rPr>
                <w:bCs/>
                <w:szCs w:val="17"/>
              </w:rPr>
              <w:t>significant cross-border activity”. A</w:t>
            </w:r>
            <w:r w:rsidR="00D77110">
              <w:rPr>
                <w:bCs/>
                <w:szCs w:val="17"/>
              </w:rPr>
              <w:t xml:space="preserve">nd </w:t>
            </w:r>
            <w:proofErr w:type="gramStart"/>
            <w:r w:rsidR="00D77110">
              <w:rPr>
                <w:bCs/>
                <w:szCs w:val="17"/>
              </w:rPr>
              <w:t xml:space="preserve">a </w:t>
            </w:r>
            <w:r>
              <w:rPr>
                <w:bCs/>
                <w:szCs w:val="17"/>
              </w:rPr>
              <w:t xml:space="preserve"> reassessment</w:t>
            </w:r>
            <w:proofErr w:type="gramEnd"/>
            <w:r>
              <w:rPr>
                <w:bCs/>
                <w:szCs w:val="17"/>
              </w:rPr>
              <w:t xml:space="preserve"> should be done </w:t>
            </w:r>
            <w:r w:rsidR="00C35D06">
              <w:rPr>
                <w:bCs/>
                <w:szCs w:val="17"/>
              </w:rPr>
              <w:t xml:space="preserve">when </w:t>
            </w:r>
            <w:r w:rsidR="00992792">
              <w:rPr>
                <w:bCs/>
                <w:szCs w:val="17"/>
              </w:rPr>
              <w:t xml:space="preserve">the insurer </w:t>
            </w:r>
            <w:r>
              <w:rPr>
                <w:bCs/>
                <w:szCs w:val="17"/>
              </w:rPr>
              <w:t>inten</w:t>
            </w:r>
            <w:r w:rsidR="00992792">
              <w:rPr>
                <w:bCs/>
                <w:szCs w:val="17"/>
              </w:rPr>
              <w:t>d</w:t>
            </w:r>
            <w:r>
              <w:rPr>
                <w:bCs/>
                <w:szCs w:val="17"/>
              </w:rPr>
              <w:t>s to carry out cross-border activities</w:t>
            </w:r>
            <w:r w:rsidR="00992792">
              <w:rPr>
                <w:bCs/>
                <w:szCs w:val="17"/>
              </w:rPr>
              <w:t xml:space="preserve"> in another MS or where the risk profile changed materially</w:t>
            </w:r>
            <w:r>
              <w:rPr>
                <w:bCs/>
                <w:szCs w:val="17"/>
              </w:rPr>
              <w:t>.</w:t>
            </w:r>
          </w:p>
        </w:tc>
        <w:tc>
          <w:tcPr>
            <w:tcW w:w="1909" w:type="dxa"/>
            <w:shd w:val="clear" w:color="auto" w:fill="auto"/>
            <w:vAlign w:val="center"/>
          </w:tcPr>
          <w:p w14:paraId="47B442A2" w14:textId="404EA0D7" w:rsidR="00C37A6F" w:rsidRPr="00E07ECB" w:rsidRDefault="00C37A6F" w:rsidP="00C37A6F">
            <w:pPr>
              <w:jc w:val="center"/>
              <w:rPr>
                <w:bCs/>
                <w:szCs w:val="17"/>
              </w:rPr>
            </w:pPr>
            <w:r w:rsidRPr="00E76E73">
              <w:rPr>
                <w:szCs w:val="17"/>
              </w:rPr>
              <w:t>Fitzgerald</w:t>
            </w:r>
          </w:p>
        </w:tc>
        <w:tc>
          <w:tcPr>
            <w:tcW w:w="2543" w:type="dxa"/>
            <w:shd w:val="clear" w:color="auto" w:fill="auto"/>
            <w:vAlign w:val="center"/>
          </w:tcPr>
          <w:p w14:paraId="696D2674" w14:textId="6D81C28D" w:rsidR="00C37A6F" w:rsidRPr="00E07ECB" w:rsidRDefault="00C37A6F" w:rsidP="00C37A6F">
            <w:pPr>
              <w:jc w:val="center"/>
              <w:rPr>
                <w:bCs/>
                <w:szCs w:val="17"/>
              </w:rPr>
            </w:pPr>
            <w:r w:rsidRPr="004A7F89">
              <w:rPr>
                <w:bCs/>
                <w:szCs w:val="17"/>
              </w:rPr>
              <w:t>Authorisation/cross border</w:t>
            </w:r>
          </w:p>
        </w:tc>
        <w:tc>
          <w:tcPr>
            <w:tcW w:w="1293" w:type="dxa"/>
            <w:shd w:val="clear" w:color="auto" w:fill="auto"/>
            <w:vAlign w:val="center"/>
          </w:tcPr>
          <w:p w14:paraId="1B6915AC" w14:textId="237D268F" w:rsidR="00C37A6F" w:rsidRPr="00E07ECB" w:rsidRDefault="00C37A6F" w:rsidP="00C37A6F">
            <w:pPr>
              <w:jc w:val="center"/>
              <w:rPr>
                <w:bCs/>
                <w:szCs w:val="17"/>
              </w:rPr>
            </w:pPr>
            <w:r w:rsidRPr="00F63B3C">
              <w:rPr>
                <w:b/>
                <w:color w:val="808080" w:themeColor="background1" w:themeShade="80"/>
                <w:szCs w:val="17"/>
              </w:rPr>
              <w:t>Neutral</w:t>
            </w:r>
          </w:p>
        </w:tc>
      </w:tr>
      <w:tr w:rsidR="00C37A6F" w:rsidRPr="00D43554" w14:paraId="04B142F3" w14:textId="77777777" w:rsidTr="00424768">
        <w:trPr>
          <w:trHeight w:val="499"/>
        </w:trPr>
        <w:tc>
          <w:tcPr>
            <w:tcW w:w="689" w:type="dxa"/>
            <w:shd w:val="clear" w:color="auto" w:fill="auto"/>
            <w:vAlign w:val="center"/>
          </w:tcPr>
          <w:p w14:paraId="73D938E3" w14:textId="133CF63F" w:rsidR="00C37A6F" w:rsidRPr="00E07ECB" w:rsidRDefault="00C37A6F" w:rsidP="00C37A6F">
            <w:pPr>
              <w:jc w:val="center"/>
              <w:rPr>
                <w:bCs/>
                <w:szCs w:val="17"/>
              </w:rPr>
            </w:pPr>
            <w:r>
              <w:rPr>
                <w:bCs/>
                <w:szCs w:val="17"/>
              </w:rPr>
              <w:lastRenderedPageBreak/>
              <w:t>278</w:t>
            </w:r>
          </w:p>
        </w:tc>
        <w:tc>
          <w:tcPr>
            <w:tcW w:w="1909" w:type="dxa"/>
            <w:shd w:val="clear" w:color="auto" w:fill="auto"/>
            <w:vAlign w:val="center"/>
          </w:tcPr>
          <w:p w14:paraId="6F686522" w14:textId="24BF8E81" w:rsidR="00C37A6F" w:rsidRPr="00E07ECB" w:rsidRDefault="00C37A6F" w:rsidP="00C37A6F">
            <w:pPr>
              <w:jc w:val="center"/>
              <w:rPr>
                <w:bCs/>
                <w:szCs w:val="17"/>
              </w:rPr>
            </w:pPr>
            <w:r w:rsidRPr="000D6EF0">
              <w:rPr>
                <w:bCs/>
                <w:szCs w:val="17"/>
              </w:rPr>
              <w:t>Recital 5</w:t>
            </w:r>
            <w:r>
              <w:rPr>
                <w:bCs/>
                <w:szCs w:val="17"/>
              </w:rPr>
              <w:t>7</w:t>
            </w:r>
          </w:p>
        </w:tc>
        <w:tc>
          <w:tcPr>
            <w:tcW w:w="6116" w:type="dxa"/>
            <w:shd w:val="clear" w:color="auto" w:fill="auto"/>
          </w:tcPr>
          <w:p w14:paraId="12FCAF2F" w14:textId="280185B6" w:rsidR="00C37A6F" w:rsidRPr="00E07ECB" w:rsidRDefault="005A1784" w:rsidP="00C37A6F">
            <w:pPr>
              <w:jc w:val="left"/>
              <w:rPr>
                <w:bCs/>
                <w:szCs w:val="17"/>
              </w:rPr>
            </w:pPr>
            <w:r>
              <w:rPr>
                <w:bCs/>
                <w:szCs w:val="17"/>
              </w:rPr>
              <w:t>T</w:t>
            </w:r>
            <w:r w:rsidRPr="005A1784">
              <w:rPr>
                <w:bCs/>
                <w:szCs w:val="17"/>
              </w:rPr>
              <w:t xml:space="preserve">o improve the functioning of </w:t>
            </w:r>
            <w:r>
              <w:rPr>
                <w:bCs/>
                <w:szCs w:val="17"/>
              </w:rPr>
              <w:t>collaboration</w:t>
            </w:r>
            <w:r w:rsidRPr="005A1784">
              <w:rPr>
                <w:bCs/>
                <w:szCs w:val="17"/>
              </w:rPr>
              <w:t xml:space="preserve"> platforms and the effective and efficient exchange of information, technology-based and digital solutions should be used</w:t>
            </w:r>
            <w:r w:rsidR="00771C95">
              <w:rPr>
                <w:bCs/>
                <w:szCs w:val="17"/>
              </w:rPr>
              <w:t>, facilitated by EIOPA</w:t>
            </w:r>
            <w:r w:rsidRPr="005A1784">
              <w:rPr>
                <w:bCs/>
                <w:szCs w:val="17"/>
              </w:rPr>
              <w:t>.</w:t>
            </w:r>
          </w:p>
        </w:tc>
        <w:tc>
          <w:tcPr>
            <w:tcW w:w="1909" w:type="dxa"/>
            <w:shd w:val="clear" w:color="auto" w:fill="auto"/>
            <w:vAlign w:val="center"/>
          </w:tcPr>
          <w:p w14:paraId="02D94BDC" w14:textId="7062932E" w:rsidR="00C37A6F" w:rsidRPr="00E07ECB" w:rsidRDefault="00C37A6F" w:rsidP="00C37A6F">
            <w:pPr>
              <w:jc w:val="center"/>
              <w:rPr>
                <w:bCs/>
                <w:szCs w:val="17"/>
              </w:rPr>
            </w:pPr>
            <w:r w:rsidRPr="00E76E73">
              <w:rPr>
                <w:szCs w:val="17"/>
              </w:rPr>
              <w:t>Fitzgerald</w:t>
            </w:r>
          </w:p>
        </w:tc>
        <w:tc>
          <w:tcPr>
            <w:tcW w:w="2543" w:type="dxa"/>
            <w:shd w:val="clear" w:color="auto" w:fill="auto"/>
            <w:vAlign w:val="center"/>
          </w:tcPr>
          <w:p w14:paraId="653FE9B9" w14:textId="6D286980" w:rsidR="00C37A6F" w:rsidRPr="00E07ECB" w:rsidRDefault="00C37A6F" w:rsidP="00C37A6F">
            <w:pPr>
              <w:jc w:val="center"/>
              <w:rPr>
                <w:bCs/>
                <w:szCs w:val="17"/>
              </w:rPr>
            </w:pPr>
            <w:r w:rsidRPr="006E047B">
              <w:rPr>
                <w:bCs/>
                <w:szCs w:val="17"/>
              </w:rPr>
              <w:t>Cross border</w:t>
            </w:r>
          </w:p>
        </w:tc>
        <w:tc>
          <w:tcPr>
            <w:tcW w:w="1293" w:type="dxa"/>
            <w:shd w:val="clear" w:color="auto" w:fill="auto"/>
            <w:vAlign w:val="center"/>
          </w:tcPr>
          <w:p w14:paraId="5FF63DE4" w14:textId="10B53045" w:rsidR="00C37A6F" w:rsidRPr="00E73407" w:rsidRDefault="00C37A6F" w:rsidP="00C37A6F">
            <w:pPr>
              <w:jc w:val="center"/>
              <w:rPr>
                <w:szCs w:val="17"/>
              </w:rPr>
            </w:pPr>
            <w:r w:rsidRPr="00E73407">
              <w:rPr>
                <w:b/>
                <w:color w:val="00B050"/>
                <w:szCs w:val="17"/>
              </w:rPr>
              <w:t>Positive</w:t>
            </w:r>
          </w:p>
        </w:tc>
      </w:tr>
      <w:tr w:rsidR="00C37A6F" w:rsidRPr="00D43554" w14:paraId="67748798" w14:textId="77777777" w:rsidTr="00424768">
        <w:trPr>
          <w:trHeight w:val="499"/>
        </w:trPr>
        <w:tc>
          <w:tcPr>
            <w:tcW w:w="689" w:type="dxa"/>
            <w:shd w:val="clear" w:color="auto" w:fill="auto"/>
            <w:vAlign w:val="center"/>
          </w:tcPr>
          <w:p w14:paraId="1F622611" w14:textId="1209718E" w:rsidR="00C37A6F" w:rsidRPr="00E07ECB" w:rsidRDefault="00C37A6F" w:rsidP="00C37A6F">
            <w:pPr>
              <w:jc w:val="center"/>
              <w:rPr>
                <w:bCs/>
                <w:szCs w:val="17"/>
              </w:rPr>
            </w:pPr>
            <w:r>
              <w:rPr>
                <w:bCs/>
                <w:szCs w:val="17"/>
              </w:rPr>
              <w:t>279</w:t>
            </w:r>
          </w:p>
        </w:tc>
        <w:tc>
          <w:tcPr>
            <w:tcW w:w="1909" w:type="dxa"/>
            <w:shd w:val="clear" w:color="auto" w:fill="auto"/>
            <w:vAlign w:val="center"/>
          </w:tcPr>
          <w:p w14:paraId="135B2016" w14:textId="0F5607B1" w:rsidR="00C37A6F" w:rsidRPr="00E07ECB" w:rsidRDefault="00C37A6F" w:rsidP="00C37A6F">
            <w:pPr>
              <w:jc w:val="center"/>
              <w:rPr>
                <w:bCs/>
                <w:szCs w:val="17"/>
              </w:rPr>
            </w:pPr>
            <w:r>
              <w:rPr>
                <w:bCs/>
                <w:szCs w:val="17"/>
              </w:rPr>
              <w:t>Recital 58</w:t>
            </w:r>
          </w:p>
        </w:tc>
        <w:tc>
          <w:tcPr>
            <w:tcW w:w="6116" w:type="dxa"/>
            <w:shd w:val="clear" w:color="auto" w:fill="auto"/>
          </w:tcPr>
          <w:p w14:paraId="193C3184" w14:textId="784AC831" w:rsidR="00D057B8" w:rsidRDefault="00C37A6F" w:rsidP="00C37A6F">
            <w:pPr>
              <w:jc w:val="left"/>
              <w:rPr>
                <w:bCs/>
                <w:szCs w:val="17"/>
              </w:rPr>
            </w:pPr>
            <w:r>
              <w:rPr>
                <w:bCs/>
                <w:szCs w:val="17"/>
              </w:rPr>
              <w:t xml:space="preserve">EIOPA </w:t>
            </w:r>
            <w:r w:rsidR="00F1522E">
              <w:rPr>
                <w:bCs/>
                <w:szCs w:val="17"/>
              </w:rPr>
              <w:t>should</w:t>
            </w:r>
            <w:r>
              <w:rPr>
                <w:bCs/>
                <w:szCs w:val="17"/>
              </w:rPr>
              <w:t xml:space="preserve"> identify information to be </w:t>
            </w:r>
            <w:r w:rsidR="00F1522E">
              <w:rPr>
                <w:bCs/>
                <w:szCs w:val="17"/>
              </w:rPr>
              <w:t xml:space="preserve">shared between NSAs via collaboration platforms. </w:t>
            </w:r>
            <w:r w:rsidR="00DC2135">
              <w:rPr>
                <w:bCs/>
                <w:szCs w:val="17"/>
              </w:rPr>
              <w:t xml:space="preserve">(Previously </w:t>
            </w:r>
            <w:r w:rsidR="00D506F5">
              <w:rPr>
                <w:bCs/>
                <w:szCs w:val="17"/>
              </w:rPr>
              <w:t>NSA had to request the home MS</w:t>
            </w:r>
            <w:r w:rsidR="00221B75">
              <w:rPr>
                <w:bCs/>
                <w:szCs w:val="17"/>
              </w:rPr>
              <w:t xml:space="preserve">, or </w:t>
            </w:r>
            <w:r w:rsidR="00C73F6A">
              <w:rPr>
                <w:bCs/>
                <w:szCs w:val="17"/>
              </w:rPr>
              <w:t>directly to the undertaking)</w:t>
            </w:r>
            <w:r w:rsidR="00D506F5">
              <w:rPr>
                <w:bCs/>
                <w:szCs w:val="17"/>
              </w:rPr>
              <w:t>)</w:t>
            </w:r>
          </w:p>
          <w:p w14:paraId="29EAB187" w14:textId="56FF96C3" w:rsidR="00C37A6F" w:rsidRPr="00E07ECB" w:rsidRDefault="00CF591D" w:rsidP="00C37A6F">
            <w:pPr>
              <w:jc w:val="left"/>
              <w:rPr>
                <w:bCs/>
                <w:szCs w:val="17"/>
              </w:rPr>
            </w:pPr>
            <w:r>
              <w:rPr>
                <w:bCs/>
                <w:szCs w:val="17"/>
              </w:rPr>
              <w:t>EIOPA should ensure that the regularly available data is shared</w:t>
            </w:r>
            <w:r w:rsidR="00D057B8">
              <w:rPr>
                <w:bCs/>
                <w:szCs w:val="17"/>
              </w:rPr>
              <w:t>.</w:t>
            </w:r>
          </w:p>
        </w:tc>
        <w:tc>
          <w:tcPr>
            <w:tcW w:w="1909" w:type="dxa"/>
            <w:shd w:val="clear" w:color="auto" w:fill="auto"/>
            <w:vAlign w:val="center"/>
          </w:tcPr>
          <w:p w14:paraId="2BA9511A" w14:textId="10E49FFC" w:rsidR="00C37A6F" w:rsidRPr="00E07ECB" w:rsidRDefault="00C37A6F" w:rsidP="00C37A6F">
            <w:pPr>
              <w:jc w:val="center"/>
              <w:rPr>
                <w:bCs/>
                <w:szCs w:val="17"/>
              </w:rPr>
            </w:pPr>
            <w:r w:rsidRPr="00E76E73">
              <w:rPr>
                <w:szCs w:val="17"/>
              </w:rPr>
              <w:t>Fitzgerald</w:t>
            </w:r>
          </w:p>
        </w:tc>
        <w:tc>
          <w:tcPr>
            <w:tcW w:w="2543" w:type="dxa"/>
            <w:shd w:val="clear" w:color="auto" w:fill="auto"/>
            <w:vAlign w:val="center"/>
          </w:tcPr>
          <w:p w14:paraId="199909BF" w14:textId="4E315595" w:rsidR="00C37A6F" w:rsidRPr="00E07ECB" w:rsidRDefault="00C73F6A" w:rsidP="00C37A6F">
            <w:pPr>
              <w:jc w:val="center"/>
              <w:rPr>
                <w:bCs/>
                <w:szCs w:val="17"/>
              </w:rPr>
            </w:pPr>
            <w:r>
              <w:rPr>
                <w:bCs/>
                <w:szCs w:val="17"/>
              </w:rPr>
              <w:t>Cross border/</w:t>
            </w:r>
            <w:r w:rsidR="00C37A6F" w:rsidRPr="006E047B">
              <w:rPr>
                <w:bCs/>
                <w:szCs w:val="17"/>
              </w:rPr>
              <w:t>EIOPA</w:t>
            </w:r>
          </w:p>
        </w:tc>
        <w:tc>
          <w:tcPr>
            <w:tcW w:w="1293" w:type="dxa"/>
            <w:shd w:val="clear" w:color="auto" w:fill="auto"/>
            <w:vAlign w:val="center"/>
          </w:tcPr>
          <w:p w14:paraId="1F1799D0" w14:textId="2DDA52E6" w:rsidR="00C37A6F" w:rsidRPr="00E73407" w:rsidRDefault="00C37A6F" w:rsidP="00C37A6F">
            <w:pPr>
              <w:jc w:val="center"/>
              <w:rPr>
                <w:szCs w:val="17"/>
              </w:rPr>
            </w:pPr>
            <w:r w:rsidRPr="00E73407">
              <w:rPr>
                <w:b/>
                <w:color w:val="00B050"/>
                <w:szCs w:val="17"/>
              </w:rPr>
              <w:t>Positive</w:t>
            </w:r>
          </w:p>
        </w:tc>
      </w:tr>
      <w:tr w:rsidR="00C37A6F" w:rsidRPr="00D43554" w14:paraId="7989C3E4" w14:textId="77777777" w:rsidTr="00424768">
        <w:trPr>
          <w:trHeight w:val="499"/>
        </w:trPr>
        <w:tc>
          <w:tcPr>
            <w:tcW w:w="689" w:type="dxa"/>
            <w:shd w:val="clear" w:color="auto" w:fill="auto"/>
            <w:vAlign w:val="center"/>
          </w:tcPr>
          <w:p w14:paraId="7C82B38C" w14:textId="2BAB1EEB" w:rsidR="00C37A6F" w:rsidRPr="00E07ECB" w:rsidRDefault="00C37A6F" w:rsidP="00C37A6F">
            <w:pPr>
              <w:jc w:val="center"/>
              <w:rPr>
                <w:bCs/>
                <w:szCs w:val="17"/>
              </w:rPr>
            </w:pPr>
            <w:r>
              <w:rPr>
                <w:bCs/>
                <w:szCs w:val="17"/>
              </w:rPr>
              <w:t>280</w:t>
            </w:r>
          </w:p>
        </w:tc>
        <w:tc>
          <w:tcPr>
            <w:tcW w:w="1909" w:type="dxa"/>
            <w:shd w:val="clear" w:color="auto" w:fill="auto"/>
            <w:vAlign w:val="center"/>
          </w:tcPr>
          <w:p w14:paraId="3D2F0030" w14:textId="5ECDDD49" w:rsidR="00C37A6F" w:rsidRPr="00E07ECB" w:rsidRDefault="00C37A6F" w:rsidP="00C37A6F">
            <w:pPr>
              <w:jc w:val="center"/>
              <w:rPr>
                <w:bCs/>
                <w:szCs w:val="17"/>
              </w:rPr>
            </w:pPr>
            <w:r w:rsidRPr="006809CC">
              <w:rPr>
                <w:bCs/>
                <w:szCs w:val="17"/>
              </w:rPr>
              <w:t>Recital 59</w:t>
            </w:r>
          </w:p>
        </w:tc>
        <w:tc>
          <w:tcPr>
            <w:tcW w:w="6116" w:type="dxa"/>
            <w:shd w:val="clear" w:color="auto" w:fill="auto"/>
          </w:tcPr>
          <w:p w14:paraId="3091D3E8" w14:textId="67B5DE3A" w:rsidR="00E96F93" w:rsidRDefault="00536975" w:rsidP="00C37A6F">
            <w:pPr>
              <w:jc w:val="left"/>
              <w:rPr>
                <w:bCs/>
                <w:szCs w:val="17"/>
              </w:rPr>
            </w:pPr>
            <w:r>
              <w:rPr>
                <w:bCs/>
                <w:szCs w:val="17"/>
              </w:rPr>
              <w:t xml:space="preserve">Any concerned NSA has power to request additional information </w:t>
            </w:r>
            <w:r w:rsidR="00E96F93">
              <w:rPr>
                <w:bCs/>
                <w:szCs w:val="17"/>
              </w:rPr>
              <w:t>not already shared via collaboration platform.</w:t>
            </w:r>
          </w:p>
          <w:p w14:paraId="7CF789C1" w14:textId="26479733" w:rsidR="00EF3BE8" w:rsidRDefault="00E96F93" w:rsidP="00C37A6F">
            <w:pPr>
              <w:jc w:val="left"/>
              <w:rPr>
                <w:bCs/>
                <w:szCs w:val="17"/>
              </w:rPr>
            </w:pPr>
            <w:r>
              <w:rPr>
                <w:bCs/>
                <w:szCs w:val="17"/>
              </w:rPr>
              <w:t xml:space="preserve">Any concerned NSA </w:t>
            </w:r>
            <w:r w:rsidR="00F125DE">
              <w:rPr>
                <w:bCs/>
                <w:szCs w:val="17"/>
              </w:rPr>
              <w:t xml:space="preserve">having concerns on solvency position has </w:t>
            </w:r>
            <w:r w:rsidR="00EF3BE8">
              <w:rPr>
                <w:bCs/>
                <w:szCs w:val="17"/>
              </w:rPr>
              <w:t xml:space="preserve">the power to request a </w:t>
            </w:r>
            <w:r w:rsidR="00C37A6F">
              <w:rPr>
                <w:bCs/>
                <w:szCs w:val="17"/>
              </w:rPr>
              <w:t>joint on-site inspection</w:t>
            </w:r>
            <w:r w:rsidR="00EF3BE8">
              <w:rPr>
                <w:bCs/>
                <w:szCs w:val="17"/>
              </w:rPr>
              <w:t>.</w:t>
            </w:r>
          </w:p>
          <w:p w14:paraId="2F48F730" w14:textId="7C01ABDA" w:rsidR="00474EDA" w:rsidRDefault="00EF3BE8" w:rsidP="00C37A6F">
            <w:pPr>
              <w:jc w:val="left"/>
              <w:rPr>
                <w:bCs/>
                <w:szCs w:val="17"/>
              </w:rPr>
            </w:pPr>
            <w:r>
              <w:rPr>
                <w:bCs/>
                <w:szCs w:val="17"/>
              </w:rPr>
              <w:t xml:space="preserve">In case of significant </w:t>
            </w:r>
            <w:r w:rsidR="00B72253">
              <w:rPr>
                <w:bCs/>
                <w:szCs w:val="17"/>
              </w:rPr>
              <w:t xml:space="preserve">non-compliance with SCR, the home NSA </w:t>
            </w:r>
            <w:r w:rsidR="00F27563">
              <w:rPr>
                <w:bCs/>
                <w:szCs w:val="17"/>
              </w:rPr>
              <w:t xml:space="preserve">should coordinate a joint on-site inspection </w:t>
            </w:r>
            <w:r w:rsidR="00474EDA">
              <w:rPr>
                <w:bCs/>
                <w:szCs w:val="17"/>
              </w:rPr>
              <w:t xml:space="preserve">inviting all concerned NSAs and EIOPA. </w:t>
            </w:r>
            <w:r w:rsidR="00C41AB6">
              <w:rPr>
                <w:bCs/>
                <w:szCs w:val="17"/>
              </w:rPr>
              <w:t xml:space="preserve">NSAs have to agree on the objectives of this inspection beforehand. </w:t>
            </w:r>
            <w:r w:rsidR="0032292E">
              <w:rPr>
                <w:bCs/>
                <w:szCs w:val="17"/>
              </w:rPr>
              <w:t>Home NSA should inform all NSAs concerned of the outcome of the inspection.</w:t>
            </w:r>
          </w:p>
          <w:p w14:paraId="4F2714DE" w14:textId="0B9597FB" w:rsidR="00C37A6F" w:rsidRPr="00E07ECB" w:rsidRDefault="00404A59" w:rsidP="00C15C37">
            <w:pPr>
              <w:jc w:val="left"/>
              <w:rPr>
                <w:bCs/>
                <w:szCs w:val="17"/>
              </w:rPr>
            </w:pPr>
            <w:r>
              <w:rPr>
                <w:bCs/>
                <w:szCs w:val="17"/>
              </w:rPr>
              <w:t xml:space="preserve">EIOPA has power in case of disagreement about </w:t>
            </w:r>
            <w:r w:rsidR="007F564C">
              <w:rPr>
                <w:bCs/>
                <w:szCs w:val="17"/>
              </w:rPr>
              <w:t xml:space="preserve">the decision for an </w:t>
            </w:r>
            <w:proofErr w:type="gramStart"/>
            <w:r w:rsidR="007F564C">
              <w:rPr>
                <w:bCs/>
                <w:szCs w:val="17"/>
              </w:rPr>
              <w:t>inspection/its objectives/findings</w:t>
            </w:r>
            <w:proofErr w:type="gramEnd"/>
            <w:r w:rsidR="007F564C">
              <w:rPr>
                <w:bCs/>
                <w:szCs w:val="17"/>
              </w:rPr>
              <w:t xml:space="preserve">. </w:t>
            </w:r>
          </w:p>
        </w:tc>
        <w:tc>
          <w:tcPr>
            <w:tcW w:w="1909" w:type="dxa"/>
            <w:shd w:val="clear" w:color="auto" w:fill="auto"/>
            <w:vAlign w:val="center"/>
          </w:tcPr>
          <w:p w14:paraId="295863EA" w14:textId="492D661A" w:rsidR="00C37A6F" w:rsidRPr="00E07ECB" w:rsidRDefault="00C37A6F" w:rsidP="00C37A6F">
            <w:pPr>
              <w:jc w:val="center"/>
              <w:rPr>
                <w:bCs/>
                <w:szCs w:val="17"/>
              </w:rPr>
            </w:pPr>
            <w:r w:rsidRPr="00E76E73">
              <w:rPr>
                <w:szCs w:val="17"/>
              </w:rPr>
              <w:t>Fitzgerald</w:t>
            </w:r>
          </w:p>
        </w:tc>
        <w:tc>
          <w:tcPr>
            <w:tcW w:w="2543" w:type="dxa"/>
            <w:shd w:val="clear" w:color="auto" w:fill="auto"/>
            <w:vAlign w:val="center"/>
          </w:tcPr>
          <w:p w14:paraId="3EFDC4A0" w14:textId="6416D314" w:rsidR="00C37A6F" w:rsidRPr="00E07ECB" w:rsidRDefault="00C37A6F" w:rsidP="00C37A6F">
            <w:pPr>
              <w:jc w:val="center"/>
              <w:rPr>
                <w:bCs/>
                <w:szCs w:val="17"/>
              </w:rPr>
            </w:pPr>
            <w:r w:rsidRPr="007D65CA">
              <w:rPr>
                <w:bCs/>
                <w:szCs w:val="17"/>
              </w:rPr>
              <w:t>Cross border</w:t>
            </w:r>
            <w:r w:rsidR="00784BF1">
              <w:rPr>
                <w:bCs/>
                <w:szCs w:val="17"/>
              </w:rPr>
              <w:t>/EIOPA powers</w:t>
            </w:r>
          </w:p>
        </w:tc>
        <w:tc>
          <w:tcPr>
            <w:tcW w:w="1293" w:type="dxa"/>
            <w:shd w:val="clear" w:color="auto" w:fill="auto"/>
            <w:vAlign w:val="center"/>
          </w:tcPr>
          <w:p w14:paraId="286D05F1" w14:textId="6DB2D97F" w:rsidR="00C37A6F" w:rsidRPr="00E07ECB" w:rsidRDefault="00C37A6F" w:rsidP="00C37A6F">
            <w:pPr>
              <w:jc w:val="center"/>
              <w:rPr>
                <w:bCs/>
                <w:szCs w:val="17"/>
              </w:rPr>
            </w:pPr>
            <w:r w:rsidRPr="008F72E3">
              <w:rPr>
                <w:b/>
                <w:color w:val="808080" w:themeColor="background1" w:themeShade="80"/>
                <w:szCs w:val="17"/>
              </w:rPr>
              <w:t>Neutral</w:t>
            </w:r>
          </w:p>
        </w:tc>
      </w:tr>
      <w:tr w:rsidR="00C37A6F" w:rsidRPr="00D43554" w14:paraId="747AE1EC" w14:textId="77777777" w:rsidTr="00424768">
        <w:trPr>
          <w:trHeight w:val="499"/>
        </w:trPr>
        <w:tc>
          <w:tcPr>
            <w:tcW w:w="689" w:type="dxa"/>
            <w:shd w:val="clear" w:color="auto" w:fill="auto"/>
            <w:vAlign w:val="center"/>
          </w:tcPr>
          <w:p w14:paraId="352CFDC3" w14:textId="014EC61E" w:rsidR="00C37A6F" w:rsidRPr="00E07ECB" w:rsidRDefault="00C37A6F" w:rsidP="00C37A6F">
            <w:pPr>
              <w:jc w:val="center"/>
              <w:rPr>
                <w:bCs/>
                <w:szCs w:val="17"/>
              </w:rPr>
            </w:pPr>
            <w:r>
              <w:rPr>
                <w:bCs/>
                <w:szCs w:val="17"/>
              </w:rPr>
              <w:t>281</w:t>
            </w:r>
          </w:p>
        </w:tc>
        <w:tc>
          <w:tcPr>
            <w:tcW w:w="1909" w:type="dxa"/>
            <w:shd w:val="clear" w:color="auto" w:fill="auto"/>
            <w:vAlign w:val="center"/>
          </w:tcPr>
          <w:p w14:paraId="1A0FE61A" w14:textId="46130C71" w:rsidR="00C37A6F" w:rsidRPr="00E07ECB" w:rsidRDefault="00C37A6F" w:rsidP="00C37A6F">
            <w:pPr>
              <w:jc w:val="center"/>
              <w:rPr>
                <w:bCs/>
                <w:szCs w:val="17"/>
              </w:rPr>
            </w:pPr>
            <w:r w:rsidRPr="006809CC">
              <w:rPr>
                <w:bCs/>
                <w:szCs w:val="17"/>
              </w:rPr>
              <w:t xml:space="preserve">Recital </w:t>
            </w:r>
            <w:r>
              <w:rPr>
                <w:bCs/>
                <w:szCs w:val="17"/>
              </w:rPr>
              <w:t>61</w:t>
            </w:r>
          </w:p>
        </w:tc>
        <w:tc>
          <w:tcPr>
            <w:tcW w:w="6116" w:type="dxa"/>
            <w:shd w:val="clear" w:color="auto" w:fill="auto"/>
          </w:tcPr>
          <w:p w14:paraId="6EFB3920" w14:textId="092FAA45" w:rsidR="00C37A6F" w:rsidRPr="00E07ECB" w:rsidRDefault="00C37A6F" w:rsidP="00C37A6F">
            <w:pPr>
              <w:jc w:val="left"/>
              <w:rPr>
                <w:bCs/>
                <w:szCs w:val="17"/>
              </w:rPr>
            </w:pPr>
            <w:r>
              <w:rPr>
                <w:bCs/>
                <w:szCs w:val="17"/>
              </w:rPr>
              <w:t>Removal of the whole recital (</w:t>
            </w:r>
            <w:r w:rsidR="00CE1A20">
              <w:rPr>
                <w:bCs/>
                <w:szCs w:val="17"/>
              </w:rPr>
              <w:t xml:space="preserve">Group </w:t>
            </w:r>
            <w:r w:rsidR="009F3638">
              <w:rPr>
                <w:bCs/>
                <w:szCs w:val="17"/>
              </w:rPr>
              <w:t xml:space="preserve">NSA has the </w:t>
            </w:r>
            <w:r w:rsidR="00CE1A20">
              <w:rPr>
                <w:bCs/>
                <w:szCs w:val="17"/>
              </w:rPr>
              <w:t>p</w:t>
            </w:r>
            <w:r>
              <w:rPr>
                <w:bCs/>
                <w:szCs w:val="17"/>
              </w:rPr>
              <w:t xml:space="preserve">ower to identify existence of groups when </w:t>
            </w:r>
            <w:r w:rsidR="00FD2C19">
              <w:rPr>
                <w:bCs/>
                <w:szCs w:val="17"/>
              </w:rPr>
              <w:t xml:space="preserve">they </w:t>
            </w:r>
            <w:r w:rsidR="0081790F">
              <w:rPr>
                <w:bCs/>
                <w:szCs w:val="17"/>
              </w:rPr>
              <w:t>form</w:t>
            </w:r>
            <w:r w:rsidR="00FD2C19">
              <w:rPr>
                <w:bCs/>
                <w:szCs w:val="17"/>
              </w:rPr>
              <w:t xml:space="preserve"> a de-facto group</w:t>
            </w:r>
            <w:r w:rsidR="0081790F">
              <w:rPr>
                <w:bCs/>
                <w:szCs w:val="17"/>
              </w:rPr>
              <w:t>, but do not meet the SII definition of a group</w:t>
            </w:r>
            <w:r>
              <w:rPr>
                <w:bCs/>
                <w:szCs w:val="17"/>
              </w:rPr>
              <w:t>)</w:t>
            </w:r>
            <w:r w:rsidR="00EA224D">
              <w:rPr>
                <w:bCs/>
                <w:szCs w:val="17"/>
              </w:rPr>
              <w:t>.</w:t>
            </w:r>
          </w:p>
        </w:tc>
        <w:tc>
          <w:tcPr>
            <w:tcW w:w="1909" w:type="dxa"/>
            <w:shd w:val="clear" w:color="auto" w:fill="auto"/>
            <w:vAlign w:val="center"/>
          </w:tcPr>
          <w:p w14:paraId="36CB7DFB" w14:textId="6C35DCCB" w:rsidR="00C37A6F" w:rsidRPr="00E07ECB" w:rsidRDefault="00C37A6F" w:rsidP="00C37A6F">
            <w:pPr>
              <w:jc w:val="center"/>
              <w:rPr>
                <w:bCs/>
                <w:szCs w:val="17"/>
              </w:rPr>
            </w:pPr>
            <w:r w:rsidRPr="00E76E73">
              <w:rPr>
                <w:szCs w:val="17"/>
              </w:rPr>
              <w:t>Ferber</w:t>
            </w:r>
          </w:p>
        </w:tc>
        <w:tc>
          <w:tcPr>
            <w:tcW w:w="2543" w:type="dxa"/>
            <w:shd w:val="clear" w:color="auto" w:fill="auto"/>
            <w:vAlign w:val="center"/>
          </w:tcPr>
          <w:p w14:paraId="37ACDBAD" w14:textId="2998EE20" w:rsidR="00C37A6F" w:rsidRPr="00E07ECB" w:rsidRDefault="00C37A6F" w:rsidP="00C37A6F">
            <w:pPr>
              <w:jc w:val="center"/>
              <w:rPr>
                <w:bCs/>
                <w:szCs w:val="17"/>
              </w:rPr>
            </w:pPr>
            <w:r w:rsidRPr="000C3FB4">
              <w:rPr>
                <w:bCs/>
                <w:szCs w:val="17"/>
              </w:rPr>
              <w:t>Group Supervision</w:t>
            </w:r>
          </w:p>
        </w:tc>
        <w:tc>
          <w:tcPr>
            <w:tcW w:w="1293" w:type="dxa"/>
            <w:shd w:val="clear" w:color="auto" w:fill="auto"/>
            <w:vAlign w:val="center"/>
          </w:tcPr>
          <w:p w14:paraId="7D745F59" w14:textId="696453C0" w:rsidR="00C37A6F" w:rsidRPr="00E07ECB" w:rsidRDefault="00C37A6F" w:rsidP="00C37A6F">
            <w:pPr>
              <w:jc w:val="center"/>
              <w:rPr>
                <w:bCs/>
                <w:szCs w:val="17"/>
              </w:rPr>
            </w:pPr>
            <w:r w:rsidRPr="00F63B3C">
              <w:rPr>
                <w:b/>
                <w:color w:val="00B050"/>
                <w:szCs w:val="17"/>
              </w:rPr>
              <w:t>Positive</w:t>
            </w:r>
          </w:p>
        </w:tc>
      </w:tr>
      <w:tr w:rsidR="00C37A6F" w:rsidRPr="00D43554" w14:paraId="20FBF718" w14:textId="77777777" w:rsidTr="00424768">
        <w:trPr>
          <w:trHeight w:val="499"/>
        </w:trPr>
        <w:tc>
          <w:tcPr>
            <w:tcW w:w="689" w:type="dxa"/>
            <w:shd w:val="clear" w:color="auto" w:fill="auto"/>
            <w:vAlign w:val="center"/>
          </w:tcPr>
          <w:p w14:paraId="293A2009" w14:textId="48EDDE44" w:rsidR="00C37A6F" w:rsidRPr="00E07ECB" w:rsidRDefault="00C37A6F" w:rsidP="00C37A6F">
            <w:pPr>
              <w:jc w:val="center"/>
              <w:rPr>
                <w:bCs/>
                <w:szCs w:val="17"/>
              </w:rPr>
            </w:pPr>
            <w:r>
              <w:rPr>
                <w:bCs/>
                <w:szCs w:val="17"/>
              </w:rPr>
              <w:t>282</w:t>
            </w:r>
          </w:p>
        </w:tc>
        <w:tc>
          <w:tcPr>
            <w:tcW w:w="1909" w:type="dxa"/>
            <w:shd w:val="clear" w:color="auto" w:fill="auto"/>
            <w:vAlign w:val="center"/>
          </w:tcPr>
          <w:p w14:paraId="35EBB224" w14:textId="6874B7A8" w:rsidR="00C37A6F" w:rsidRPr="00E07ECB" w:rsidRDefault="00C37A6F" w:rsidP="00C37A6F">
            <w:pPr>
              <w:jc w:val="center"/>
              <w:rPr>
                <w:bCs/>
                <w:szCs w:val="17"/>
              </w:rPr>
            </w:pPr>
            <w:r w:rsidRPr="006809CC">
              <w:rPr>
                <w:bCs/>
                <w:szCs w:val="17"/>
              </w:rPr>
              <w:t xml:space="preserve">Recital </w:t>
            </w:r>
            <w:r>
              <w:rPr>
                <w:bCs/>
                <w:szCs w:val="17"/>
              </w:rPr>
              <w:t>63</w:t>
            </w:r>
          </w:p>
        </w:tc>
        <w:tc>
          <w:tcPr>
            <w:tcW w:w="6116" w:type="dxa"/>
            <w:shd w:val="clear" w:color="auto" w:fill="auto"/>
          </w:tcPr>
          <w:p w14:paraId="7E0AAEF7" w14:textId="0BAEA350" w:rsidR="00C37A6F" w:rsidRDefault="00C37A6F" w:rsidP="00C37A6F">
            <w:pPr>
              <w:jc w:val="left"/>
              <w:rPr>
                <w:bCs/>
                <w:szCs w:val="17"/>
              </w:rPr>
            </w:pPr>
            <w:r>
              <w:rPr>
                <w:bCs/>
                <w:szCs w:val="17"/>
              </w:rPr>
              <w:t>E</w:t>
            </w:r>
            <w:r w:rsidR="00014725">
              <w:rPr>
                <w:bCs/>
                <w:szCs w:val="17"/>
              </w:rPr>
              <w:t>IOPA</w:t>
            </w:r>
            <w:r>
              <w:rPr>
                <w:bCs/>
                <w:szCs w:val="17"/>
              </w:rPr>
              <w:t xml:space="preserve"> to issue guidelines </w:t>
            </w:r>
            <w:r w:rsidR="005B3CC8" w:rsidRPr="005B3CC8">
              <w:rPr>
                <w:bCs/>
                <w:szCs w:val="17"/>
              </w:rPr>
              <w:t xml:space="preserve">to further specify such exceptional circumstances </w:t>
            </w:r>
            <w:r w:rsidR="005B3CC8">
              <w:rPr>
                <w:bCs/>
                <w:szCs w:val="17"/>
              </w:rPr>
              <w:t>for excluding a</w:t>
            </w:r>
            <w:r w:rsidR="00A73437">
              <w:rPr>
                <w:bCs/>
                <w:szCs w:val="17"/>
              </w:rPr>
              <w:t xml:space="preserve">n undertaking from group supervision </w:t>
            </w:r>
            <w:r w:rsidR="005B3CC8" w:rsidRPr="005B3CC8">
              <w:rPr>
                <w:bCs/>
                <w:szCs w:val="17"/>
              </w:rPr>
              <w:t>and the cases where an exclusion may be justified.</w:t>
            </w:r>
          </w:p>
          <w:p w14:paraId="2E1DE3C0" w14:textId="1D88A29E" w:rsidR="00C37A6F" w:rsidRPr="00E07ECB" w:rsidRDefault="007764C8" w:rsidP="00C37A6F">
            <w:pPr>
              <w:jc w:val="left"/>
              <w:rPr>
                <w:bCs/>
                <w:szCs w:val="17"/>
              </w:rPr>
            </w:pPr>
            <w:r>
              <w:rPr>
                <w:bCs/>
                <w:szCs w:val="17"/>
              </w:rPr>
              <w:t xml:space="preserve">Group NSA to </w:t>
            </w:r>
            <w:r w:rsidR="002B718D">
              <w:rPr>
                <w:bCs/>
                <w:szCs w:val="17"/>
              </w:rPr>
              <w:t>annually</w:t>
            </w:r>
            <w:r>
              <w:rPr>
                <w:bCs/>
                <w:szCs w:val="17"/>
              </w:rPr>
              <w:t xml:space="preserve"> </w:t>
            </w:r>
            <w:r w:rsidR="002B718D">
              <w:rPr>
                <w:bCs/>
                <w:szCs w:val="17"/>
              </w:rPr>
              <w:t>reassess its decision for excluding the undertaking from grou</w:t>
            </w:r>
            <w:r w:rsidR="00E57495">
              <w:rPr>
                <w:bCs/>
                <w:szCs w:val="17"/>
              </w:rPr>
              <w:t>p supervision.</w:t>
            </w:r>
          </w:p>
        </w:tc>
        <w:tc>
          <w:tcPr>
            <w:tcW w:w="1909" w:type="dxa"/>
            <w:shd w:val="clear" w:color="auto" w:fill="auto"/>
            <w:vAlign w:val="center"/>
          </w:tcPr>
          <w:p w14:paraId="4BB6F9F7" w14:textId="5AA0149F" w:rsidR="00C37A6F" w:rsidRPr="00E07ECB" w:rsidRDefault="00C37A6F" w:rsidP="00C37A6F">
            <w:pPr>
              <w:jc w:val="center"/>
              <w:rPr>
                <w:bCs/>
                <w:szCs w:val="17"/>
              </w:rPr>
            </w:pPr>
            <w:r w:rsidRPr="00E76E73">
              <w:rPr>
                <w:szCs w:val="17"/>
              </w:rPr>
              <w:t>Hahn</w:t>
            </w:r>
          </w:p>
        </w:tc>
        <w:tc>
          <w:tcPr>
            <w:tcW w:w="2543" w:type="dxa"/>
            <w:shd w:val="clear" w:color="auto" w:fill="auto"/>
            <w:vAlign w:val="center"/>
          </w:tcPr>
          <w:p w14:paraId="45A061EE" w14:textId="672ACB5F" w:rsidR="00C37A6F" w:rsidRPr="00E07ECB" w:rsidRDefault="00C37A6F" w:rsidP="00C37A6F">
            <w:pPr>
              <w:jc w:val="center"/>
              <w:rPr>
                <w:bCs/>
                <w:szCs w:val="17"/>
              </w:rPr>
            </w:pPr>
            <w:r w:rsidRPr="000C3FB4">
              <w:rPr>
                <w:bCs/>
                <w:szCs w:val="17"/>
              </w:rPr>
              <w:t>Group Supervision</w:t>
            </w:r>
            <w:r w:rsidR="00E57495">
              <w:rPr>
                <w:bCs/>
                <w:szCs w:val="17"/>
              </w:rPr>
              <w:t>/EIOPA</w:t>
            </w:r>
          </w:p>
        </w:tc>
        <w:tc>
          <w:tcPr>
            <w:tcW w:w="1293" w:type="dxa"/>
            <w:shd w:val="clear" w:color="auto" w:fill="auto"/>
            <w:vAlign w:val="center"/>
          </w:tcPr>
          <w:p w14:paraId="34D9C233" w14:textId="4A440994" w:rsidR="00C37A6F" w:rsidRPr="00E07ECB" w:rsidRDefault="00C37A6F" w:rsidP="00C37A6F">
            <w:pPr>
              <w:jc w:val="center"/>
              <w:rPr>
                <w:bCs/>
                <w:szCs w:val="17"/>
              </w:rPr>
            </w:pPr>
            <w:r w:rsidRPr="00DC4CB9">
              <w:rPr>
                <w:b/>
                <w:color w:val="FF0000"/>
                <w:szCs w:val="17"/>
              </w:rPr>
              <w:t>Negative</w:t>
            </w:r>
          </w:p>
        </w:tc>
      </w:tr>
      <w:tr w:rsidR="00C37A6F" w:rsidRPr="00D43554" w14:paraId="7DF5EBB5" w14:textId="77777777" w:rsidTr="00424768">
        <w:trPr>
          <w:trHeight w:val="499"/>
        </w:trPr>
        <w:tc>
          <w:tcPr>
            <w:tcW w:w="689" w:type="dxa"/>
            <w:shd w:val="clear" w:color="auto" w:fill="auto"/>
            <w:vAlign w:val="center"/>
          </w:tcPr>
          <w:p w14:paraId="438AF08A" w14:textId="6FC8DB0B" w:rsidR="00C37A6F" w:rsidRPr="00E07ECB" w:rsidRDefault="00C37A6F" w:rsidP="00C37A6F">
            <w:pPr>
              <w:jc w:val="center"/>
              <w:rPr>
                <w:bCs/>
                <w:szCs w:val="17"/>
              </w:rPr>
            </w:pPr>
            <w:r>
              <w:rPr>
                <w:bCs/>
                <w:szCs w:val="17"/>
              </w:rPr>
              <w:t>283</w:t>
            </w:r>
          </w:p>
        </w:tc>
        <w:tc>
          <w:tcPr>
            <w:tcW w:w="1909" w:type="dxa"/>
            <w:shd w:val="clear" w:color="auto" w:fill="auto"/>
            <w:vAlign w:val="center"/>
          </w:tcPr>
          <w:p w14:paraId="443AAB02" w14:textId="6A764DCC" w:rsidR="00C37A6F" w:rsidRPr="00E07ECB" w:rsidRDefault="00C37A6F" w:rsidP="00C37A6F">
            <w:pPr>
              <w:jc w:val="center"/>
              <w:rPr>
                <w:bCs/>
                <w:szCs w:val="17"/>
              </w:rPr>
            </w:pPr>
            <w:r w:rsidRPr="00D37BE4">
              <w:rPr>
                <w:bCs/>
                <w:szCs w:val="17"/>
              </w:rPr>
              <w:t>Recital 63 a (new)</w:t>
            </w:r>
          </w:p>
        </w:tc>
        <w:tc>
          <w:tcPr>
            <w:tcW w:w="6116" w:type="dxa"/>
            <w:shd w:val="clear" w:color="auto" w:fill="auto"/>
          </w:tcPr>
          <w:p w14:paraId="19BF5381" w14:textId="45BBF7DF" w:rsidR="00C37A6F" w:rsidRPr="00E07ECB" w:rsidRDefault="00C37A6F" w:rsidP="00C37A6F">
            <w:pPr>
              <w:jc w:val="left"/>
              <w:rPr>
                <w:bCs/>
                <w:szCs w:val="17"/>
              </w:rPr>
            </w:pPr>
            <w:r w:rsidRPr="003E1BC2">
              <w:rPr>
                <w:bCs/>
                <w:szCs w:val="17"/>
              </w:rPr>
              <w:t xml:space="preserve">Before excluding </w:t>
            </w:r>
            <w:r w:rsidR="004B1859">
              <w:rPr>
                <w:bCs/>
                <w:szCs w:val="17"/>
              </w:rPr>
              <w:t>the ultimate parent undertaking</w:t>
            </w:r>
            <w:r>
              <w:rPr>
                <w:bCs/>
                <w:szCs w:val="17"/>
              </w:rPr>
              <w:t xml:space="preserve"> from </w:t>
            </w:r>
            <w:r w:rsidR="004B1859">
              <w:rPr>
                <w:bCs/>
                <w:szCs w:val="17"/>
              </w:rPr>
              <w:t>group</w:t>
            </w:r>
            <w:r>
              <w:rPr>
                <w:bCs/>
                <w:szCs w:val="17"/>
              </w:rPr>
              <w:t xml:space="preserve"> supervision</w:t>
            </w:r>
            <w:r w:rsidRPr="003E1BC2">
              <w:rPr>
                <w:bCs/>
                <w:szCs w:val="17"/>
              </w:rPr>
              <w:t xml:space="preserve">, </w:t>
            </w:r>
            <w:r>
              <w:rPr>
                <w:bCs/>
                <w:szCs w:val="17"/>
              </w:rPr>
              <w:t xml:space="preserve">EIOPA and other NSA concerned should be consulted. </w:t>
            </w:r>
            <w:r w:rsidR="002E26F7">
              <w:rPr>
                <w:bCs/>
                <w:szCs w:val="17"/>
              </w:rPr>
              <w:t xml:space="preserve">The impact of exercising group supervision at </w:t>
            </w:r>
            <w:r w:rsidR="00034C44">
              <w:rPr>
                <w:bCs/>
                <w:szCs w:val="17"/>
              </w:rPr>
              <w:t>intermediate participating undertaking level</w:t>
            </w:r>
            <w:r w:rsidR="001C18AA">
              <w:rPr>
                <w:bCs/>
                <w:szCs w:val="17"/>
              </w:rPr>
              <w:t xml:space="preserve"> on the SCR should be assessed</w:t>
            </w:r>
            <w:r w:rsidR="000122BC">
              <w:rPr>
                <w:bCs/>
                <w:szCs w:val="17"/>
              </w:rPr>
              <w:t>.</w:t>
            </w:r>
          </w:p>
        </w:tc>
        <w:tc>
          <w:tcPr>
            <w:tcW w:w="1909" w:type="dxa"/>
            <w:shd w:val="clear" w:color="auto" w:fill="auto"/>
            <w:vAlign w:val="center"/>
          </w:tcPr>
          <w:p w14:paraId="5BF3454B" w14:textId="514EB981" w:rsidR="00C37A6F" w:rsidRPr="00E07ECB" w:rsidRDefault="00C37A6F" w:rsidP="00C37A6F">
            <w:pPr>
              <w:jc w:val="center"/>
              <w:rPr>
                <w:bCs/>
                <w:szCs w:val="17"/>
              </w:rPr>
            </w:pPr>
            <w:proofErr w:type="spellStart"/>
            <w:r w:rsidRPr="00E76E73">
              <w:rPr>
                <w:szCs w:val="17"/>
              </w:rPr>
              <w:t>Gualmini</w:t>
            </w:r>
            <w:proofErr w:type="spellEnd"/>
          </w:p>
        </w:tc>
        <w:tc>
          <w:tcPr>
            <w:tcW w:w="2543" w:type="dxa"/>
            <w:shd w:val="clear" w:color="auto" w:fill="auto"/>
            <w:vAlign w:val="center"/>
          </w:tcPr>
          <w:p w14:paraId="1EB62863" w14:textId="23B53758" w:rsidR="00C37A6F" w:rsidRPr="00E07ECB" w:rsidRDefault="00C37A6F" w:rsidP="00C37A6F">
            <w:pPr>
              <w:jc w:val="center"/>
              <w:rPr>
                <w:bCs/>
                <w:szCs w:val="17"/>
              </w:rPr>
            </w:pPr>
            <w:r w:rsidRPr="000C3FB4">
              <w:rPr>
                <w:bCs/>
                <w:szCs w:val="17"/>
              </w:rPr>
              <w:t>Group Supervision</w:t>
            </w:r>
          </w:p>
        </w:tc>
        <w:tc>
          <w:tcPr>
            <w:tcW w:w="1293" w:type="dxa"/>
            <w:shd w:val="clear" w:color="auto" w:fill="auto"/>
            <w:vAlign w:val="center"/>
          </w:tcPr>
          <w:p w14:paraId="4D382525" w14:textId="1D72DBDC" w:rsidR="00C37A6F" w:rsidRPr="00E07ECB" w:rsidRDefault="00877F35" w:rsidP="00A20674">
            <w:pPr>
              <w:rPr>
                <w:bCs/>
                <w:szCs w:val="17"/>
              </w:rPr>
            </w:pPr>
            <w:r w:rsidRPr="00DC4CB9">
              <w:rPr>
                <w:b/>
                <w:color w:val="FF0000"/>
                <w:szCs w:val="17"/>
              </w:rPr>
              <w:t>Negative</w:t>
            </w:r>
            <w:r w:rsidRPr="00E07ECB">
              <w:rPr>
                <w:bCs/>
                <w:szCs w:val="17"/>
              </w:rPr>
              <w:t xml:space="preserve"> </w:t>
            </w:r>
          </w:p>
        </w:tc>
      </w:tr>
      <w:tr w:rsidR="00C37A6F" w:rsidRPr="00D43554" w14:paraId="2BFC157E" w14:textId="77777777" w:rsidTr="00424768">
        <w:trPr>
          <w:trHeight w:val="499"/>
        </w:trPr>
        <w:tc>
          <w:tcPr>
            <w:tcW w:w="689" w:type="dxa"/>
            <w:shd w:val="clear" w:color="auto" w:fill="auto"/>
            <w:vAlign w:val="center"/>
          </w:tcPr>
          <w:p w14:paraId="1136136D" w14:textId="37B4F1B6" w:rsidR="00C37A6F" w:rsidRPr="00E07ECB" w:rsidRDefault="00C37A6F" w:rsidP="00C37A6F">
            <w:pPr>
              <w:jc w:val="center"/>
              <w:rPr>
                <w:bCs/>
                <w:szCs w:val="17"/>
              </w:rPr>
            </w:pPr>
            <w:r>
              <w:rPr>
                <w:bCs/>
                <w:szCs w:val="17"/>
              </w:rPr>
              <w:t>284</w:t>
            </w:r>
          </w:p>
        </w:tc>
        <w:tc>
          <w:tcPr>
            <w:tcW w:w="1909" w:type="dxa"/>
            <w:shd w:val="clear" w:color="auto" w:fill="auto"/>
            <w:vAlign w:val="center"/>
          </w:tcPr>
          <w:p w14:paraId="629404FA" w14:textId="33A9AC6F" w:rsidR="00C37A6F" w:rsidRPr="00E07ECB" w:rsidRDefault="00C37A6F" w:rsidP="00C37A6F">
            <w:pPr>
              <w:jc w:val="center"/>
              <w:rPr>
                <w:bCs/>
                <w:szCs w:val="17"/>
              </w:rPr>
            </w:pPr>
            <w:r w:rsidRPr="009D502B">
              <w:rPr>
                <w:bCs/>
                <w:szCs w:val="17"/>
              </w:rPr>
              <w:t>Recital 64</w:t>
            </w:r>
          </w:p>
        </w:tc>
        <w:tc>
          <w:tcPr>
            <w:tcW w:w="6116" w:type="dxa"/>
            <w:shd w:val="clear" w:color="auto" w:fill="auto"/>
          </w:tcPr>
          <w:p w14:paraId="45AF7990" w14:textId="77777777" w:rsidR="00B6715A" w:rsidRDefault="00B6715A" w:rsidP="00C37A6F">
            <w:pPr>
              <w:jc w:val="left"/>
              <w:rPr>
                <w:bCs/>
                <w:szCs w:val="17"/>
              </w:rPr>
            </w:pPr>
            <w:r w:rsidRPr="00B6715A">
              <w:rPr>
                <w:bCs/>
                <w:szCs w:val="17"/>
              </w:rPr>
              <w:t>It is important to ensure that prudential rules warrant a level-playing field at global level for all insurance groups</w:t>
            </w:r>
            <w:r>
              <w:rPr>
                <w:bCs/>
                <w:szCs w:val="17"/>
              </w:rPr>
              <w:t xml:space="preserve">, operating in third countries and </w:t>
            </w:r>
            <w:r w:rsidRPr="00B6715A">
              <w:rPr>
                <w:bCs/>
                <w:szCs w:val="17"/>
              </w:rPr>
              <w:t xml:space="preserve">which are subject to Title III of </w:t>
            </w:r>
            <w:r>
              <w:rPr>
                <w:bCs/>
                <w:szCs w:val="17"/>
              </w:rPr>
              <w:t>SII.</w:t>
            </w:r>
          </w:p>
          <w:p w14:paraId="6FDB18C5" w14:textId="2A3A6664" w:rsidR="00C37A6F" w:rsidRDefault="0075409E" w:rsidP="00C37A6F">
            <w:pPr>
              <w:jc w:val="left"/>
              <w:rPr>
                <w:bCs/>
                <w:szCs w:val="17"/>
              </w:rPr>
            </w:pPr>
            <w:r>
              <w:rPr>
                <w:bCs/>
                <w:szCs w:val="17"/>
              </w:rPr>
              <w:t xml:space="preserve">A group </w:t>
            </w:r>
            <w:r w:rsidR="00DC1756">
              <w:rPr>
                <w:bCs/>
                <w:szCs w:val="17"/>
              </w:rPr>
              <w:t>which includes</w:t>
            </w:r>
            <w:r>
              <w:rPr>
                <w:bCs/>
                <w:szCs w:val="17"/>
              </w:rPr>
              <w:t xml:space="preserve"> </w:t>
            </w:r>
            <w:r w:rsidR="00B905FA">
              <w:rPr>
                <w:bCs/>
                <w:szCs w:val="17"/>
              </w:rPr>
              <w:t xml:space="preserve">insurers </w:t>
            </w:r>
            <w:r w:rsidR="00EE0488">
              <w:rPr>
                <w:bCs/>
                <w:szCs w:val="17"/>
              </w:rPr>
              <w:t xml:space="preserve">with head offices </w:t>
            </w:r>
            <w:r w:rsidR="00FB09BB">
              <w:rPr>
                <w:bCs/>
                <w:szCs w:val="17"/>
              </w:rPr>
              <w:t xml:space="preserve">third countries </w:t>
            </w:r>
            <w:r w:rsidR="00FB09BB">
              <w:rPr>
                <w:bCs/>
                <w:szCs w:val="17"/>
              </w:rPr>
              <w:lastRenderedPageBreak/>
              <w:t xml:space="preserve">with </w:t>
            </w:r>
            <w:r w:rsidR="00C42B91">
              <w:rPr>
                <w:bCs/>
                <w:szCs w:val="17"/>
              </w:rPr>
              <w:t xml:space="preserve">equivalent </w:t>
            </w:r>
            <w:r w:rsidR="0016032E">
              <w:rPr>
                <w:bCs/>
                <w:szCs w:val="17"/>
              </w:rPr>
              <w:t>s</w:t>
            </w:r>
            <w:r w:rsidR="00FB09BB">
              <w:rPr>
                <w:bCs/>
                <w:szCs w:val="17"/>
              </w:rPr>
              <w:t>olvency regimes</w:t>
            </w:r>
            <w:r w:rsidR="00DC1756">
              <w:rPr>
                <w:bCs/>
                <w:szCs w:val="17"/>
              </w:rPr>
              <w:t xml:space="preserve">, </w:t>
            </w:r>
            <w:r w:rsidR="00D46288">
              <w:rPr>
                <w:bCs/>
                <w:szCs w:val="17"/>
              </w:rPr>
              <w:t xml:space="preserve">a group NSA should give priority </w:t>
            </w:r>
            <w:r w:rsidR="005436E0">
              <w:rPr>
                <w:bCs/>
                <w:szCs w:val="17"/>
              </w:rPr>
              <w:t xml:space="preserve">to these considerations </w:t>
            </w:r>
            <w:r w:rsidR="00B57365">
              <w:rPr>
                <w:bCs/>
                <w:szCs w:val="17"/>
              </w:rPr>
              <w:t>when deciding m</w:t>
            </w:r>
            <w:r w:rsidR="00C37A6F">
              <w:rPr>
                <w:bCs/>
                <w:szCs w:val="17"/>
              </w:rPr>
              <w:t xml:space="preserve">ethod 2 should </w:t>
            </w:r>
            <w:r w:rsidR="00222E01">
              <w:rPr>
                <w:bCs/>
                <w:szCs w:val="17"/>
              </w:rPr>
              <w:t>be used instead of – or in combination with – method 1</w:t>
            </w:r>
          </w:p>
          <w:p w14:paraId="053E9975" w14:textId="77777777" w:rsidR="00406D0B" w:rsidRDefault="00406D0B" w:rsidP="00C37A6F">
            <w:pPr>
              <w:jc w:val="left"/>
              <w:rPr>
                <w:bCs/>
                <w:szCs w:val="17"/>
              </w:rPr>
            </w:pPr>
          </w:p>
          <w:p w14:paraId="638FD67E" w14:textId="70C38260" w:rsidR="00C37A6F" w:rsidRPr="00E07ECB" w:rsidRDefault="00406D0B" w:rsidP="00C37A6F">
            <w:pPr>
              <w:jc w:val="left"/>
              <w:rPr>
                <w:bCs/>
                <w:szCs w:val="17"/>
              </w:rPr>
            </w:pPr>
            <w:r>
              <w:rPr>
                <w:bCs/>
                <w:szCs w:val="17"/>
              </w:rPr>
              <w:t>Justification:</w:t>
            </w:r>
            <w:r w:rsidRPr="00E76E73">
              <w:rPr>
                <w:szCs w:val="17"/>
              </w:rPr>
              <w:t xml:space="preserve"> </w:t>
            </w:r>
            <w:r w:rsidRPr="000D4029">
              <w:rPr>
                <w:bCs/>
                <w:i/>
                <w:iCs/>
                <w:szCs w:val="17"/>
              </w:rPr>
              <w:t>This amendment aims at ensuring a level playing field between international insurance companies with ultimate parent companies within and outside the EEA. It is also part of the Council's General Approach.</w:t>
            </w:r>
          </w:p>
        </w:tc>
        <w:tc>
          <w:tcPr>
            <w:tcW w:w="1909" w:type="dxa"/>
            <w:shd w:val="clear" w:color="auto" w:fill="auto"/>
            <w:vAlign w:val="center"/>
          </w:tcPr>
          <w:p w14:paraId="20247A4A" w14:textId="7A9C5500" w:rsidR="00C37A6F" w:rsidRPr="00E07ECB" w:rsidRDefault="00C37A6F" w:rsidP="00C37A6F">
            <w:pPr>
              <w:jc w:val="center"/>
              <w:rPr>
                <w:bCs/>
                <w:szCs w:val="17"/>
              </w:rPr>
            </w:pPr>
            <w:proofErr w:type="spellStart"/>
            <w:r w:rsidRPr="00E76E73">
              <w:rPr>
                <w:szCs w:val="17"/>
              </w:rPr>
              <w:lastRenderedPageBreak/>
              <w:t>Overtveldt</w:t>
            </w:r>
            <w:proofErr w:type="spellEnd"/>
          </w:p>
        </w:tc>
        <w:tc>
          <w:tcPr>
            <w:tcW w:w="2543" w:type="dxa"/>
            <w:shd w:val="clear" w:color="auto" w:fill="auto"/>
            <w:vAlign w:val="center"/>
          </w:tcPr>
          <w:p w14:paraId="32742C8B" w14:textId="1D76DD80" w:rsidR="00C37A6F" w:rsidRPr="002146FE" w:rsidRDefault="00222E01" w:rsidP="00C37A6F">
            <w:pPr>
              <w:spacing w:line="240" w:lineRule="auto"/>
              <w:jc w:val="center"/>
              <w:rPr>
                <w:rFonts w:cs="Calibri"/>
                <w:color w:val="000000"/>
                <w:szCs w:val="17"/>
              </w:rPr>
            </w:pPr>
            <w:r w:rsidRPr="000C3FB4">
              <w:rPr>
                <w:bCs/>
                <w:szCs w:val="17"/>
              </w:rPr>
              <w:t>Group Supervision</w:t>
            </w:r>
          </w:p>
        </w:tc>
        <w:tc>
          <w:tcPr>
            <w:tcW w:w="1293" w:type="dxa"/>
            <w:shd w:val="clear" w:color="auto" w:fill="auto"/>
            <w:vAlign w:val="center"/>
          </w:tcPr>
          <w:p w14:paraId="2DDDAB29" w14:textId="5A75D2F7" w:rsidR="00C37A6F" w:rsidRPr="00E07ECB" w:rsidRDefault="00C37A6F" w:rsidP="00C37A6F">
            <w:pPr>
              <w:jc w:val="center"/>
              <w:rPr>
                <w:bCs/>
                <w:szCs w:val="17"/>
              </w:rPr>
            </w:pPr>
            <w:r w:rsidRPr="00F63B3C">
              <w:rPr>
                <w:b/>
                <w:color w:val="00B050"/>
                <w:szCs w:val="17"/>
              </w:rPr>
              <w:t>Positive</w:t>
            </w:r>
          </w:p>
        </w:tc>
      </w:tr>
      <w:tr w:rsidR="00C37A6F" w:rsidRPr="00D43554" w14:paraId="77F79382" w14:textId="77777777" w:rsidTr="00424768">
        <w:trPr>
          <w:trHeight w:val="499"/>
        </w:trPr>
        <w:tc>
          <w:tcPr>
            <w:tcW w:w="689" w:type="dxa"/>
            <w:shd w:val="clear" w:color="auto" w:fill="auto"/>
            <w:vAlign w:val="center"/>
          </w:tcPr>
          <w:p w14:paraId="752B3235" w14:textId="77777777" w:rsidR="00C37A6F" w:rsidRDefault="00C37A6F" w:rsidP="00C37A6F">
            <w:pPr>
              <w:jc w:val="center"/>
              <w:rPr>
                <w:bCs/>
                <w:szCs w:val="17"/>
              </w:rPr>
            </w:pPr>
            <w:r>
              <w:rPr>
                <w:bCs/>
                <w:szCs w:val="17"/>
              </w:rPr>
              <w:t>285</w:t>
            </w:r>
          </w:p>
          <w:p w14:paraId="00D15533" w14:textId="15320B59" w:rsidR="00C37A6F" w:rsidRPr="00E07ECB" w:rsidRDefault="00C37A6F" w:rsidP="00C37A6F">
            <w:pPr>
              <w:jc w:val="center"/>
              <w:rPr>
                <w:bCs/>
                <w:szCs w:val="17"/>
              </w:rPr>
            </w:pPr>
            <w:r>
              <w:rPr>
                <w:bCs/>
                <w:szCs w:val="17"/>
              </w:rPr>
              <w:t>286</w:t>
            </w:r>
          </w:p>
        </w:tc>
        <w:tc>
          <w:tcPr>
            <w:tcW w:w="1909" w:type="dxa"/>
            <w:shd w:val="clear" w:color="auto" w:fill="auto"/>
            <w:vAlign w:val="center"/>
          </w:tcPr>
          <w:p w14:paraId="79BE3182" w14:textId="3BEA24FB" w:rsidR="00C37A6F" w:rsidRPr="00E07ECB" w:rsidRDefault="00C37A6F" w:rsidP="00C37A6F">
            <w:pPr>
              <w:jc w:val="center"/>
              <w:rPr>
                <w:bCs/>
                <w:szCs w:val="17"/>
              </w:rPr>
            </w:pPr>
            <w:r w:rsidRPr="009D502B">
              <w:rPr>
                <w:bCs/>
                <w:szCs w:val="17"/>
              </w:rPr>
              <w:t>Recital 64</w:t>
            </w:r>
          </w:p>
        </w:tc>
        <w:tc>
          <w:tcPr>
            <w:tcW w:w="6116" w:type="dxa"/>
            <w:shd w:val="clear" w:color="auto" w:fill="auto"/>
          </w:tcPr>
          <w:p w14:paraId="107E39F9" w14:textId="39AA6665" w:rsidR="00C37A6F" w:rsidRPr="00E07ECB" w:rsidRDefault="00C37A6F" w:rsidP="00C37A6F">
            <w:pPr>
              <w:jc w:val="left"/>
              <w:rPr>
                <w:bCs/>
                <w:szCs w:val="17"/>
              </w:rPr>
            </w:pPr>
            <w:r>
              <w:rPr>
                <w:bCs/>
                <w:szCs w:val="17"/>
              </w:rPr>
              <w:t xml:space="preserve">Inclusion of third countries reference </w:t>
            </w:r>
          </w:p>
        </w:tc>
        <w:tc>
          <w:tcPr>
            <w:tcW w:w="1909" w:type="dxa"/>
            <w:shd w:val="clear" w:color="auto" w:fill="auto"/>
            <w:vAlign w:val="center"/>
          </w:tcPr>
          <w:p w14:paraId="3DF2D14A" w14:textId="7E05A95B" w:rsidR="00C37A6F" w:rsidRPr="00E76E73" w:rsidRDefault="00C37A6F" w:rsidP="00C37A6F">
            <w:pPr>
              <w:jc w:val="center"/>
              <w:rPr>
                <w:szCs w:val="17"/>
              </w:rPr>
            </w:pPr>
            <w:r w:rsidRPr="00E76E73">
              <w:rPr>
                <w:szCs w:val="17"/>
              </w:rPr>
              <w:t>Castaldo</w:t>
            </w:r>
            <w:r w:rsidR="001C1C09" w:rsidRPr="00E76E73">
              <w:rPr>
                <w:szCs w:val="17"/>
              </w:rPr>
              <w:t>/</w:t>
            </w:r>
          </w:p>
          <w:p w14:paraId="5582BA21" w14:textId="2753EBE3" w:rsidR="00C37A6F" w:rsidRPr="00E07ECB" w:rsidRDefault="00C37A6F" w:rsidP="00C37A6F">
            <w:pPr>
              <w:jc w:val="center"/>
              <w:rPr>
                <w:bCs/>
                <w:szCs w:val="17"/>
              </w:rPr>
            </w:pPr>
            <w:proofErr w:type="spellStart"/>
            <w:r w:rsidRPr="00E76E73">
              <w:rPr>
                <w:szCs w:val="17"/>
              </w:rPr>
              <w:t>Zanni</w:t>
            </w:r>
            <w:proofErr w:type="spellEnd"/>
            <w:r w:rsidRPr="00E76E73">
              <w:rPr>
                <w:szCs w:val="17"/>
              </w:rPr>
              <w:t>, Grant, Rinaldi</w:t>
            </w:r>
          </w:p>
        </w:tc>
        <w:tc>
          <w:tcPr>
            <w:tcW w:w="2543" w:type="dxa"/>
            <w:shd w:val="clear" w:color="auto" w:fill="auto"/>
            <w:vAlign w:val="center"/>
          </w:tcPr>
          <w:p w14:paraId="132B786E" w14:textId="59270309" w:rsidR="00C37A6F" w:rsidRPr="00E07ECB" w:rsidRDefault="001C1C09" w:rsidP="00C37A6F">
            <w:pPr>
              <w:jc w:val="center"/>
              <w:rPr>
                <w:bCs/>
                <w:szCs w:val="17"/>
              </w:rPr>
            </w:pPr>
            <w:r>
              <w:rPr>
                <w:bCs/>
                <w:szCs w:val="17"/>
              </w:rPr>
              <w:t>Group supervision</w:t>
            </w:r>
          </w:p>
        </w:tc>
        <w:tc>
          <w:tcPr>
            <w:tcW w:w="1293" w:type="dxa"/>
            <w:shd w:val="clear" w:color="auto" w:fill="auto"/>
            <w:vAlign w:val="center"/>
          </w:tcPr>
          <w:p w14:paraId="05B7D1C8" w14:textId="4B932AF6" w:rsidR="00C37A6F" w:rsidRPr="00E07ECB" w:rsidRDefault="001C1C09" w:rsidP="00C37A6F">
            <w:pPr>
              <w:jc w:val="center"/>
              <w:rPr>
                <w:bCs/>
                <w:szCs w:val="17"/>
              </w:rPr>
            </w:pPr>
            <w:r w:rsidRPr="00E76E73">
              <w:rPr>
                <w:b/>
                <w:color w:val="00B050"/>
                <w:szCs w:val="17"/>
              </w:rPr>
              <w:t>Positive</w:t>
            </w:r>
          </w:p>
        </w:tc>
      </w:tr>
      <w:tr w:rsidR="00C37A6F" w:rsidRPr="00D43554" w14:paraId="5F836654" w14:textId="77777777" w:rsidTr="00424768">
        <w:trPr>
          <w:trHeight w:val="499"/>
        </w:trPr>
        <w:tc>
          <w:tcPr>
            <w:tcW w:w="689" w:type="dxa"/>
            <w:shd w:val="clear" w:color="auto" w:fill="auto"/>
            <w:vAlign w:val="center"/>
          </w:tcPr>
          <w:p w14:paraId="6FE2E8B8" w14:textId="7ADB4E88" w:rsidR="00C37A6F" w:rsidRPr="00E07ECB" w:rsidRDefault="00C37A6F" w:rsidP="00C37A6F">
            <w:pPr>
              <w:jc w:val="center"/>
              <w:rPr>
                <w:bCs/>
                <w:szCs w:val="17"/>
              </w:rPr>
            </w:pPr>
            <w:r>
              <w:rPr>
                <w:bCs/>
                <w:szCs w:val="17"/>
              </w:rPr>
              <w:t>287</w:t>
            </w:r>
          </w:p>
        </w:tc>
        <w:tc>
          <w:tcPr>
            <w:tcW w:w="1909" w:type="dxa"/>
            <w:shd w:val="clear" w:color="auto" w:fill="auto"/>
            <w:vAlign w:val="center"/>
          </w:tcPr>
          <w:p w14:paraId="6F06DCD7" w14:textId="4A60C279" w:rsidR="00C37A6F" w:rsidRPr="00E07ECB" w:rsidRDefault="00C37A6F" w:rsidP="00C37A6F">
            <w:pPr>
              <w:jc w:val="center"/>
              <w:rPr>
                <w:bCs/>
                <w:szCs w:val="17"/>
              </w:rPr>
            </w:pPr>
            <w:r w:rsidRPr="009D502B">
              <w:rPr>
                <w:bCs/>
                <w:szCs w:val="17"/>
              </w:rPr>
              <w:t>Recital 6</w:t>
            </w:r>
            <w:r>
              <w:rPr>
                <w:bCs/>
                <w:szCs w:val="17"/>
              </w:rPr>
              <w:t>7</w:t>
            </w:r>
          </w:p>
        </w:tc>
        <w:tc>
          <w:tcPr>
            <w:tcW w:w="6116" w:type="dxa"/>
            <w:shd w:val="clear" w:color="auto" w:fill="auto"/>
          </w:tcPr>
          <w:p w14:paraId="2A6B57D1" w14:textId="72B1C36E" w:rsidR="00C37A6F" w:rsidRDefault="00BA1803" w:rsidP="00C37A6F">
            <w:pPr>
              <w:jc w:val="left"/>
              <w:rPr>
                <w:bCs/>
                <w:szCs w:val="17"/>
              </w:rPr>
            </w:pPr>
            <w:r>
              <w:rPr>
                <w:bCs/>
                <w:szCs w:val="17"/>
              </w:rPr>
              <w:t xml:space="preserve">Participating undertakings </w:t>
            </w:r>
            <w:r w:rsidR="00B65C02">
              <w:rPr>
                <w:bCs/>
                <w:szCs w:val="17"/>
              </w:rPr>
              <w:t>should by default</w:t>
            </w:r>
            <w:r w:rsidR="00C37A6F">
              <w:rPr>
                <w:bCs/>
                <w:szCs w:val="17"/>
              </w:rPr>
              <w:t xml:space="preserve"> </w:t>
            </w:r>
            <w:r w:rsidR="00501873">
              <w:rPr>
                <w:bCs/>
                <w:szCs w:val="17"/>
              </w:rPr>
              <w:t xml:space="preserve">be allowed to </w:t>
            </w:r>
            <w:r w:rsidR="000D700D">
              <w:rPr>
                <w:bCs/>
                <w:szCs w:val="17"/>
              </w:rPr>
              <w:t xml:space="preserve">use simplified approaches </w:t>
            </w:r>
            <w:r w:rsidR="007E3B13" w:rsidRPr="007E3B13">
              <w:rPr>
                <w:bCs/>
                <w:szCs w:val="17"/>
              </w:rPr>
              <w:t xml:space="preserve">to integrate </w:t>
            </w:r>
            <w:r w:rsidR="007E3B13">
              <w:rPr>
                <w:bCs/>
                <w:szCs w:val="17"/>
              </w:rPr>
              <w:t>immaterial (</w:t>
            </w:r>
            <w:proofErr w:type="spellStart"/>
            <w:r w:rsidR="007E3B13">
              <w:rPr>
                <w:bCs/>
                <w:szCs w:val="17"/>
              </w:rPr>
              <w:t>incl</w:t>
            </w:r>
            <w:proofErr w:type="spellEnd"/>
            <w:r w:rsidR="007E3B13">
              <w:rPr>
                <w:bCs/>
                <w:szCs w:val="17"/>
              </w:rPr>
              <w:t xml:space="preserve"> LRPU) </w:t>
            </w:r>
            <w:r w:rsidR="007E3B13" w:rsidRPr="007E3B13">
              <w:rPr>
                <w:bCs/>
                <w:szCs w:val="17"/>
              </w:rPr>
              <w:t>related undertakings</w:t>
            </w:r>
            <w:r w:rsidR="000964FD">
              <w:rPr>
                <w:bCs/>
                <w:szCs w:val="17"/>
              </w:rPr>
              <w:t xml:space="preserve"> </w:t>
            </w:r>
            <w:r w:rsidR="00F05340">
              <w:rPr>
                <w:bCs/>
                <w:szCs w:val="17"/>
              </w:rPr>
              <w:t>in their group solvency</w:t>
            </w:r>
            <w:r w:rsidR="00C37A6F">
              <w:rPr>
                <w:bCs/>
                <w:szCs w:val="17"/>
              </w:rPr>
              <w:t xml:space="preserve">. </w:t>
            </w:r>
          </w:p>
          <w:p w14:paraId="75532A00" w14:textId="1E43505A" w:rsidR="00C37A6F" w:rsidRPr="00E07ECB" w:rsidRDefault="00590122" w:rsidP="00C37A6F">
            <w:pPr>
              <w:jc w:val="left"/>
              <w:rPr>
                <w:bCs/>
                <w:szCs w:val="17"/>
              </w:rPr>
            </w:pPr>
            <w:r>
              <w:rPr>
                <w:bCs/>
                <w:szCs w:val="17"/>
              </w:rPr>
              <w:t>No prior supervisory approval needed</w:t>
            </w:r>
          </w:p>
        </w:tc>
        <w:tc>
          <w:tcPr>
            <w:tcW w:w="1909" w:type="dxa"/>
            <w:shd w:val="clear" w:color="auto" w:fill="auto"/>
            <w:vAlign w:val="center"/>
          </w:tcPr>
          <w:p w14:paraId="2298DC82" w14:textId="77777777" w:rsidR="00C37A6F" w:rsidRPr="00E76E73" w:rsidRDefault="00C37A6F" w:rsidP="00C37A6F">
            <w:pPr>
              <w:jc w:val="center"/>
              <w:rPr>
                <w:szCs w:val="17"/>
              </w:rPr>
            </w:pPr>
            <w:r w:rsidRPr="00E76E73">
              <w:rPr>
                <w:szCs w:val="17"/>
              </w:rPr>
              <w:t>Fitzgerald</w:t>
            </w:r>
          </w:p>
          <w:p w14:paraId="127F329F" w14:textId="77777777" w:rsidR="00C37A6F" w:rsidRPr="00E07ECB" w:rsidRDefault="00C37A6F" w:rsidP="00C37A6F">
            <w:pPr>
              <w:jc w:val="center"/>
              <w:rPr>
                <w:bCs/>
                <w:szCs w:val="17"/>
              </w:rPr>
            </w:pPr>
          </w:p>
        </w:tc>
        <w:tc>
          <w:tcPr>
            <w:tcW w:w="2543" w:type="dxa"/>
            <w:shd w:val="clear" w:color="auto" w:fill="auto"/>
            <w:vAlign w:val="center"/>
          </w:tcPr>
          <w:p w14:paraId="34C5B18A" w14:textId="75E67231" w:rsidR="00C37A6F" w:rsidRPr="0000106C" w:rsidRDefault="00F05340" w:rsidP="00C37A6F">
            <w:pPr>
              <w:spacing w:line="240" w:lineRule="auto"/>
              <w:jc w:val="center"/>
              <w:rPr>
                <w:rFonts w:cs="Calibri"/>
                <w:color w:val="000000"/>
                <w:szCs w:val="17"/>
              </w:rPr>
            </w:pPr>
            <w:r>
              <w:rPr>
                <w:bCs/>
                <w:szCs w:val="17"/>
              </w:rPr>
              <w:t>Group supervision/</w:t>
            </w:r>
            <w:r w:rsidR="00C37A6F" w:rsidRPr="0000106C">
              <w:rPr>
                <w:rFonts w:cs="Calibri"/>
                <w:color w:val="000000"/>
                <w:szCs w:val="17"/>
              </w:rPr>
              <w:t>Proportionality</w:t>
            </w:r>
          </w:p>
        </w:tc>
        <w:tc>
          <w:tcPr>
            <w:tcW w:w="1293" w:type="dxa"/>
            <w:shd w:val="clear" w:color="auto" w:fill="auto"/>
            <w:vAlign w:val="center"/>
          </w:tcPr>
          <w:p w14:paraId="1F38C251" w14:textId="51511047" w:rsidR="00C37A6F" w:rsidRPr="00E07ECB" w:rsidRDefault="00590122" w:rsidP="00C37A6F">
            <w:pPr>
              <w:jc w:val="center"/>
              <w:rPr>
                <w:bCs/>
                <w:szCs w:val="17"/>
              </w:rPr>
            </w:pPr>
            <w:r w:rsidRPr="00E76E73">
              <w:rPr>
                <w:b/>
                <w:color w:val="00B050"/>
                <w:szCs w:val="17"/>
              </w:rPr>
              <w:t>Positive</w:t>
            </w:r>
          </w:p>
        </w:tc>
      </w:tr>
      <w:tr w:rsidR="00C37A6F" w:rsidRPr="00D43554" w14:paraId="7219DB35" w14:textId="77777777" w:rsidTr="00424768">
        <w:trPr>
          <w:trHeight w:val="499"/>
        </w:trPr>
        <w:tc>
          <w:tcPr>
            <w:tcW w:w="689" w:type="dxa"/>
            <w:shd w:val="clear" w:color="auto" w:fill="auto"/>
            <w:vAlign w:val="center"/>
          </w:tcPr>
          <w:p w14:paraId="022CDA88" w14:textId="5D384372" w:rsidR="00C37A6F" w:rsidRPr="00DF2D9C" w:rsidRDefault="00C37A6F" w:rsidP="00C37A6F">
            <w:pPr>
              <w:jc w:val="center"/>
              <w:rPr>
                <w:bCs/>
                <w:szCs w:val="17"/>
              </w:rPr>
            </w:pPr>
            <w:r w:rsidRPr="00DF2D9C">
              <w:rPr>
                <w:bCs/>
                <w:szCs w:val="17"/>
              </w:rPr>
              <w:t>288</w:t>
            </w:r>
          </w:p>
        </w:tc>
        <w:tc>
          <w:tcPr>
            <w:tcW w:w="1909" w:type="dxa"/>
            <w:shd w:val="clear" w:color="auto" w:fill="auto"/>
            <w:vAlign w:val="center"/>
          </w:tcPr>
          <w:p w14:paraId="0DC83248" w14:textId="5280571C" w:rsidR="00C37A6F" w:rsidRPr="00DF2D9C" w:rsidRDefault="00C37A6F" w:rsidP="00C37A6F">
            <w:pPr>
              <w:jc w:val="center"/>
              <w:rPr>
                <w:bCs/>
                <w:szCs w:val="17"/>
              </w:rPr>
            </w:pPr>
            <w:r w:rsidRPr="00DF2D9C">
              <w:rPr>
                <w:bCs/>
                <w:szCs w:val="17"/>
              </w:rPr>
              <w:t>Recital 72</w:t>
            </w:r>
          </w:p>
        </w:tc>
        <w:tc>
          <w:tcPr>
            <w:tcW w:w="6116" w:type="dxa"/>
            <w:shd w:val="clear" w:color="auto" w:fill="auto"/>
          </w:tcPr>
          <w:p w14:paraId="5461FBF9" w14:textId="77777777" w:rsidR="00B07BF7" w:rsidRDefault="0088286F" w:rsidP="00C37A6F">
            <w:pPr>
              <w:jc w:val="left"/>
              <w:rPr>
                <w:bCs/>
                <w:szCs w:val="17"/>
              </w:rPr>
            </w:pPr>
            <w:r>
              <w:rPr>
                <w:bCs/>
                <w:szCs w:val="17"/>
              </w:rPr>
              <w:t xml:space="preserve">To </w:t>
            </w:r>
            <w:r w:rsidR="009038D8">
              <w:rPr>
                <w:bCs/>
                <w:szCs w:val="17"/>
              </w:rPr>
              <w:t>avoid double counting, and to preserve a</w:t>
            </w:r>
            <w:r w:rsidR="00C3106A">
              <w:rPr>
                <w:bCs/>
                <w:szCs w:val="17"/>
              </w:rPr>
              <w:t>n international</w:t>
            </w:r>
            <w:r w:rsidR="009038D8">
              <w:rPr>
                <w:bCs/>
                <w:szCs w:val="17"/>
              </w:rPr>
              <w:t xml:space="preserve"> level playing field</w:t>
            </w:r>
            <w:r w:rsidR="00C3106A">
              <w:rPr>
                <w:bCs/>
                <w:szCs w:val="17"/>
              </w:rPr>
              <w:t xml:space="preserve">, </w:t>
            </w:r>
            <w:r w:rsidR="00A10B00">
              <w:rPr>
                <w:bCs/>
                <w:szCs w:val="17"/>
              </w:rPr>
              <w:t xml:space="preserve">no equity capital charge is to be applied </w:t>
            </w:r>
            <w:r w:rsidR="00F03500">
              <w:rPr>
                <w:bCs/>
                <w:szCs w:val="17"/>
              </w:rPr>
              <w:t>to holdings combining method 1 and 2</w:t>
            </w:r>
            <w:r w:rsidR="00B07BF7">
              <w:rPr>
                <w:bCs/>
                <w:szCs w:val="17"/>
              </w:rPr>
              <w:t>.</w:t>
            </w:r>
          </w:p>
          <w:p w14:paraId="543DA157" w14:textId="58163BE7" w:rsidR="00C37A6F" w:rsidRPr="00DF2D9C" w:rsidRDefault="00B07BF7" w:rsidP="00C37A6F">
            <w:pPr>
              <w:jc w:val="left"/>
              <w:rPr>
                <w:bCs/>
                <w:szCs w:val="17"/>
              </w:rPr>
            </w:pPr>
            <w:r>
              <w:rPr>
                <w:bCs/>
                <w:szCs w:val="17"/>
              </w:rPr>
              <w:t xml:space="preserve">For the same reasons, and </w:t>
            </w:r>
            <w:r w:rsidR="0050002F">
              <w:rPr>
                <w:bCs/>
                <w:szCs w:val="17"/>
              </w:rPr>
              <w:t>because there cannot be an SCR breach a</w:t>
            </w:r>
            <w:r w:rsidR="005057A5">
              <w:rPr>
                <w:bCs/>
                <w:szCs w:val="17"/>
              </w:rPr>
              <w:t>s long as solo undertakings are well capitalized</w:t>
            </w:r>
            <w:r w:rsidR="00C67C88">
              <w:rPr>
                <w:bCs/>
                <w:szCs w:val="17"/>
              </w:rPr>
              <w:t xml:space="preserve">, </w:t>
            </w:r>
            <w:r w:rsidR="005057A5">
              <w:rPr>
                <w:bCs/>
                <w:szCs w:val="17"/>
              </w:rPr>
              <w:t>c</w:t>
            </w:r>
            <w:r w:rsidR="00C37A6F" w:rsidRPr="00DF2D9C">
              <w:rPr>
                <w:bCs/>
                <w:szCs w:val="17"/>
              </w:rPr>
              <w:t xml:space="preserve">urrency risk </w:t>
            </w:r>
            <w:r w:rsidR="00626D14">
              <w:rPr>
                <w:bCs/>
                <w:szCs w:val="17"/>
              </w:rPr>
              <w:t xml:space="preserve">should </w:t>
            </w:r>
            <w:r w:rsidR="00C37A6F" w:rsidRPr="00DF2D9C">
              <w:rPr>
                <w:bCs/>
                <w:szCs w:val="17"/>
              </w:rPr>
              <w:t xml:space="preserve">be assessed and managed </w:t>
            </w:r>
            <w:r w:rsidR="004D06BB" w:rsidRPr="00DF2D9C">
              <w:rPr>
                <w:bCs/>
                <w:szCs w:val="17"/>
              </w:rPr>
              <w:t>within</w:t>
            </w:r>
            <w:r w:rsidR="00C37A6F" w:rsidRPr="00DF2D9C">
              <w:rPr>
                <w:bCs/>
                <w:szCs w:val="17"/>
              </w:rPr>
              <w:t xml:space="preserve"> </w:t>
            </w:r>
            <w:r w:rsidR="004D06BB" w:rsidRPr="00DF2D9C">
              <w:rPr>
                <w:bCs/>
                <w:szCs w:val="17"/>
              </w:rPr>
              <w:t>ORSA.</w:t>
            </w:r>
          </w:p>
        </w:tc>
        <w:tc>
          <w:tcPr>
            <w:tcW w:w="1909" w:type="dxa"/>
            <w:shd w:val="clear" w:color="auto" w:fill="auto"/>
            <w:vAlign w:val="center"/>
          </w:tcPr>
          <w:p w14:paraId="5B636563" w14:textId="6BCBC44E" w:rsidR="00C37A6F" w:rsidRPr="00E76E73" w:rsidRDefault="00C37A6F" w:rsidP="00C37A6F">
            <w:pPr>
              <w:jc w:val="center"/>
              <w:rPr>
                <w:szCs w:val="17"/>
              </w:rPr>
            </w:pPr>
            <w:r w:rsidRPr="00E76E73">
              <w:rPr>
                <w:szCs w:val="17"/>
              </w:rPr>
              <w:t xml:space="preserve">Van </w:t>
            </w:r>
            <w:proofErr w:type="spellStart"/>
            <w:r w:rsidRPr="00E76E73">
              <w:rPr>
                <w:szCs w:val="17"/>
              </w:rPr>
              <w:t>Overtveldt</w:t>
            </w:r>
            <w:proofErr w:type="spellEnd"/>
          </w:p>
        </w:tc>
        <w:tc>
          <w:tcPr>
            <w:tcW w:w="2543" w:type="dxa"/>
            <w:shd w:val="clear" w:color="auto" w:fill="auto"/>
            <w:vAlign w:val="center"/>
          </w:tcPr>
          <w:p w14:paraId="0F357E8E" w14:textId="6804E209" w:rsidR="00C37A6F" w:rsidRPr="00DF2D9C" w:rsidRDefault="00126009" w:rsidP="00C37A6F">
            <w:pPr>
              <w:spacing w:line="240" w:lineRule="auto"/>
              <w:jc w:val="center"/>
              <w:rPr>
                <w:rFonts w:cs="Calibri"/>
                <w:color w:val="000000"/>
                <w:szCs w:val="17"/>
              </w:rPr>
            </w:pPr>
            <w:r>
              <w:rPr>
                <w:bCs/>
                <w:szCs w:val="17"/>
              </w:rPr>
              <w:t>Group supervision</w:t>
            </w:r>
            <w:r w:rsidRPr="00DF2D9C" w:rsidDel="00126009">
              <w:rPr>
                <w:rFonts w:cs="Calibri"/>
                <w:bCs/>
                <w:color w:val="000000"/>
                <w:szCs w:val="17"/>
              </w:rPr>
              <w:t xml:space="preserve"> </w:t>
            </w:r>
            <w:r w:rsidR="00C37A6F" w:rsidRPr="00DF2D9C">
              <w:rPr>
                <w:rFonts w:cs="Calibri"/>
                <w:color w:val="000000"/>
                <w:szCs w:val="17"/>
              </w:rPr>
              <w:t>/ORSA</w:t>
            </w:r>
          </w:p>
        </w:tc>
        <w:tc>
          <w:tcPr>
            <w:tcW w:w="1293" w:type="dxa"/>
            <w:shd w:val="clear" w:color="auto" w:fill="auto"/>
            <w:vAlign w:val="center"/>
          </w:tcPr>
          <w:p w14:paraId="1244BD2B" w14:textId="448204EF" w:rsidR="00C37A6F" w:rsidRPr="00DF2D9C" w:rsidRDefault="00126009" w:rsidP="00C37A6F">
            <w:pPr>
              <w:jc w:val="center"/>
              <w:rPr>
                <w:bCs/>
                <w:szCs w:val="17"/>
              </w:rPr>
            </w:pPr>
            <w:r w:rsidRPr="00E76E73">
              <w:rPr>
                <w:b/>
                <w:color w:val="00B050"/>
                <w:szCs w:val="17"/>
              </w:rPr>
              <w:t>Positive</w:t>
            </w:r>
          </w:p>
        </w:tc>
      </w:tr>
      <w:tr w:rsidR="00C37A6F" w:rsidRPr="00D43554" w14:paraId="76419133" w14:textId="77777777" w:rsidTr="00424768">
        <w:trPr>
          <w:trHeight w:val="499"/>
        </w:trPr>
        <w:tc>
          <w:tcPr>
            <w:tcW w:w="689" w:type="dxa"/>
            <w:shd w:val="clear" w:color="auto" w:fill="auto"/>
            <w:vAlign w:val="center"/>
          </w:tcPr>
          <w:p w14:paraId="524544E8" w14:textId="0336E07F" w:rsidR="00C37A6F" w:rsidRDefault="00C37A6F" w:rsidP="00C37A6F">
            <w:pPr>
              <w:jc w:val="center"/>
              <w:rPr>
                <w:bCs/>
                <w:szCs w:val="17"/>
              </w:rPr>
            </w:pPr>
            <w:r>
              <w:rPr>
                <w:bCs/>
                <w:szCs w:val="17"/>
              </w:rPr>
              <w:t>289</w:t>
            </w:r>
          </w:p>
        </w:tc>
        <w:tc>
          <w:tcPr>
            <w:tcW w:w="1909" w:type="dxa"/>
            <w:shd w:val="clear" w:color="auto" w:fill="auto"/>
            <w:vAlign w:val="center"/>
          </w:tcPr>
          <w:p w14:paraId="467150EC" w14:textId="6B4F1ADC" w:rsidR="00C37A6F" w:rsidRPr="009D502B" w:rsidRDefault="00C37A6F" w:rsidP="00C37A6F">
            <w:pPr>
              <w:jc w:val="center"/>
              <w:rPr>
                <w:bCs/>
                <w:szCs w:val="17"/>
              </w:rPr>
            </w:pPr>
            <w:r w:rsidRPr="00FA40BA">
              <w:rPr>
                <w:bCs/>
                <w:szCs w:val="17"/>
              </w:rPr>
              <w:t>Recital 72</w:t>
            </w:r>
          </w:p>
        </w:tc>
        <w:tc>
          <w:tcPr>
            <w:tcW w:w="6116" w:type="dxa"/>
            <w:shd w:val="clear" w:color="auto" w:fill="auto"/>
          </w:tcPr>
          <w:p w14:paraId="043A4302" w14:textId="6EC05159" w:rsidR="00C37A6F" w:rsidRDefault="0056739F" w:rsidP="00C37A6F">
            <w:pPr>
              <w:jc w:val="left"/>
              <w:rPr>
                <w:bCs/>
                <w:szCs w:val="17"/>
              </w:rPr>
            </w:pPr>
            <w:r>
              <w:rPr>
                <w:bCs/>
                <w:szCs w:val="17"/>
              </w:rPr>
              <w:t>There cannot be an SCR breach as long as solo undertakings are well capitalized, c</w:t>
            </w:r>
            <w:r w:rsidRPr="00DF2D9C">
              <w:rPr>
                <w:bCs/>
                <w:szCs w:val="17"/>
              </w:rPr>
              <w:t xml:space="preserve">urrency risk </w:t>
            </w:r>
            <w:r>
              <w:rPr>
                <w:bCs/>
                <w:szCs w:val="17"/>
              </w:rPr>
              <w:t xml:space="preserve">should </w:t>
            </w:r>
            <w:r w:rsidRPr="00DF2D9C">
              <w:rPr>
                <w:bCs/>
                <w:szCs w:val="17"/>
              </w:rPr>
              <w:t xml:space="preserve">be assessed and managed within </w:t>
            </w:r>
            <w:r w:rsidR="004B1ED3">
              <w:rPr>
                <w:bCs/>
                <w:szCs w:val="17"/>
              </w:rPr>
              <w:t>Pillar II</w:t>
            </w:r>
            <w:r w:rsidRPr="00DF2D9C">
              <w:rPr>
                <w:bCs/>
                <w:szCs w:val="17"/>
              </w:rPr>
              <w:t>.</w:t>
            </w:r>
          </w:p>
        </w:tc>
        <w:tc>
          <w:tcPr>
            <w:tcW w:w="1909" w:type="dxa"/>
            <w:shd w:val="clear" w:color="auto" w:fill="auto"/>
            <w:vAlign w:val="center"/>
          </w:tcPr>
          <w:p w14:paraId="4A294BF6" w14:textId="5AB71850" w:rsidR="00C37A6F" w:rsidRPr="00E76E73" w:rsidRDefault="00C37A6F" w:rsidP="00C37A6F">
            <w:pPr>
              <w:jc w:val="center"/>
              <w:rPr>
                <w:szCs w:val="17"/>
              </w:rPr>
            </w:pPr>
            <w:r w:rsidRPr="00E76E73">
              <w:rPr>
                <w:szCs w:val="17"/>
              </w:rPr>
              <w:t>Castaldo</w:t>
            </w:r>
          </w:p>
        </w:tc>
        <w:tc>
          <w:tcPr>
            <w:tcW w:w="2543" w:type="dxa"/>
            <w:shd w:val="clear" w:color="auto" w:fill="auto"/>
            <w:vAlign w:val="center"/>
          </w:tcPr>
          <w:p w14:paraId="2D540AF6" w14:textId="62FDBB5E" w:rsidR="00C37A6F" w:rsidRPr="0052631A" w:rsidRDefault="004B1ED3" w:rsidP="00C37A6F">
            <w:pPr>
              <w:spacing w:line="240" w:lineRule="auto"/>
              <w:jc w:val="center"/>
              <w:rPr>
                <w:rFonts w:cs="Calibri"/>
                <w:color w:val="000000"/>
                <w:szCs w:val="17"/>
              </w:rPr>
            </w:pPr>
            <w:r>
              <w:rPr>
                <w:bCs/>
                <w:szCs w:val="17"/>
              </w:rPr>
              <w:t>Group supervision</w:t>
            </w:r>
            <w:r w:rsidRPr="00DF2D9C" w:rsidDel="00126009">
              <w:rPr>
                <w:rFonts w:cs="Calibri"/>
                <w:bCs/>
                <w:color w:val="000000"/>
                <w:szCs w:val="17"/>
              </w:rPr>
              <w:t xml:space="preserve"> </w:t>
            </w:r>
            <w:r w:rsidRPr="00DF2D9C">
              <w:rPr>
                <w:rFonts w:cs="Calibri"/>
                <w:color w:val="000000"/>
                <w:szCs w:val="17"/>
              </w:rPr>
              <w:t>/ORSA</w:t>
            </w:r>
          </w:p>
        </w:tc>
        <w:tc>
          <w:tcPr>
            <w:tcW w:w="1293" w:type="dxa"/>
            <w:shd w:val="clear" w:color="auto" w:fill="auto"/>
            <w:vAlign w:val="center"/>
          </w:tcPr>
          <w:p w14:paraId="0C355D1B" w14:textId="3ABBCE99" w:rsidR="00C37A6F" w:rsidRPr="00E07ECB" w:rsidRDefault="004B1ED3" w:rsidP="00C37A6F">
            <w:pPr>
              <w:jc w:val="center"/>
              <w:rPr>
                <w:bCs/>
                <w:szCs w:val="17"/>
              </w:rPr>
            </w:pPr>
            <w:r w:rsidRPr="00E76E73">
              <w:rPr>
                <w:b/>
                <w:color w:val="00B050"/>
                <w:szCs w:val="17"/>
              </w:rPr>
              <w:t>Positive</w:t>
            </w:r>
          </w:p>
        </w:tc>
      </w:tr>
      <w:tr w:rsidR="00C37A6F" w:rsidRPr="00D43554" w14:paraId="6B55AE8B" w14:textId="77777777" w:rsidTr="00424768">
        <w:trPr>
          <w:trHeight w:val="499"/>
        </w:trPr>
        <w:tc>
          <w:tcPr>
            <w:tcW w:w="689" w:type="dxa"/>
            <w:shd w:val="clear" w:color="auto" w:fill="auto"/>
            <w:vAlign w:val="center"/>
          </w:tcPr>
          <w:p w14:paraId="488E8726" w14:textId="3D2CA3CF" w:rsidR="00C37A6F" w:rsidRDefault="00C37A6F" w:rsidP="00C37A6F">
            <w:pPr>
              <w:jc w:val="center"/>
              <w:rPr>
                <w:bCs/>
                <w:szCs w:val="17"/>
              </w:rPr>
            </w:pPr>
            <w:r>
              <w:rPr>
                <w:bCs/>
                <w:szCs w:val="17"/>
              </w:rPr>
              <w:t>290</w:t>
            </w:r>
          </w:p>
        </w:tc>
        <w:tc>
          <w:tcPr>
            <w:tcW w:w="1909" w:type="dxa"/>
            <w:shd w:val="clear" w:color="auto" w:fill="auto"/>
            <w:vAlign w:val="center"/>
          </w:tcPr>
          <w:p w14:paraId="1EE3A46F" w14:textId="74950181" w:rsidR="00C37A6F" w:rsidRPr="009D502B" w:rsidRDefault="00C37A6F" w:rsidP="00C37A6F">
            <w:pPr>
              <w:jc w:val="center"/>
              <w:rPr>
                <w:bCs/>
                <w:szCs w:val="17"/>
              </w:rPr>
            </w:pPr>
            <w:r w:rsidRPr="00F26163">
              <w:rPr>
                <w:bCs/>
                <w:szCs w:val="17"/>
              </w:rPr>
              <w:t>Recital 77 a (new)</w:t>
            </w:r>
          </w:p>
        </w:tc>
        <w:tc>
          <w:tcPr>
            <w:tcW w:w="6116" w:type="dxa"/>
            <w:shd w:val="clear" w:color="auto" w:fill="auto"/>
          </w:tcPr>
          <w:p w14:paraId="73150D87" w14:textId="77777777" w:rsidR="00C37A6F" w:rsidRDefault="00C37A6F" w:rsidP="00C37A6F">
            <w:pPr>
              <w:jc w:val="left"/>
              <w:rPr>
                <w:bCs/>
                <w:szCs w:val="17"/>
              </w:rPr>
            </w:pPr>
            <w:r>
              <w:rPr>
                <w:bCs/>
                <w:szCs w:val="17"/>
              </w:rPr>
              <w:t xml:space="preserve">Adding strict conditions </w:t>
            </w:r>
            <w:r w:rsidR="00600ACE">
              <w:rPr>
                <w:bCs/>
                <w:szCs w:val="17"/>
              </w:rPr>
              <w:t xml:space="preserve">in terms of </w:t>
            </w:r>
            <w:r w:rsidR="00E433C2">
              <w:rPr>
                <w:bCs/>
                <w:szCs w:val="17"/>
              </w:rPr>
              <w:t>anti-money</w:t>
            </w:r>
            <w:r w:rsidR="008030F4">
              <w:rPr>
                <w:bCs/>
                <w:szCs w:val="17"/>
              </w:rPr>
              <w:t xml:space="preserve"> laundering</w:t>
            </w:r>
            <w:r w:rsidR="00E433C2">
              <w:rPr>
                <w:bCs/>
                <w:szCs w:val="17"/>
              </w:rPr>
              <w:t>/</w:t>
            </w:r>
            <w:r w:rsidR="00531E82">
              <w:rPr>
                <w:bCs/>
                <w:szCs w:val="17"/>
              </w:rPr>
              <w:t>terrorist financing/tax evasion,</w:t>
            </w:r>
            <w:r>
              <w:rPr>
                <w:bCs/>
                <w:szCs w:val="17"/>
              </w:rPr>
              <w:t xml:space="preserve"> to grant </w:t>
            </w:r>
            <w:r w:rsidRPr="000E0BEA">
              <w:rPr>
                <w:bCs/>
                <w:szCs w:val="17"/>
              </w:rPr>
              <w:t>the Preferential treatment for long-term investments in equit</w:t>
            </w:r>
            <w:r>
              <w:rPr>
                <w:bCs/>
                <w:szCs w:val="17"/>
              </w:rPr>
              <w:t>y.</w:t>
            </w:r>
          </w:p>
          <w:p w14:paraId="1E27F1D2" w14:textId="77A34582" w:rsidR="00C37A6F" w:rsidRDefault="00C54470" w:rsidP="00C37A6F">
            <w:pPr>
              <w:jc w:val="left"/>
              <w:rPr>
                <w:bCs/>
                <w:szCs w:val="17"/>
              </w:rPr>
            </w:pPr>
            <w:r w:rsidRPr="00C54470">
              <w:rPr>
                <w:bCs/>
                <w:szCs w:val="17"/>
              </w:rPr>
              <w:t xml:space="preserve">a sub-set of equity investments may be treated as long term equity investments provided that </w:t>
            </w:r>
            <w:r>
              <w:rPr>
                <w:bCs/>
                <w:szCs w:val="17"/>
              </w:rPr>
              <w:t>it</w:t>
            </w:r>
            <w:r w:rsidRPr="00C54470">
              <w:rPr>
                <w:bCs/>
                <w:szCs w:val="17"/>
              </w:rPr>
              <w:t xml:space="preserve"> is not issued by companies which have the parent company, subsidiaries or branches in a </w:t>
            </w:r>
            <w:r>
              <w:rPr>
                <w:bCs/>
                <w:szCs w:val="17"/>
              </w:rPr>
              <w:t>3</w:t>
            </w:r>
            <w:r w:rsidRPr="00DA133E">
              <w:rPr>
                <w:szCs w:val="17"/>
                <w:vertAlign w:val="superscript"/>
              </w:rPr>
              <w:t>rd</w:t>
            </w:r>
            <w:r>
              <w:rPr>
                <w:bCs/>
                <w:szCs w:val="17"/>
              </w:rPr>
              <w:t xml:space="preserve"> </w:t>
            </w:r>
            <w:r w:rsidRPr="00C54470">
              <w:rPr>
                <w:bCs/>
                <w:szCs w:val="17"/>
              </w:rPr>
              <w:t xml:space="preserve">country, which is mentioned in the revised EU list on non-cooperative jurisdictions for tax purposes, or in the </w:t>
            </w:r>
            <w:r>
              <w:rPr>
                <w:bCs/>
                <w:szCs w:val="17"/>
              </w:rPr>
              <w:t>DA</w:t>
            </w:r>
            <w:r w:rsidRPr="00C54470">
              <w:rPr>
                <w:bCs/>
                <w:szCs w:val="17"/>
              </w:rPr>
              <w:t xml:space="preserve"> in relation to </w:t>
            </w:r>
            <w:r>
              <w:rPr>
                <w:bCs/>
                <w:szCs w:val="17"/>
              </w:rPr>
              <w:t>3</w:t>
            </w:r>
            <w:r w:rsidRPr="00DA133E">
              <w:rPr>
                <w:szCs w:val="17"/>
                <w:vertAlign w:val="superscript"/>
              </w:rPr>
              <w:t>rd</w:t>
            </w:r>
            <w:r>
              <w:rPr>
                <w:bCs/>
                <w:szCs w:val="17"/>
              </w:rPr>
              <w:t xml:space="preserve"> </w:t>
            </w:r>
            <w:r w:rsidRPr="00C54470">
              <w:rPr>
                <w:bCs/>
                <w:szCs w:val="17"/>
              </w:rPr>
              <w:t>countries which have strategic deficiencies in their AML/CFT regimes that pose significant threats to the financial system of the Union</w:t>
            </w:r>
          </w:p>
        </w:tc>
        <w:tc>
          <w:tcPr>
            <w:tcW w:w="1909" w:type="dxa"/>
            <w:shd w:val="clear" w:color="auto" w:fill="auto"/>
            <w:vAlign w:val="center"/>
          </w:tcPr>
          <w:p w14:paraId="7D74C14E" w14:textId="0C40E6B0" w:rsidR="00C37A6F" w:rsidRPr="00E76E73" w:rsidRDefault="00C37A6F" w:rsidP="00C37A6F">
            <w:pPr>
              <w:jc w:val="center"/>
              <w:rPr>
                <w:szCs w:val="17"/>
              </w:rPr>
            </w:pPr>
            <w:proofErr w:type="spellStart"/>
            <w:r w:rsidRPr="00E76E73">
              <w:rPr>
                <w:szCs w:val="17"/>
              </w:rPr>
              <w:t>Heinäluoma</w:t>
            </w:r>
            <w:proofErr w:type="spellEnd"/>
            <w:r w:rsidRPr="00E76E73">
              <w:rPr>
                <w:szCs w:val="17"/>
              </w:rPr>
              <w:t xml:space="preserve">, </w:t>
            </w:r>
            <w:proofErr w:type="spellStart"/>
            <w:r w:rsidRPr="00E76E73">
              <w:rPr>
                <w:szCs w:val="17"/>
              </w:rPr>
              <w:t>Lalucq</w:t>
            </w:r>
            <w:proofErr w:type="spellEnd"/>
          </w:p>
        </w:tc>
        <w:tc>
          <w:tcPr>
            <w:tcW w:w="2543" w:type="dxa"/>
            <w:shd w:val="clear" w:color="auto" w:fill="auto"/>
            <w:vAlign w:val="center"/>
          </w:tcPr>
          <w:p w14:paraId="0328BA23" w14:textId="7CC6050D" w:rsidR="00C37A6F" w:rsidRPr="00E07ECB" w:rsidRDefault="00C37A6F" w:rsidP="00C37A6F">
            <w:pPr>
              <w:jc w:val="center"/>
              <w:rPr>
                <w:bCs/>
                <w:szCs w:val="17"/>
              </w:rPr>
            </w:pPr>
            <w:r w:rsidRPr="001C1225">
              <w:rPr>
                <w:bCs/>
                <w:szCs w:val="17"/>
              </w:rPr>
              <w:t>Long term equity</w:t>
            </w:r>
          </w:p>
        </w:tc>
        <w:tc>
          <w:tcPr>
            <w:tcW w:w="1293" w:type="dxa"/>
            <w:shd w:val="clear" w:color="auto" w:fill="auto"/>
            <w:vAlign w:val="center"/>
          </w:tcPr>
          <w:p w14:paraId="4C797A4D" w14:textId="19C654C2" w:rsidR="00C37A6F" w:rsidRPr="00E07ECB" w:rsidRDefault="00C54470" w:rsidP="00C37A6F">
            <w:pPr>
              <w:jc w:val="center"/>
              <w:rPr>
                <w:bCs/>
                <w:szCs w:val="17"/>
              </w:rPr>
            </w:pPr>
            <w:r w:rsidRPr="00E76E73">
              <w:rPr>
                <w:b/>
                <w:color w:val="808080" w:themeColor="background1" w:themeShade="80"/>
                <w:szCs w:val="17"/>
              </w:rPr>
              <w:t>Neutral</w:t>
            </w:r>
          </w:p>
        </w:tc>
      </w:tr>
      <w:tr w:rsidR="00C37A6F" w:rsidRPr="00D43554" w14:paraId="6A4B9B3C" w14:textId="77777777" w:rsidTr="00424768">
        <w:trPr>
          <w:trHeight w:val="499"/>
        </w:trPr>
        <w:tc>
          <w:tcPr>
            <w:tcW w:w="689" w:type="dxa"/>
            <w:shd w:val="clear" w:color="auto" w:fill="auto"/>
            <w:vAlign w:val="center"/>
          </w:tcPr>
          <w:p w14:paraId="511601C8" w14:textId="30DEA23D" w:rsidR="00C37A6F" w:rsidRDefault="00C37A6F" w:rsidP="00C37A6F">
            <w:pPr>
              <w:jc w:val="center"/>
              <w:rPr>
                <w:bCs/>
                <w:szCs w:val="17"/>
              </w:rPr>
            </w:pPr>
            <w:r>
              <w:rPr>
                <w:bCs/>
                <w:szCs w:val="17"/>
              </w:rPr>
              <w:lastRenderedPageBreak/>
              <w:t>291</w:t>
            </w:r>
          </w:p>
        </w:tc>
        <w:tc>
          <w:tcPr>
            <w:tcW w:w="1909" w:type="dxa"/>
            <w:shd w:val="clear" w:color="auto" w:fill="auto"/>
            <w:vAlign w:val="center"/>
          </w:tcPr>
          <w:p w14:paraId="544F3617" w14:textId="6802CFC1" w:rsidR="00C37A6F" w:rsidRPr="009D502B" w:rsidRDefault="00C37A6F" w:rsidP="00C37A6F">
            <w:pPr>
              <w:jc w:val="center"/>
              <w:rPr>
                <w:bCs/>
                <w:szCs w:val="17"/>
              </w:rPr>
            </w:pPr>
            <w:r w:rsidRPr="00C35629">
              <w:rPr>
                <w:bCs/>
                <w:szCs w:val="17"/>
              </w:rPr>
              <w:t>Recital 78</w:t>
            </w:r>
          </w:p>
        </w:tc>
        <w:tc>
          <w:tcPr>
            <w:tcW w:w="6116" w:type="dxa"/>
            <w:shd w:val="clear" w:color="auto" w:fill="auto"/>
          </w:tcPr>
          <w:p w14:paraId="7DDAE16D" w14:textId="4CE9FDBB" w:rsidR="00C37A6F" w:rsidRDefault="00C37A6F" w:rsidP="00C37A6F">
            <w:pPr>
              <w:jc w:val="left"/>
              <w:rPr>
                <w:bCs/>
                <w:szCs w:val="17"/>
              </w:rPr>
            </w:pPr>
            <w:r w:rsidRPr="00C35629">
              <w:rPr>
                <w:bCs/>
                <w:szCs w:val="17"/>
              </w:rPr>
              <w:t xml:space="preserve">Removal of the whole recital </w:t>
            </w:r>
            <w:r w:rsidR="00731E59">
              <w:rPr>
                <w:bCs/>
                <w:szCs w:val="17"/>
              </w:rPr>
              <w:t xml:space="preserve">regarding sustainable investments to achieve </w:t>
            </w:r>
            <w:r>
              <w:rPr>
                <w:bCs/>
                <w:szCs w:val="17"/>
              </w:rPr>
              <w:t>ambitions of the green deal</w:t>
            </w:r>
            <w:r w:rsidR="00866A19">
              <w:rPr>
                <w:bCs/>
                <w:szCs w:val="17"/>
              </w:rPr>
              <w:t>.</w:t>
            </w:r>
          </w:p>
        </w:tc>
        <w:tc>
          <w:tcPr>
            <w:tcW w:w="1909" w:type="dxa"/>
            <w:shd w:val="clear" w:color="auto" w:fill="auto"/>
            <w:vAlign w:val="center"/>
          </w:tcPr>
          <w:p w14:paraId="510700F7" w14:textId="5F46A4E6" w:rsidR="00C37A6F" w:rsidRPr="00E76E73" w:rsidRDefault="00C37A6F" w:rsidP="00C37A6F">
            <w:pPr>
              <w:jc w:val="center"/>
              <w:rPr>
                <w:szCs w:val="17"/>
              </w:rPr>
            </w:pPr>
            <w:proofErr w:type="spellStart"/>
            <w:r w:rsidRPr="00E76E73">
              <w:rPr>
                <w:szCs w:val="17"/>
              </w:rPr>
              <w:t>Zanni</w:t>
            </w:r>
            <w:proofErr w:type="spellEnd"/>
            <w:r w:rsidRPr="00E76E73">
              <w:rPr>
                <w:szCs w:val="17"/>
              </w:rPr>
              <w:t>, Grant, Rinaldi</w:t>
            </w:r>
          </w:p>
        </w:tc>
        <w:tc>
          <w:tcPr>
            <w:tcW w:w="2543" w:type="dxa"/>
            <w:shd w:val="clear" w:color="auto" w:fill="auto"/>
            <w:vAlign w:val="center"/>
          </w:tcPr>
          <w:p w14:paraId="14BCF300" w14:textId="3DC672B5" w:rsidR="00C37A6F" w:rsidRPr="00E07ECB" w:rsidRDefault="00C37A6F" w:rsidP="00C37A6F">
            <w:pPr>
              <w:jc w:val="center"/>
              <w:rPr>
                <w:bCs/>
                <w:szCs w:val="17"/>
              </w:rPr>
            </w:pPr>
            <w:r w:rsidRPr="009565CE">
              <w:rPr>
                <w:bCs/>
                <w:szCs w:val="17"/>
              </w:rPr>
              <w:t>Sustainable finance</w:t>
            </w:r>
          </w:p>
        </w:tc>
        <w:tc>
          <w:tcPr>
            <w:tcW w:w="1293" w:type="dxa"/>
            <w:shd w:val="clear" w:color="auto" w:fill="auto"/>
            <w:vAlign w:val="center"/>
          </w:tcPr>
          <w:p w14:paraId="2FC316BA" w14:textId="69F7F8DF" w:rsidR="00C37A6F" w:rsidRPr="00E07ECB" w:rsidRDefault="00731E59" w:rsidP="00C37A6F">
            <w:pPr>
              <w:jc w:val="center"/>
              <w:rPr>
                <w:bCs/>
                <w:szCs w:val="17"/>
              </w:rPr>
            </w:pPr>
            <w:r w:rsidRPr="00E76E73">
              <w:rPr>
                <w:b/>
                <w:color w:val="808080" w:themeColor="background1" w:themeShade="80"/>
                <w:szCs w:val="17"/>
              </w:rPr>
              <w:t>Neutral</w:t>
            </w:r>
          </w:p>
        </w:tc>
      </w:tr>
      <w:tr w:rsidR="00C37A6F" w:rsidRPr="00D43554" w14:paraId="19FF2859" w14:textId="77777777" w:rsidTr="00424768">
        <w:trPr>
          <w:trHeight w:val="499"/>
        </w:trPr>
        <w:tc>
          <w:tcPr>
            <w:tcW w:w="689" w:type="dxa"/>
            <w:shd w:val="clear" w:color="auto" w:fill="auto"/>
            <w:vAlign w:val="center"/>
          </w:tcPr>
          <w:p w14:paraId="3DB21D48" w14:textId="3430FD4C" w:rsidR="00C37A6F" w:rsidRDefault="00C37A6F" w:rsidP="00C37A6F">
            <w:pPr>
              <w:jc w:val="center"/>
              <w:rPr>
                <w:bCs/>
                <w:szCs w:val="17"/>
              </w:rPr>
            </w:pPr>
            <w:r>
              <w:rPr>
                <w:bCs/>
                <w:szCs w:val="17"/>
              </w:rPr>
              <w:t>292</w:t>
            </w:r>
          </w:p>
        </w:tc>
        <w:tc>
          <w:tcPr>
            <w:tcW w:w="1909" w:type="dxa"/>
            <w:shd w:val="clear" w:color="auto" w:fill="auto"/>
            <w:vAlign w:val="center"/>
          </w:tcPr>
          <w:p w14:paraId="751A3502" w14:textId="56721C1B" w:rsidR="00C37A6F" w:rsidRPr="009D502B" w:rsidRDefault="00C37A6F" w:rsidP="00C37A6F">
            <w:pPr>
              <w:jc w:val="center"/>
              <w:rPr>
                <w:bCs/>
                <w:szCs w:val="17"/>
              </w:rPr>
            </w:pPr>
            <w:r w:rsidRPr="004C662E">
              <w:rPr>
                <w:bCs/>
                <w:szCs w:val="17"/>
              </w:rPr>
              <w:t>Recital 78</w:t>
            </w:r>
          </w:p>
        </w:tc>
        <w:tc>
          <w:tcPr>
            <w:tcW w:w="6116" w:type="dxa"/>
            <w:shd w:val="clear" w:color="auto" w:fill="auto"/>
          </w:tcPr>
          <w:p w14:paraId="14BB92CC" w14:textId="77777777" w:rsidR="00686C59" w:rsidRDefault="0026705B" w:rsidP="00C37A6F">
            <w:pPr>
              <w:jc w:val="left"/>
              <w:rPr>
                <w:bCs/>
                <w:szCs w:val="17"/>
              </w:rPr>
            </w:pPr>
            <w:r w:rsidRPr="0026705B">
              <w:rPr>
                <w:bCs/>
                <w:szCs w:val="17"/>
              </w:rPr>
              <w:t>If and once sufficiently meaningful, high-quality, comparable scientific data becomes available, EIOPA should be given a mandate to monitor and report on the potential evidence on the risk profile of environmentally or socially harmful investments</w:t>
            </w:r>
          </w:p>
          <w:p w14:paraId="09709679" w14:textId="64CF8612" w:rsidR="00C37A6F" w:rsidRDefault="00C37A6F" w:rsidP="00C37A6F">
            <w:pPr>
              <w:jc w:val="left"/>
              <w:rPr>
                <w:bCs/>
                <w:szCs w:val="17"/>
              </w:rPr>
            </w:pPr>
            <w:r>
              <w:rPr>
                <w:bCs/>
                <w:szCs w:val="17"/>
              </w:rPr>
              <w:t xml:space="preserve">If appropriate </w:t>
            </w:r>
            <w:r w:rsidRPr="008A5580">
              <w:rPr>
                <w:bCs/>
                <w:szCs w:val="17"/>
              </w:rPr>
              <w:t xml:space="preserve">EIOPA’s report should advise on changes to </w:t>
            </w:r>
            <w:r w:rsidR="0029327F">
              <w:rPr>
                <w:bCs/>
                <w:szCs w:val="17"/>
              </w:rPr>
              <w:t>SII directive</w:t>
            </w:r>
            <w:r w:rsidRPr="008A5580">
              <w:rPr>
                <w:bCs/>
                <w:szCs w:val="17"/>
              </w:rPr>
              <w:t>, as to whether the SCR remains prudent for environmentally or socially harmful investments.</w:t>
            </w:r>
          </w:p>
        </w:tc>
        <w:tc>
          <w:tcPr>
            <w:tcW w:w="1909" w:type="dxa"/>
            <w:shd w:val="clear" w:color="auto" w:fill="auto"/>
            <w:vAlign w:val="center"/>
          </w:tcPr>
          <w:p w14:paraId="3F496677" w14:textId="78AF8F41" w:rsidR="00C37A6F" w:rsidRPr="00E76E73" w:rsidRDefault="00C37A6F" w:rsidP="00C37A6F">
            <w:pPr>
              <w:jc w:val="center"/>
              <w:rPr>
                <w:szCs w:val="17"/>
              </w:rPr>
            </w:pPr>
            <w:r w:rsidRPr="00E76E73">
              <w:rPr>
                <w:szCs w:val="17"/>
              </w:rPr>
              <w:t>Castaldo</w:t>
            </w:r>
          </w:p>
        </w:tc>
        <w:tc>
          <w:tcPr>
            <w:tcW w:w="2543" w:type="dxa"/>
            <w:shd w:val="clear" w:color="auto" w:fill="auto"/>
            <w:vAlign w:val="center"/>
          </w:tcPr>
          <w:p w14:paraId="7DECBA25" w14:textId="19859FB7" w:rsidR="00C37A6F" w:rsidRPr="00E07ECB" w:rsidRDefault="00C37A6F" w:rsidP="00C37A6F">
            <w:pPr>
              <w:jc w:val="center"/>
              <w:rPr>
                <w:bCs/>
                <w:szCs w:val="17"/>
              </w:rPr>
            </w:pPr>
            <w:r w:rsidRPr="009565CE">
              <w:rPr>
                <w:bCs/>
                <w:szCs w:val="17"/>
              </w:rPr>
              <w:t>Sustainable finance</w:t>
            </w:r>
          </w:p>
        </w:tc>
        <w:tc>
          <w:tcPr>
            <w:tcW w:w="1293" w:type="dxa"/>
            <w:shd w:val="clear" w:color="auto" w:fill="auto"/>
            <w:vAlign w:val="center"/>
          </w:tcPr>
          <w:p w14:paraId="7DAE1240" w14:textId="06FDBE83" w:rsidR="00C37A6F" w:rsidRPr="00E07ECB" w:rsidRDefault="00B849E6" w:rsidP="00C37A6F">
            <w:pPr>
              <w:jc w:val="center"/>
              <w:rPr>
                <w:bCs/>
                <w:szCs w:val="17"/>
              </w:rPr>
            </w:pPr>
            <w:r w:rsidRPr="00E76E73">
              <w:rPr>
                <w:b/>
                <w:color w:val="808080" w:themeColor="background1" w:themeShade="80"/>
                <w:szCs w:val="17"/>
              </w:rPr>
              <w:t>Neutral</w:t>
            </w:r>
          </w:p>
        </w:tc>
      </w:tr>
      <w:tr w:rsidR="00C37A6F" w:rsidRPr="00D43554" w14:paraId="0A759BF2" w14:textId="77777777" w:rsidTr="00424768">
        <w:trPr>
          <w:trHeight w:val="499"/>
        </w:trPr>
        <w:tc>
          <w:tcPr>
            <w:tcW w:w="689" w:type="dxa"/>
            <w:shd w:val="clear" w:color="auto" w:fill="auto"/>
            <w:vAlign w:val="center"/>
          </w:tcPr>
          <w:p w14:paraId="6CBBA4FD" w14:textId="021797F2" w:rsidR="00C37A6F" w:rsidRDefault="00C37A6F" w:rsidP="00C37A6F">
            <w:pPr>
              <w:jc w:val="center"/>
              <w:rPr>
                <w:bCs/>
                <w:szCs w:val="17"/>
              </w:rPr>
            </w:pPr>
            <w:r>
              <w:rPr>
                <w:bCs/>
                <w:szCs w:val="17"/>
              </w:rPr>
              <w:t>293</w:t>
            </w:r>
          </w:p>
        </w:tc>
        <w:tc>
          <w:tcPr>
            <w:tcW w:w="1909" w:type="dxa"/>
            <w:shd w:val="clear" w:color="auto" w:fill="auto"/>
            <w:vAlign w:val="center"/>
          </w:tcPr>
          <w:p w14:paraId="75B562C3" w14:textId="5E2CBE9B" w:rsidR="00C37A6F" w:rsidRPr="009D502B" w:rsidRDefault="00C37A6F" w:rsidP="00C37A6F">
            <w:pPr>
              <w:jc w:val="center"/>
              <w:rPr>
                <w:bCs/>
                <w:szCs w:val="17"/>
              </w:rPr>
            </w:pPr>
            <w:r w:rsidRPr="00F226B5">
              <w:rPr>
                <w:bCs/>
                <w:szCs w:val="17"/>
              </w:rPr>
              <w:t>Recital 78</w:t>
            </w:r>
          </w:p>
        </w:tc>
        <w:tc>
          <w:tcPr>
            <w:tcW w:w="6116" w:type="dxa"/>
            <w:shd w:val="clear" w:color="auto" w:fill="auto"/>
          </w:tcPr>
          <w:p w14:paraId="3698B619" w14:textId="2FE43339" w:rsidR="00C37A6F" w:rsidRDefault="0071509A" w:rsidP="00C37A6F">
            <w:pPr>
              <w:jc w:val="left"/>
              <w:rPr>
                <w:bCs/>
                <w:szCs w:val="17"/>
              </w:rPr>
            </w:pPr>
            <w:r>
              <w:rPr>
                <w:bCs/>
                <w:szCs w:val="17"/>
              </w:rPr>
              <w:t>It’s clear that certain fossil intensive assets will become stranded. Therefore,</w:t>
            </w:r>
            <w:r w:rsidR="00F17180">
              <w:rPr>
                <w:bCs/>
                <w:szCs w:val="17"/>
              </w:rPr>
              <w:t xml:space="preserve"> u</w:t>
            </w:r>
            <w:r w:rsidR="00C37A6F">
              <w:rPr>
                <w:bCs/>
                <w:szCs w:val="17"/>
              </w:rPr>
              <w:t xml:space="preserve">ndertakings </w:t>
            </w:r>
            <w:r w:rsidR="00C63BA4">
              <w:rPr>
                <w:bCs/>
                <w:szCs w:val="17"/>
              </w:rPr>
              <w:t>shall</w:t>
            </w:r>
            <w:r w:rsidR="00C37A6F">
              <w:rPr>
                <w:bCs/>
                <w:szCs w:val="17"/>
              </w:rPr>
              <w:t xml:space="preserve"> </w:t>
            </w:r>
            <w:r w:rsidR="00C63BA4">
              <w:rPr>
                <w:bCs/>
                <w:szCs w:val="17"/>
              </w:rPr>
              <w:t>develop and implement</w:t>
            </w:r>
            <w:r w:rsidR="00C37A6F">
              <w:rPr>
                <w:bCs/>
                <w:szCs w:val="17"/>
              </w:rPr>
              <w:t xml:space="preserve"> transitions plans to adhere </w:t>
            </w:r>
            <w:r w:rsidR="00C37A6F" w:rsidRPr="00187F7F">
              <w:rPr>
                <w:bCs/>
                <w:szCs w:val="17"/>
              </w:rPr>
              <w:t xml:space="preserve">EU's Climate </w:t>
            </w:r>
            <w:proofErr w:type="gramStart"/>
            <w:r w:rsidR="00C37A6F" w:rsidRPr="00187F7F">
              <w:rPr>
                <w:bCs/>
                <w:szCs w:val="17"/>
              </w:rPr>
              <w:t>Law</w:t>
            </w:r>
            <w:r w:rsidR="00293AD9">
              <w:rPr>
                <w:bCs/>
                <w:szCs w:val="17"/>
              </w:rPr>
              <w:t xml:space="preserve">. </w:t>
            </w:r>
            <w:r w:rsidR="00C37A6F">
              <w:rPr>
                <w:bCs/>
                <w:szCs w:val="17"/>
              </w:rPr>
              <w:t xml:space="preserve"> .</w:t>
            </w:r>
            <w:proofErr w:type="gramEnd"/>
          </w:p>
          <w:p w14:paraId="6482BA6C" w14:textId="77777777" w:rsidR="007B5DB6" w:rsidRDefault="007B5DB6" w:rsidP="00C37A6F">
            <w:pPr>
              <w:jc w:val="left"/>
              <w:rPr>
                <w:bCs/>
                <w:szCs w:val="17"/>
              </w:rPr>
            </w:pPr>
          </w:p>
          <w:p w14:paraId="7A0527A6" w14:textId="77777777" w:rsidR="007B5DB6" w:rsidRDefault="007B5DB6" w:rsidP="00C37A6F">
            <w:pPr>
              <w:jc w:val="left"/>
              <w:rPr>
                <w:bCs/>
                <w:szCs w:val="17"/>
              </w:rPr>
            </w:pPr>
            <w:r w:rsidRPr="007B5DB6">
              <w:rPr>
                <w:bCs/>
                <w:szCs w:val="17"/>
              </w:rPr>
              <w:t>Significant divergences from these transition plans should indicate higher risk of exposure to stranded assets and therefore have an impact on an undertaking's capital requirements.</w:t>
            </w:r>
          </w:p>
          <w:p w14:paraId="52300426" w14:textId="77777777" w:rsidR="00293AD9" w:rsidRDefault="00293AD9" w:rsidP="00C37A6F">
            <w:pPr>
              <w:jc w:val="left"/>
              <w:rPr>
                <w:bCs/>
                <w:szCs w:val="17"/>
              </w:rPr>
            </w:pPr>
          </w:p>
          <w:p w14:paraId="4A9ABF8F" w14:textId="351C36E8" w:rsidR="00C37A6F" w:rsidRDefault="00293AD9" w:rsidP="00C37A6F">
            <w:pPr>
              <w:jc w:val="left"/>
              <w:rPr>
                <w:bCs/>
                <w:szCs w:val="17"/>
              </w:rPr>
            </w:pPr>
            <w:r>
              <w:rPr>
                <w:bCs/>
                <w:szCs w:val="17"/>
              </w:rPr>
              <w:t>Removal of EIOPA mandates</w:t>
            </w:r>
          </w:p>
        </w:tc>
        <w:tc>
          <w:tcPr>
            <w:tcW w:w="1909" w:type="dxa"/>
            <w:shd w:val="clear" w:color="auto" w:fill="auto"/>
            <w:vAlign w:val="center"/>
          </w:tcPr>
          <w:p w14:paraId="2DB3C05E" w14:textId="12587543" w:rsidR="00C37A6F" w:rsidRPr="00E76E73" w:rsidRDefault="00C37A6F" w:rsidP="00C37A6F">
            <w:pPr>
              <w:jc w:val="center"/>
              <w:rPr>
                <w:szCs w:val="17"/>
              </w:rPr>
            </w:pPr>
            <w:r w:rsidRPr="00E76E73">
              <w:rPr>
                <w:szCs w:val="17"/>
              </w:rPr>
              <w:t>Tang</w:t>
            </w:r>
          </w:p>
        </w:tc>
        <w:tc>
          <w:tcPr>
            <w:tcW w:w="2543" w:type="dxa"/>
            <w:shd w:val="clear" w:color="auto" w:fill="auto"/>
            <w:vAlign w:val="center"/>
          </w:tcPr>
          <w:p w14:paraId="63E7B3CF" w14:textId="0224837D" w:rsidR="00C37A6F" w:rsidRPr="00E07ECB" w:rsidRDefault="00C37A6F" w:rsidP="00C37A6F">
            <w:pPr>
              <w:jc w:val="center"/>
              <w:rPr>
                <w:bCs/>
                <w:szCs w:val="17"/>
              </w:rPr>
            </w:pPr>
            <w:r w:rsidRPr="009565CE">
              <w:rPr>
                <w:bCs/>
                <w:szCs w:val="17"/>
              </w:rPr>
              <w:t>Sustainable finance</w:t>
            </w:r>
            <w:r w:rsidR="00293AD9">
              <w:rPr>
                <w:bCs/>
                <w:szCs w:val="17"/>
              </w:rPr>
              <w:t>/EIOPA powers</w:t>
            </w:r>
            <w:r w:rsidR="00134207">
              <w:rPr>
                <w:bCs/>
                <w:szCs w:val="17"/>
              </w:rPr>
              <w:t>/ transition plan</w:t>
            </w:r>
          </w:p>
        </w:tc>
        <w:tc>
          <w:tcPr>
            <w:tcW w:w="1293" w:type="dxa"/>
            <w:shd w:val="clear" w:color="auto" w:fill="auto"/>
            <w:vAlign w:val="center"/>
          </w:tcPr>
          <w:p w14:paraId="0462D0DE" w14:textId="61B71886" w:rsidR="00B7017E" w:rsidRDefault="005250BF" w:rsidP="00C37A6F">
            <w:pPr>
              <w:jc w:val="center"/>
              <w:rPr>
                <w:b/>
                <w:color w:val="F79646" w:themeColor="accent6"/>
                <w:szCs w:val="17"/>
              </w:rPr>
            </w:pPr>
            <w:r w:rsidRPr="00E76E73">
              <w:rPr>
                <w:b/>
                <w:color w:val="808080" w:themeColor="background1" w:themeShade="80"/>
                <w:szCs w:val="17"/>
              </w:rPr>
              <w:t>Neutral</w:t>
            </w:r>
            <w:r w:rsidRPr="002B3A44" w:rsidDel="007B5DB6">
              <w:rPr>
                <w:b/>
                <w:color w:val="F79646" w:themeColor="accent6"/>
                <w:szCs w:val="17"/>
              </w:rPr>
              <w:t xml:space="preserve"> </w:t>
            </w:r>
          </w:p>
          <w:p w14:paraId="4AE9E7FC" w14:textId="608DF06A" w:rsidR="00C37A6F" w:rsidRPr="00E07ECB" w:rsidRDefault="00C37A6F" w:rsidP="00C37A6F">
            <w:pPr>
              <w:jc w:val="center"/>
              <w:rPr>
                <w:bCs/>
                <w:szCs w:val="17"/>
              </w:rPr>
            </w:pPr>
          </w:p>
        </w:tc>
      </w:tr>
      <w:tr w:rsidR="00C37A6F" w:rsidRPr="00D43554" w14:paraId="117287AA" w14:textId="77777777" w:rsidTr="00424768">
        <w:trPr>
          <w:trHeight w:val="499"/>
        </w:trPr>
        <w:tc>
          <w:tcPr>
            <w:tcW w:w="689" w:type="dxa"/>
            <w:shd w:val="clear" w:color="auto" w:fill="auto"/>
            <w:vAlign w:val="center"/>
          </w:tcPr>
          <w:p w14:paraId="5CEC4DE2" w14:textId="66973A51" w:rsidR="00C37A6F" w:rsidRDefault="00C37A6F" w:rsidP="00C37A6F">
            <w:pPr>
              <w:jc w:val="center"/>
              <w:rPr>
                <w:bCs/>
                <w:szCs w:val="17"/>
              </w:rPr>
            </w:pPr>
            <w:r>
              <w:rPr>
                <w:bCs/>
                <w:szCs w:val="17"/>
              </w:rPr>
              <w:t>294</w:t>
            </w:r>
          </w:p>
        </w:tc>
        <w:tc>
          <w:tcPr>
            <w:tcW w:w="1909" w:type="dxa"/>
            <w:shd w:val="clear" w:color="auto" w:fill="auto"/>
            <w:vAlign w:val="center"/>
          </w:tcPr>
          <w:p w14:paraId="7074AF11" w14:textId="52A5315B" w:rsidR="00C37A6F" w:rsidRPr="009D502B" w:rsidRDefault="00C37A6F" w:rsidP="00C37A6F">
            <w:pPr>
              <w:jc w:val="center"/>
              <w:rPr>
                <w:bCs/>
                <w:szCs w:val="17"/>
              </w:rPr>
            </w:pPr>
            <w:r w:rsidRPr="00726425">
              <w:rPr>
                <w:bCs/>
                <w:szCs w:val="17"/>
              </w:rPr>
              <w:t>Recital 78</w:t>
            </w:r>
          </w:p>
        </w:tc>
        <w:tc>
          <w:tcPr>
            <w:tcW w:w="6116" w:type="dxa"/>
            <w:shd w:val="clear" w:color="auto" w:fill="auto"/>
          </w:tcPr>
          <w:p w14:paraId="3A7CCA67" w14:textId="39180EB2" w:rsidR="00293AD9" w:rsidRDefault="00C37A6F" w:rsidP="00951389">
            <w:pPr>
              <w:jc w:val="left"/>
              <w:rPr>
                <w:bCs/>
                <w:szCs w:val="17"/>
              </w:rPr>
            </w:pPr>
            <w:r>
              <w:rPr>
                <w:bCs/>
                <w:szCs w:val="17"/>
              </w:rPr>
              <w:t xml:space="preserve">EIOPA monitor and report on the </w:t>
            </w:r>
            <w:r w:rsidRPr="00EE2D9F">
              <w:rPr>
                <w:bCs/>
                <w:szCs w:val="17"/>
              </w:rPr>
              <w:t>evidence on the risk profile of environmentally or socially harmful investments</w:t>
            </w:r>
            <w:r>
              <w:rPr>
                <w:bCs/>
                <w:szCs w:val="17"/>
              </w:rPr>
              <w:t xml:space="preserve"> should be done by </w:t>
            </w:r>
            <w:r w:rsidRPr="000D4029">
              <w:rPr>
                <w:b/>
                <w:szCs w:val="17"/>
              </w:rPr>
              <w:t>June</w:t>
            </w:r>
            <w:r>
              <w:rPr>
                <w:bCs/>
                <w:szCs w:val="17"/>
              </w:rPr>
              <w:t xml:space="preserve"> 2023 (instead of 2023).</w:t>
            </w:r>
          </w:p>
          <w:p w14:paraId="34DF2783" w14:textId="6AF89861" w:rsidR="003D3EF4" w:rsidRDefault="00C37A6F" w:rsidP="00951389">
            <w:pPr>
              <w:jc w:val="left"/>
              <w:rPr>
                <w:bCs/>
                <w:szCs w:val="17"/>
              </w:rPr>
            </w:pPr>
            <w:r>
              <w:rPr>
                <w:bCs/>
                <w:szCs w:val="17"/>
              </w:rPr>
              <w:t xml:space="preserve">The report should </w:t>
            </w:r>
            <w:r w:rsidRPr="00963F19">
              <w:rPr>
                <w:bCs/>
                <w:szCs w:val="17"/>
              </w:rPr>
              <w:t>assess whether a dedicated prudential treatment of exposures related to assets or insurance liabilities associated substantially with environmental or social objectives would be justified.</w:t>
            </w:r>
          </w:p>
          <w:p w14:paraId="71F54029" w14:textId="657DBCB0" w:rsidR="00555A73" w:rsidRDefault="00830286" w:rsidP="00951389">
            <w:pPr>
              <w:jc w:val="left"/>
              <w:rPr>
                <w:bCs/>
                <w:szCs w:val="17"/>
              </w:rPr>
            </w:pPr>
            <w:r>
              <w:rPr>
                <w:bCs/>
                <w:szCs w:val="17"/>
              </w:rPr>
              <w:t xml:space="preserve">Mandate for EIOPA to inquire </w:t>
            </w:r>
            <w:r w:rsidR="00273D79">
              <w:rPr>
                <w:bCs/>
                <w:szCs w:val="17"/>
              </w:rPr>
              <w:t>ap</w:t>
            </w:r>
            <w:r w:rsidR="00D22B1B">
              <w:rPr>
                <w:bCs/>
                <w:szCs w:val="17"/>
              </w:rPr>
              <w:t xml:space="preserve">propriateness for </w:t>
            </w:r>
            <w:r w:rsidR="0033242E">
              <w:rPr>
                <w:bCs/>
                <w:szCs w:val="17"/>
              </w:rPr>
              <w:t xml:space="preserve">taking into account </w:t>
            </w:r>
            <w:r w:rsidR="00555A73">
              <w:rPr>
                <w:bCs/>
                <w:szCs w:val="17"/>
              </w:rPr>
              <w:t xml:space="preserve">environmental risks, including </w:t>
            </w:r>
            <w:r w:rsidR="00C37A6F" w:rsidRPr="000D4029">
              <w:rPr>
                <w:b/>
                <w:szCs w:val="17"/>
              </w:rPr>
              <w:t>biodiversity loss</w:t>
            </w:r>
            <w:r w:rsidR="002E1D76" w:rsidRPr="000D4029">
              <w:rPr>
                <w:b/>
                <w:szCs w:val="17"/>
              </w:rPr>
              <w:t>-related</w:t>
            </w:r>
            <w:r w:rsidR="00555A73">
              <w:rPr>
                <w:b/>
                <w:szCs w:val="17"/>
              </w:rPr>
              <w:t xml:space="preserve">. </w:t>
            </w:r>
            <w:r w:rsidR="00C37A6F">
              <w:rPr>
                <w:bCs/>
                <w:szCs w:val="17"/>
              </w:rPr>
              <w:t xml:space="preserve"> </w:t>
            </w:r>
          </w:p>
          <w:p w14:paraId="0E30716D" w14:textId="77777777" w:rsidR="00555A73" w:rsidRDefault="00555A73" w:rsidP="00951389">
            <w:pPr>
              <w:jc w:val="left"/>
              <w:rPr>
                <w:bCs/>
                <w:szCs w:val="17"/>
              </w:rPr>
            </w:pPr>
          </w:p>
          <w:p w14:paraId="476D0275" w14:textId="09C0D34F" w:rsidR="00C37A6F" w:rsidRDefault="00C37A6F" w:rsidP="00951389">
            <w:pPr>
              <w:jc w:val="left"/>
              <w:rPr>
                <w:bCs/>
                <w:szCs w:val="17"/>
              </w:rPr>
            </w:pPr>
            <w:r w:rsidRPr="00A5765B">
              <w:rPr>
                <w:bCs/>
                <w:szCs w:val="17"/>
              </w:rPr>
              <w:t>Prior to the publication of such a report, undertakings’ assessment of market risk should already reflect sustainability risks stemming from climate change</w:t>
            </w:r>
            <w:r w:rsidR="00D338D1">
              <w:rPr>
                <w:bCs/>
                <w:szCs w:val="17"/>
              </w:rPr>
              <w:t>.</w:t>
            </w:r>
            <w:r w:rsidR="00D338D1" w:rsidRPr="00E76E73">
              <w:rPr>
                <w:szCs w:val="17"/>
              </w:rPr>
              <w:t xml:space="preserve"> </w:t>
            </w:r>
            <w:r w:rsidR="00D338D1" w:rsidRPr="00D338D1">
              <w:rPr>
                <w:bCs/>
                <w:szCs w:val="17"/>
              </w:rPr>
              <w:t>The assessment should include the impact of such risk on the undertaking</w:t>
            </w:r>
            <w:r w:rsidR="00232EFE">
              <w:rPr>
                <w:bCs/>
                <w:szCs w:val="17"/>
              </w:rPr>
              <w:t>/</w:t>
            </w:r>
            <w:r w:rsidR="00D338D1" w:rsidRPr="00D338D1">
              <w:rPr>
                <w:bCs/>
                <w:szCs w:val="17"/>
              </w:rPr>
              <w:t>customers</w:t>
            </w:r>
            <w:r w:rsidR="00232EFE">
              <w:rPr>
                <w:bCs/>
                <w:szCs w:val="17"/>
              </w:rPr>
              <w:t>/</w:t>
            </w:r>
            <w:r w:rsidR="00D338D1" w:rsidRPr="00D338D1">
              <w:rPr>
                <w:bCs/>
                <w:szCs w:val="17"/>
              </w:rPr>
              <w:t>assets</w:t>
            </w:r>
            <w:r w:rsidR="00232EFE">
              <w:rPr>
                <w:bCs/>
                <w:szCs w:val="17"/>
              </w:rPr>
              <w:t xml:space="preserve"> invested. A</w:t>
            </w:r>
            <w:r w:rsidR="00D338D1" w:rsidRPr="00D338D1">
              <w:rPr>
                <w:bCs/>
                <w:szCs w:val="17"/>
              </w:rPr>
              <w:t xml:space="preserve">ny exposure to fossil fuel sectors </w:t>
            </w:r>
            <w:r w:rsidR="00232EFE">
              <w:rPr>
                <w:bCs/>
                <w:szCs w:val="17"/>
              </w:rPr>
              <w:t>should be considered</w:t>
            </w:r>
            <w:r w:rsidR="00D338D1" w:rsidRPr="00D338D1">
              <w:rPr>
                <w:bCs/>
                <w:szCs w:val="17"/>
              </w:rPr>
              <w:t xml:space="preserve"> as an exposure to the most volatile asset of each category.</w:t>
            </w:r>
          </w:p>
        </w:tc>
        <w:tc>
          <w:tcPr>
            <w:tcW w:w="1909" w:type="dxa"/>
            <w:shd w:val="clear" w:color="auto" w:fill="auto"/>
            <w:vAlign w:val="center"/>
          </w:tcPr>
          <w:p w14:paraId="3C040FE8" w14:textId="4C94F184" w:rsidR="00C37A6F" w:rsidRPr="00E76E73" w:rsidRDefault="00C37A6F" w:rsidP="00C37A6F">
            <w:pPr>
              <w:jc w:val="center"/>
              <w:rPr>
                <w:szCs w:val="17"/>
              </w:rPr>
            </w:pPr>
            <w:r w:rsidRPr="00E76E73">
              <w:rPr>
                <w:szCs w:val="17"/>
              </w:rPr>
              <w:t>Hahn</w:t>
            </w:r>
          </w:p>
        </w:tc>
        <w:tc>
          <w:tcPr>
            <w:tcW w:w="2543" w:type="dxa"/>
            <w:shd w:val="clear" w:color="auto" w:fill="auto"/>
            <w:vAlign w:val="center"/>
          </w:tcPr>
          <w:p w14:paraId="02E3031D" w14:textId="5169512C" w:rsidR="00C37A6F" w:rsidRPr="00E07ECB" w:rsidRDefault="00C37A6F" w:rsidP="00C37A6F">
            <w:pPr>
              <w:jc w:val="center"/>
              <w:rPr>
                <w:bCs/>
                <w:szCs w:val="17"/>
              </w:rPr>
            </w:pPr>
            <w:r w:rsidRPr="009565CE">
              <w:rPr>
                <w:bCs/>
                <w:szCs w:val="17"/>
              </w:rPr>
              <w:t>Sustainable finance</w:t>
            </w:r>
            <w:r>
              <w:rPr>
                <w:bCs/>
                <w:szCs w:val="17"/>
              </w:rPr>
              <w:t>/EIOPA</w:t>
            </w:r>
          </w:p>
        </w:tc>
        <w:tc>
          <w:tcPr>
            <w:tcW w:w="1293" w:type="dxa"/>
            <w:shd w:val="clear" w:color="auto" w:fill="auto"/>
            <w:vAlign w:val="center"/>
          </w:tcPr>
          <w:p w14:paraId="59FB1C1E" w14:textId="23BC9284" w:rsidR="00C37A6F" w:rsidRPr="00E07ECB" w:rsidRDefault="007603B6" w:rsidP="00C37A6F">
            <w:pPr>
              <w:jc w:val="center"/>
              <w:rPr>
                <w:bCs/>
                <w:szCs w:val="17"/>
              </w:rPr>
            </w:pPr>
            <w:r w:rsidRPr="00F63B3C">
              <w:rPr>
                <w:b/>
                <w:color w:val="808080" w:themeColor="background1" w:themeShade="80"/>
                <w:szCs w:val="17"/>
              </w:rPr>
              <w:t>Neutral</w:t>
            </w:r>
          </w:p>
        </w:tc>
      </w:tr>
      <w:tr w:rsidR="00C37A6F" w:rsidRPr="00D43554" w14:paraId="52B202B3" w14:textId="77777777" w:rsidTr="00424768">
        <w:trPr>
          <w:trHeight w:val="499"/>
        </w:trPr>
        <w:tc>
          <w:tcPr>
            <w:tcW w:w="689" w:type="dxa"/>
            <w:shd w:val="clear" w:color="auto" w:fill="auto"/>
            <w:vAlign w:val="center"/>
          </w:tcPr>
          <w:p w14:paraId="71CB4A4A" w14:textId="09023431" w:rsidR="00C37A6F" w:rsidRDefault="00C37A6F" w:rsidP="00C37A6F">
            <w:pPr>
              <w:jc w:val="center"/>
              <w:rPr>
                <w:bCs/>
                <w:szCs w:val="17"/>
              </w:rPr>
            </w:pPr>
            <w:r>
              <w:rPr>
                <w:bCs/>
                <w:szCs w:val="17"/>
              </w:rPr>
              <w:lastRenderedPageBreak/>
              <w:t>295</w:t>
            </w:r>
          </w:p>
        </w:tc>
        <w:tc>
          <w:tcPr>
            <w:tcW w:w="1909" w:type="dxa"/>
            <w:shd w:val="clear" w:color="auto" w:fill="auto"/>
            <w:vAlign w:val="center"/>
          </w:tcPr>
          <w:p w14:paraId="1EEDE84E" w14:textId="3498EA1C" w:rsidR="00C37A6F" w:rsidRPr="009D502B" w:rsidRDefault="00C37A6F" w:rsidP="00C37A6F">
            <w:pPr>
              <w:jc w:val="center"/>
              <w:rPr>
                <w:bCs/>
                <w:szCs w:val="17"/>
              </w:rPr>
            </w:pPr>
            <w:r w:rsidRPr="00726425">
              <w:rPr>
                <w:bCs/>
                <w:szCs w:val="17"/>
              </w:rPr>
              <w:t>Recital 78</w:t>
            </w:r>
          </w:p>
        </w:tc>
        <w:tc>
          <w:tcPr>
            <w:tcW w:w="6116" w:type="dxa"/>
            <w:shd w:val="clear" w:color="auto" w:fill="auto"/>
          </w:tcPr>
          <w:p w14:paraId="27F5AFB6" w14:textId="191192F6" w:rsidR="00C37A6F" w:rsidRDefault="00C37A6F" w:rsidP="00951389">
            <w:pPr>
              <w:jc w:val="left"/>
              <w:rPr>
                <w:bCs/>
                <w:szCs w:val="17"/>
              </w:rPr>
            </w:pPr>
            <w:r w:rsidRPr="000C2A6E">
              <w:rPr>
                <w:bCs/>
                <w:szCs w:val="17"/>
              </w:rPr>
              <w:t xml:space="preserve">EIOPA inquire whether sustainable investments exhibit better recovery rates as compared to ordinary investments and whether this could be integrated in the way the </w:t>
            </w:r>
            <w:r w:rsidR="00F12D24">
              <w:rPr>
                <w:bCs/>
                <w:szCs w:val="17"/>
              </w:rPr>
              <w:t>MA/VA</w:t>
            </w:r>
          </w:p>
        </w:tc>
        <w:tc>
          <w:tcPr>
            <w:tcW w:w="1909" w:type="dxa"/>
            <w:shd w:val="clear" w:color="auto" w:fill="auto"/>
            <w:vAlign w:val="center"/>
          </w:tcPr>
          <w:p w14:paraId="17629583" w14:textId="3A8E4C2A" w:rsidR="00C37A6F" w:rsidRPr="00E76E73" w:rsidRDefault="00C37A6F" w:rsidP="00C37A6F">
            <w:pPr>
              <w:jc w:val="center"/>
              <w:rPr>
                <w:szCs w:val="17"/>
              </w:rPr>
            </w:pPr>
            <w:r w:rsidRPr="00E76E73">
              <w:rPr>
                <w:szCs w:val="17"/>
              </w:rPr>
              <w:t>Fernández</w:t>
            </w:r>
          </w:p>
        </w:tc>
        <w:tc>
          <w:tcPr>
            <w:tcW w:w="2543" w:type="dxa"/>
            <w:shd w:val="clear" w:color="auto" w:fill="auto"/>
            <w:vAlign w:val="center"/>
          </w:tcPr>
          <w:p w14:paraId="3C0E8580" w14:textId="5CF7646A" w:rsidR="00C37A6F" w:rsidRPr="00A470F2" w:rsidRDefault="00C37A6F" w:rsidP="00C37A6F">
            <w:pPr>
              <w:jc w:val="center"/>
              <w:rPr>
                <w:szCs w:val="17"/>
                <w:lang w:val="fr-BE"/>
              </w:rPr>
            </w:pPr>
            <w:r w:rsidRPr="00A470F2">
              <w:rPr>
                <w:szCs w:val="17"/>
                <w:lang w:val="fr-BE"/>
              </w:rPr>
              <w:t>Sustainable finance/EIOPA</w:t>
            </w:r>
            <w:r w:rsidR="00F12D24" w:rsidRPr="00A470F2">
              <w:rPr>
                <w:szCs w:val="17"/>
                <w:lang w:val="fr-BE"/>
              </w:rPr>
              <w:t>/VA/MA</w:t>
            </w:r>
          </w:p>
        </w:tc>
        <w:tc>
          <w:tcPr>
            <w:tcW w:w="1293" w:type="dxa"/>
            <w:shd w:val="clear" w:color="auto" w:fill="auto"/>
            <w:vAlign w:val="center"/>
          </w:tcPr>
          <w:p w14:paraId="14246136" w14:textId="27B65A1F" w:rsidR="00C37A6F" w:rsidRPr="00E07ECB" w:rsidRDefault="00C37A6F" w:rsidP="00C37A6F">
            <w:pPr>
              <w:jc w:val="center"/>
              <w:rPr>
                <w:bCs/>
                <w:szCs w:val="17"/>
              </w:rPr>
            </w:pPr>
            <w:r w:rsidRPr="00F63B3C">
              <w:rPr>
                <w:b/>
                <w:color w:val="808080" w:themeColor="background1" w:themeShade="80"/>
                <w:szCs w:val="17"/>
              </w:rPr>
              <w:t>Neutral</w:t>
            </w:r>
          </w:p>
        </w:tc>
      </w:tr>
      <w:tr w:rsidR="00C37A6F" w:rsidRPr="00D43554" w14:paraId="3CDA7C4D" w14:textId="77777777" w:rsidTr="00424768">
        <w:trPr>
          <w:trHeight w:val="499"/>
        </w:trPr>
        <w:tc>
          <w:tcPr>
            <w:tcW w:w="689" w:type="dxa"/>
            <w:shd w:val="clear" w:color="auto" w:fill="auto"/>
            <w:vAlign w:val="center"/>
          </w:tcPr>
          <w:p w14:paraId="718F3971" w14:textId="000CC200" w:rsidR="00C37A6F" w:rsidRDefault="00C37A6F" w:rsidP="00C37A6F">
            <w:pPr>
              <w:jc w:val="center"/>
              <w:rPr>
                <w:bCs/>
                <w:szCs w:val="17"/>
              </w:rPr>
            </w:pPr>
            <w:r>
              <w:rPr>
                <w:bCs/>
                <w:szCs w:val="17"/>
              </w:rPr>
              <w:t>296</w:t>
            </w:r>
          </w:p>
        </w:tc>
        <w:tc>
          <w:tcPr>
            <w:tcW w:w="1909" w:type="dxa"/>
            <w:shd w:val="clear" w:color="auto" w:fill="auto"/>
            <w:vAlign w:val="center"/>
          </w:tcPr>
          <w:p w14:paraId="1E9B8C6E" w14:textId="047B2C35" w:rsidR="00C37A6F" w:rsidRPr="009D502B" w:rsidRDefault="00C37A6F" w:rsidP="00C37A6F">
            <w:pPr>
              <w:jc w:val="center"/>
              <w:rPr>
                <w:bCs/>
                <w:szCs w:val="17"/>
              </w:rPr>
            </w:pPr>
            <w:r w:rsidRPr="00726425">
              <w:rPr>
                <w:bCs/>
                <w:szCs w:val="17"/>
              </w:rPr>
              <w:t>Recital 78</w:t>
            </w:r>
          </w:p>
        </w:tc>
        <w:tc>
          <w:tcPr>
            <w:tcW w:w="6116" w:type="dxa"/>
            <w:shd w:val="clear" w:color="auto" w:fill="auto"/>
          </w:tcPr>
          <w:p w14:paraId="50670C7C" w14:textId="6D4C6BD4" w:rsidR="00C37A6F" w:rsidRDefault="00C37A6F" w:rsidP="00951389">
            <w:pPr>
              <w:jc w:val="left"/>
              <w:rPr>
                <w:bCs/>
                <w:szCs w:val="17"/>
              </w:rPr>
            </w:pPr>
            <w:r>
              <w:rPr>
                <w:bCs/>
                <w:szCs w:val="17"/>
              </w:rPr>
              <w:t xml:space="preserve">Inclusion of fossil fuel-related assets in the EIOPA report </w:t>
            </w:r>
            <w:r w:rsidRPr="007B6BC7">
              <w:rPr>
                <w:bCs/>
                <w:szCs w:val="17"/>
              </w:rPr>
              <w:t>on evidence on the risk profile</w:t>
            </w:r>
            <w:r w:rsidR="00986E52">
              <w:rPr>
                <w:bCs/>
                <w:szCs w:val="17"/>
              </w:rPr>
              <w:t xml:space="preserve"> of enviro</w:t>
            </w:r>
            <w:r w:rsidR="00E84F31">
              <w:rPr>
                <w:bCs/>
                <w:szCs w:val="17"/>
              </w:rPr>
              <w:t>nmentally</w:t>
            </w:r>
            <w:r w:rsidR="004D545F">
              <w:rPr>
                <w:bCs/>
                <w:szCs w:val="17"/>
              </w:rPr>
              <w:t xml:space="preserve"> </w:t>
            </w:r>
            <w:r w:rsidR="00836CE3">
              <w:rPr>
                <w:bCs/>
                <w:szCs w:val="17"/>
              </w:rPr>
              <w:t>or socially</w:t>
            </w:r>
            <w:r w:rsidR="004E658E">
              <w:rPr>
                <w:bCs/>
                <w:szCs w:val="17"/>
              </w:rPr>
              <w:t xml:space="preserve"> harmful investments</w:t>
            </w:r>
          </w:p>
        </w:tc>
        <w:tc>
          <w:tcPr>
            <w:tcW w:w="1909" w:type="dxa"/>
            <w:shd w:val="clear" w:color="auto" w:fill="auto"/>
            <w:vAlign w:val="center"/>
          </w:tcPr>
          <w:p w14:paraId="1C56D78D" w14:textId="4877592D" w:rsidR="00C37A6F" w:rsidRPr="00E76E73" w:rsidRDefault="00C37A6F" w:rsidP="00C37A6F">
            <w:pPr>
              <w:jc w:val="center"/>
              <w:rPr>
                <w:szCs w:val="17"/>
              </w:rPr>
            </w:pPr>
            <w:r w:rsidRPr="00E76E73">
              <w:rPr>
                <w:szCs w:val="17"/>
              </w:rPr>
              <w:t xml:space="preserve">Yon-Courtin, Boyer, </w:t>
            </w:r>
            <w:proofErr w:type="spellStart"/>
            <w:r w:rsidRPr="00E76E73">
              <w:rPr>
                <w:szCs w:val="17"/>
              </w:rPr>
              <w:t>Canfin</w:t>
            </w:r>
            <w:proofErr w:type="spellEnd"/>
            <w:r w:rsidRPr="00E76E73">
              <w:rPr>
                <w:szCs w:val="17"/>
              </w:rPr>
              <w:t>, Durand</w:t>
            </w:r>
          </w:p>
        </w:tc>
        <w:tc>
          <w:tcPr>
            <w:tcW w:w="2543" w:type="dxa"/>
            <w:shd w:val="clear" w:color="auto" w:fill="auto"/>
            <w:vAlign w:val="center"/>
          </w:tcPr>
          <w:p w14:paraId="4A980248" w14:textId="2D699A77" w:rsidR="00C37A6F" w:rsidRPr="00E07ECB" w:rsidRDefault="00C37A6F" w:rsidP="00C37A6F">
            <w:pPr>
              <w:jc w:val="center"/>
              <w:rPr>
                <w:bCs/>
                <w:szCs w:val="17"/>
              </w:rPr>
            </w:pPr>
            <w:r w:rsidRPr="009565CE">
              <w:rPr>
                <w:bCs/>
                <w:szCs w:val="17"/>
              </w:rPr>
              <w:t>Sustainable finance</w:t>
            </w:r>
            <w:r>
              <w:rPr>
                <w:bCs/>
                <w:szCs w:val="17"/>
              </w:rPr>
              <w:t>/EIOPA</w:t>
            </w:r>
          </w:p>
        </w:tc>
        <w:tc>
          <w:tcPr>
            <w:tcW w:w="1293" w:type="dxa"/>
            <w:shd w:val="clear" w:color="auto" w:fill="auto"/>
            <w:vAlign w:val="center"/>
          </w:tcPr>
          <w:p w14:paraId="449C57A0" w14:textId="19AC1B13" w:rsidR="00C37A6F" w:rsidRPr="00E07ECB" w:rsidRDefault="00C37A6F" w:rsidP="00C37A6F">
            <w:pPr>
              <w:jc w:val="center"/>
              <w:rPr>
                <w:bCs/>
                <w:szCs w:val="17"/>
              </w:rPr>
            </w:pPr>
            <w:r w:rsidRPr="00F63B3C">
              <w:rPr>
                <w:b/>
                <w:color w:val="808080" w:themeColor="background1" w:themeShade="80"/>
                <w:szCs w:val="17"/>
              </w:rPr>
              <w:t>Neutral</w:t>
            </w:r>
          </w:p>
        </w:tc>
      </w:tr>
      <w:tr w:rsidR="00C37A6F" w:rsidRPr="00D43554" w14:paraId="2A06D6C0" w14:textId="77777777" w:rsidTr="00424768">
        <w:trPr>
          <w:trHeight w:val="499"/>
        </w:trPr>
        <w:tc>
          <w:tcPr>
            <w:tcW w:w="689" w:type="dxa"/>
            <w:shd w:val="clear" w:color="auto" w:fill="auto"/>
            <w:vAlign w:val="center"/>
          </w:tcPr>
          <w:p w14:paraId="1BF454F5" w14:textId="25A4FBF8" w:rsidR="00C37A6F" w:rsidRDefault="00C37A6F" w:rsidP="00C37A6F">
            <w:pPr>
              <w:jc w:val="center"/>
              <w:rPr>
                <w:bCs/>
                <w:szCs w:val="17"/>
              </w:rPr>
            </w:pPr>
            <w:r>
              <w:rPr>
                <w:bCs/>
                <w:szCs w:val="17"/>
              </w:rPr>
              <w:t>297</w:t>
            </w:r>
          </w:p>
        </w:tc>
        <w:tc>
          <w:tcPr>
            <w:tcW w:w="1909" w:type="dxa"/>
            <w:shd w:val="clear" w:color="auto" w:fill="auto"/>
            <w:vAlign w:val="center"/>
          </w:tcPr>
          <w:p w14:paraId="076BECFC" w14:textId="45631A95" w:rsidR="00C37A6F" w:rsidRPr="009D502B" w:rsidRDefault="00C37A6F" w:rsidP="00C37A6F">
            <w:pPr>
              <w:jc w:val="center"/>
              <w:rPr>
                <w:bCs/>
                <w:szCs w:val="17"/>
              </w:rPr>
            </w:pPr>
            <w:r w:rsidRPr="003E23B9">
              <w:rPr>
                <w:bCs/>
                <w:szCs w:val="17"/>
              </w:rPr>
              <w:t>Recital 78 a (new)</w:t>
            </w:r>
          </w:p>
        </w:tc>
        <w:tc>
          <w:tcPr>
            <w:tcW w:w="6116" w:type="dxa"/>
            <w:shd w:val="clear" w:color="auto" w:fill="auto"/>
          </w:tcPr>
          <w:p w14:paraId="484A460E" w14:textId="77777777" w:rsidR="00C37A6F" w:rsidRDefault="00C37A6F" w:rsidP="00951389">
            <w:pPr>
              <w:jc w:val="left"/>
              <w:rPr>
                <w:bCs/>
                <w:szCs w:val="17"/>
              </w:rPr>
            </w:pPr>
            <w:r>
              <w:rPr>
                <w:bCs/>
                <w:szCs w:val="17"/>
              </w:rPr>
              <w:t xml:space="preserve">Inclusion of </w:t>
            </w:r>
            <w:r w:rsidR="00C77820">
              <w:rPr>
                <w:bCs/>
                <w:szCs w:val="17"/>
              </w:rPr>
              <w:t xml:space="preserve">requirements for undertakings to develop </w:t>
            </w:r>
            <w:r>
              <w:rPr>
                <w:bCs/>
                <w:szCs w:val="17"/>
              </w:rPr>
              <w:t xml:space="preserve">transition plan to </w:t>
            </w:r>
            <w:r w:rsidR="00014CFE">
              <w:rPr>
                <w:bCs/>
                <w:szCs w:val="17"/>
              </w:rPr>
              <w:t>aim to achieve</w:t>
            </w:r>
            <w:r>
              <w:rPr>
                <w:bCs/>
                <w:szCs w:val="17"/>
              </w:rPr>
              <w:t xml:space="preserve"> climate neutrality by 2050</w:t>
            </w:r>
          </w:p>
          <w:p w14:paraId="526F38F1" w14:textId="75A742DC" w:rsidR="00C37A6F" w:rsidRDefault="006749BF" w:rsidP="00951389">
            <w:pPr>
              <w:jc w:val="left"/>
              <w:rPr>
                <w:bCs/>
                <w:szCs w:val="17"/>
              </w:rPr>
            </w:pPr>
            <w:r>
              <w:rPr>
                <w:bCs/>
                <w:szCs w:val="17"/>
              </w:rPr>
              <w:t>NSAs to approve these plans, and verify that investment policy is aligned with objectives/targets of the plan</w:t>
            </w:r>
          </w:p>
        </w:tc>
        <w:tc>
          <w:tcPr>
            <w:tcW w:w="1909" w:type="dxa"/>
            <w:shd w:val="clear" w:color="auto" w:fill="auto"/>
            <w:vAlign w:val="center"/>
          </w:tcPr>
          <w:p w14:paraId="0FE854A3" w14:textId="393E8F10" w:rsidR="00C37A6F" w:rsidRPr="00E76E73" w:rsidRDefault="00C37A6F" w:rsidP="00C37A6F">
            <w:pPr>
              <w:jc w:val="center"/>
              <w:rPr>
                <w:szCs w:val="17"/>
              </w:rPr>
            </w:pPr>
            <w:r w:rsidRPr="00E76E73">
              <w:rPr>
                <w:szCs w:val="17"/>
              </w:rPr>
              <w:t>Hahn</w:t>
            </w:r>
          </w:p>
        </w:tc>
        <w:tc>
          <w:tcPr>
            <w:tcW w:w="2543" w:type="dxa"/>
            <w:shd w:val="clear" w:color="auto" w:fill="auto"/>
            <w:vAlign w:val="center"/>
          </w:tcPr>
          <w:p w14:paraId="5F03B7F2" w14:textId="4774EF52" w:rsidR="00C37A6F" w:rsidRPr="00E07ECB" w:rsidRDefault="00C37A6F" w:rsidP="00C37A6F">
            <w:pPr>
              <w:jc w:val="center"/>
              <w:rPr>
                <w:bCs/>
                <w:szCs w:val="17"/>
              </w:rPr>
            </w:pPr>
            <w:r w:rsidRPr="009565CE">
              <w:rPr>
                <w:bCs/>
                <w:szCs w:val="17"/>
              </w:rPr>
              <w:t>Sustainable finance</w:t>
            </w:r>
            <w:r w:rsidR="00014CFE">
              <w:rPr>
                <w:bCs/>
                <w:szCs w:val="17"/>
              </w:rPr>
              <w:t>/transition plan</w:t>
            </w:r>
          </w:p>
        </w:tc>
        <w:tc>
          <w:tcPr>
            <w:tcW w:w="1293" w:type="dxa"/>
            <w:shd w:val="clear" w:color="auto" w:fill="auto"/>
            <w:vAlign w:val="center"/>
          </w:tcPr>
          <w:p w14:paraId="2CB4AABD" w14:textId="7A976A23" w:rsidR="00C37A6F" w:rsidRPr="00E07ECB" w:rsidRDefault="00C37A6F" w:rsidP="00C37A6F">
            <w:pPr>
              <w:jc w:val="center"/>
              <w:rPr>
                <w:bCs/>
                <w:szCs w:val="17"/>
              </w:rPr>
            </w:pPr>
            <w:r w:rsidRPr="00F63B3C">
              <w:rPr>
                <w:b/>
                <w:color w:val="808080" w:themeColor="background1" w:themeShade="80"/>
                <w:szCs w:val="17"/>
              </w:rPr>
              <w:t>Neutral</w:t>
            </w:r>
          </w:p>
        </w:tc>
      </w:tr>
      <w:tr w:rsidR="00C37A6F" w:rsidRPr="00D43554" w14:paraId="0389B3D7" w14:textId="77777777" w:rsidTr="00424768">
        <w:trPr>
          <w:trHeight w:val="499"/>
        </w:trPr>
        <w:tc>
          <w:tcPr>
            <w:tcW w:w="689" w:type="dxa"/>
            <w:shd w:val="clear" w:color="auto" w:fill="auto"/>
            <w:vAlign w:val="center"/>
          </w:tcPr>
          <w:p w14:paraId="3D3DD308" w14:textId="42073392" w:rsidR="00C37A6F" w:rsidRDefault="00C37A6F" w:rsidP="00C37A6F">
            <w:pPr>
              <w:jc w:val="center"/>
              <w:rPr>
                <w:bCs/>
                <w:szCs w:val="17"/>
              </w:rPr>
            </w:pPr>
            <w:r w:rsidRPr="00E76E73">
              <w:rPr>
                <w:szCs w:val="17"/>
              </w:rPr>
              <w:t>298</w:t>
            </w:r>
          </w:p>
        </w:tc>
        <w:tc>
          <w:tcPr>
            <w:tcW w:w="1909" w:type="dxa"/>
            <w:shd w:val="clear" w:color="auto" w:fill="auto"/>
            <w:vAlign w:val="center"/>
          </w:tcPr>
          <w:p w14:paraId="07D5AF97" w14:textId="29524D6B" w:rsidR="00C37A6F" w:rsidRPr="003E23B9" w:rsidRDefault="00C37A6F" w:rsidP="00C37A6F">
            <w:pPr>
              <w:jc w:val="center"/>
              <w:rPr>
                <w:bCs/>
                <w:szCs w:val="17"/>
              </w:rPr>
            </w:pPr>
            <w:r w:rsidRPr="00E76E73">
              <w:rPr>
                <w:szCs w:val="17"/>
              </w:rPr>
              <w:t>Recital 78 b (new)</w:t>
            </w:r>
          </w:p>
        </w:tc>
        <w:tc>
          <w:tcPr>
            <w:tcW w:w="6116" w:type="dxa"/>
            <w:shd w:val="clear" w:color="auto" w:fill="auto"/>
          </w:tcPr>
          <w:p w14:paraId="14493C16" w14:textId="77777777" w:rsidR="00C37A6F" w:rsidRPr="00E76E73" w:rsidRDefault="00C37A6F" w:rsidP="00951389">
            <w:pPr>
              <w:jc w:val="left"/>
              <w:rPr>
                <w:szCs w:val="17"/>
              </w:rPr>
            </w:pPr>
            <w:r w:rsidRPr="00E76E73">
              <w:rPr>
                <w:szCs w:val="17"/>
              </w:rPr>
              <w:t>Member States should ensure that written policies on remuneration promote sound and effective risk management, including in relation to sustainability risks</w:t>
            </w:r>
          </w:p>
          <w:p w14:paraId="2BBDEF33" w14:textId="45B374D6" w:rsidR="00C37A6F" w:rsidRDefault="00581EEF" w:rsidP="00951389">
            <w:pPr>
              <w:jc w:val="left"/>
              <w:rPr>
                <w:bCs/>
                <w:szCs w:val="17"/>
              </w:rPr>
            </w:pPr>
            <w:r w:rsidRPr="00E76E73">
              <w:rPr>
                <w:szCs w:val="17"/>
              </w:rPr>
              <w:t>EC to develop DA</w:t>
            </w:r>
            <w:r w:rsidR="00DB5D3E" w:rsidRPr="00E76E73">
              <w:rPr>
                <w:szCs w:val="17"/>
              </w:rPr>
              <w:t xml:space="preserve"> to specify remuneration schemes, including variable remuneration components linked to the achievement of targets set out in the transition plan.</w:t>
            </w:r>
          </w:p>
        </w:tc>
        <w:tc>
          <w:tcPr>
            <w:tcW w:w="1909" w:type="dxa"/>
            <w:shd w:val="clear" w:color="auto" w:fill="auto"/>
            <w:vAlign w:val="center"/>
          </w:tcPr>
          <w:p w14:paraId="308E4BF9" w14:textId="644816B2" w:rsidR="00C37A6F" w:rsidRPr="00E76E73" w:rsidRDefault="00C37A6F" w:rsidP="00C37A6F">
            <w:pPr>
              <w:jc w:val="center"/>
              <w:rPr>
                <w:szCs w:val="17"/>
              </w:rPr>
            </w:pPr>
            <w:r w:rsidRPr="00E76E73">
              <w:rPr>
                <w:szCs w:val="17"/>
              </w:rPr>
              <w:t>Hahn</w:t>
            </w:r>
          </w:p>
        </w:tc>
        <w:tc>
          <w:tcPr>
            <w:tcW w:w="2543" w:type="dxa"/>
            <w:shd w:val="clear" w:color="auto" w:fill="auto"/>
            <w:vAlign w:val="center"/>
          </w:tcPr>
          <w:p w14:paraId="5E055E21" w14:textId="64E408C0" w:rsidR="00C37A6F" w:rsidRPr="00E07ECB" w:rsidRDefault="00C37A6F" w:rsidP="00C37A6F">
            <w:pPr>
              <w:jc w:val="center"/>
              <w:rPr>
                <w:bCs/>
                <w:szCs w:val="17"/>
              </w:rPr>
            </w:pPr>
            <w:r w:rsidRPr="009565CE">
              <w:rPr>
                <w:bCs/>
                <w:szCs w:val="17"/>
              </w:rPr>
              <w:t>Sustainable financ</w:t>
            </w:r>
            <w:r>
              <w:rPr>
                <w:bCs/>
                <w:szCs w:val="17"/>
              </w:rPr>
              <w:t>e</w:t>
            </w:r>
            <w:r w:rsidR="00DB5D3E">
              <w:rPr>
                <w:bCs/>
                <w:szCs w:val="17"/>
              </w:rPr>
              <w:t>/transition plan/DA</w:t>
            </w:r>
          </w:p>
        </w:tc>
        <w:tc>
          <w:tcPr>
            <w:tcW w:w="1293" w:type="dxa"/>
            <w:shd w:val="clear" w:color="auto" w:fill="auto"/>
            <w:vAlign w:val="center"/>
          </w:tcPr>
          <w:p w14:paraId="0EF90D8E" w14:textId="3C9B8C39" w:rsidR="00C37A6F" w:rsidRPr="00E07ECB" w:rsidRDefault="00C37A6F" w:rsidP="00C37A6F">
            <w:pPr>
              <w:jc w:val="center"/>
              <w:rPr>
                <w:bCs/>
                <w:szCs w:val="17"/>
              </w:rPr>
            </w:pPr>
            <w:r w:rsidRPr="00E10F9D">
              <w:rPr>
                <w:b/>
                <w:color w:val="FF0000"/>
                <w:szCs w:val="17"/>
              </w:rPr>
              <w:t>Negative</w:t>
            </w:r>
          </w:p>
        </w:tc>
      </w:tr>
      <w:tr w:rsidR="00C37A6F" w:rsidRPr="00D43554" w14:paraId="7EF23546" w14:textId="77777777" w:rsidTr="00424768">
        <w:trPr>
          <w:trHeight w:val="499"/>
        </w:trPr>
        <w:tc>
          <w:tcPr>
            <w:tcW w:w="689" w:type="dxa"/>
            <w:shd w:val="clear" w:color="auto" w:fill="auto"/>
            <w:vAlign w:val="center"/>
          </w:tcPr>
          <w:p w14:paraId="24DF7462" w14:textId="45635285" w:rsidR="00C37A6F" w:rsidRDefault="00C37A6F" w:rsidP="00C37A6F">
            <w:pPr>
              <w:jc w:val="center"/>
              <w:rPr>
                <w:bCs/>
                <w:szCs w:val="17"/>
              </w:rPr>
            </w:pPr>
            <w:r>
              <w:rPr>
                <w:bCs/>
                <w:szCs w:val="17"/>
              </w:rPr>
              <w:t>299</w:t>
            </w:r>
          </w:p>
        </w:tc>
        <w:tc>
          <w:tcPr>
            <w:tcW w:w="1909" w:type="dxa"/>
            <w:shd w:val="clear" w:color="auto" w:fill="auto"/>
            <w:vAlign w:val="center"/>
          </w:tcPr>
          <w:p w14:paraId="2B80A859" w14:textId="2DA1E86E" w:rsidR="00C37A6F" w:rsidRPr="009D502B" w:rsidRDefault="00C37A6F" w:rsidP="00C37A6F">
            <w:pPr>
              <w:jc w:val="center"/>
              <w:rPr>
                <w:bCs/>
                <w:szCs w:val="17"/>
              </w:rPr>
            </w:pPr>
            <w:r w:rsidRPr="00E76E73">
              <w:rPr>
                <w:szCs w:val="17"/>
              </w:rPr>
              <w:t>Recital 79</w:t>
            </w:r>
          </w:p>
        </w:tc>
        <w:tc>
          <w:tcPr>
            <w:tcW w:w="6116" w:type="dxa"/>
            <w:shd w:val="clear" w:color="auto" w:fill="auto"/>
          </w:tcPr>
          <w:p w14:paraId="01C72285" w14:textId="462D2F3F" w:rsidR="00C37A6F" w:rsidRDefault="00C37A6F" w:rsidP="00951389">
            <w:pPr>
              <w:jc w:val="left"/>
              <w:rPr>
                <w:bCs/>
                <w:szCs w:val="17"/>
              </w:rPr>
            </w:pPr>
            <w:r>
              <w:rPr>
                <w:bCs/>
                <w:szCs w:val="17"/>
              </w:rPr>
              <w:t xml:space="preserve">Removal of requirement for EIOPA to review regularly the scope of the </w:t>
            </w:r>
            <w:proofErr w:type="spellStart"/>
            <w:r>
              <w:rPr>
                <w:bCs/>
                <w:szCs w:val="17"/>
              </w:rPr>
              <w:t>nat</w:t>
            </w:r>
            <w:proofErr w:type="spellEnd"/>
            <w:r>
              <w:rPr>
                <w:bCs/>
                <w:szCs w:val="17"/>
              </w:rPr>
              <w:t xml:space="preserve"> cat risk module and the calibration of its parameters.</w:t>
            </w:r>
          </w:p>
        </w:tc>
        <w:tc>
          <w:tcPr>
            <w:tcW w:w="1909" w:type="dxa"/>
            <w:shd w:val="clear" w:color="auto" w:fill="auto"/>
            <w:vAlign w:val="center"/>
          </w:tcPr>
          <w:p w14:paraId="4F840708" w14:textId="30A7B9A6" w:rsidR="00C37A6F" w:rsidRPr="00E76E73" w:rsidRDefault="00C37A6F" w:rsidP="00C37A6F">
            <w:pPr>
              <w:jc w:val="center"/>
              <w:rPr>
                <w:szCs w:val="17"/>
              </w:rPr>
            </w:pPr>
            <w:proofErr w:type="spellStart"/>
            <w:r w:rsidRPr="00E76E73">
              <w:rPr>
                <w:szCs w:val="17"/>
              </w:rPr>
              <w:t>Zanni</w:t>
            </w:r>
            <w:proofErr w:type="spellEnd"/>
            <w:r w:rsidRPr="00E76E73">
              <w:rPr>
                <w:szCs w:val="17"/>
              </w:rPr>
              <w:t>, Grant, Rinaldi</w:t>
            </w:r>
          </w:p>
        </w:tc>
        <w:tc>
          <w:tcPr>
            <w:tcW w:w="2543" w:type="dxa"/>
            <w:shd w:val="clear" w:color="auto" w:fill="auto"/>
            <w:vAlign w:val="center"/>
          </w:tcPr>
          <w:p w14:paraId="170E9906" w14:textId="5C6A9FFE" w:rsidR="00C37A6F" w:rsidRPr="00E07ECB" w:rsidRDefault="00C37A6F" w:rsidP="00C37A6F">
            <w:pPr>
              <w:jc w:val="center"/>
              <w:rPr>
                <w:bCs/>
                <w:szCs w:val="17"/>
              </w:rPr>
            </w:pPr>
            <w:r>
              <w:rPr>
                <w:bCs/>
                <w:szCs w:val="17"/>
              </w:rPr>
              <w:t>Sustainable finance/SCR</w:t>
            </w:r>
          </w:p>
        </w:tc>
        <w:tc>
          <w:tcPr>
            <w:tcW w:w="1293" w:type="dxa"/>
            <w:shd w:val="clear" w:color="auto" w:fill="auto"/>
            <w:vAlign w:val="center"/>
          </w:tcPr>
          <w:p w14:paraId="261140DD" w14:textId="535D02DD" w:rsidR="00C37A6F" w:rsidRPr="00E07ECB" w:rsidRDefault="00C37A6F" w:rsidP="00C37A6F">
            <w:pPr>
              <w:jc w:val="center"/>
              <w:rPr>
                <w:bCs/>
                <w:szCs w:val="17"/>
              </w:rPr>
            </w:pPr>
            <w:r w:rsidRPr="00F63B3C">
              <w:rPr>
                <w:b/>
                <w:color w:val="808080" w:themeColor="background1" w:themeShade="80"/>
                <w:szCs w:val="17"/>
              </w:rPr>
              <w:t>Neutral</w:t>
            </w:r>
          </w:p>
        </w:tc>
      </w:tr>
      <w:tr w:rsidR="00C37A6F" w:rsidRPr="00D43554" w14:paraId="245D86AD" w14:textId="77777777" w:rsidTr="00424768">
        <w:trPr>
          <w:trHeight w:val="499"/>
        </w:trPr>
        <w:tc>
          <w:tcPr>
            <w:tcW w:w="689" w:type="dxa"/>
            <w:shd w:val="clear" w:color="auto" w:fill="auto"/>
            <w:vAlign w:val="center"/>
          </w:tcPr>
          <w:p w14:paraId="42BBDDBE" w14:textId="593CD1DD" w:rsidR="00C37A6F" w:rsidRDefault="00C37A6F" w:rsidP="00C37A6F">
            <w:pPr>
              <w:jc w:val="center"/>
              <w:rPr>
                <w:bCs/>
                <w:szCs w:val="17"/>
              </w:rPr>
            </w:pPr>
            <w:r>
              <w:rPr>
                <w:bCs/>
                <w:szCs w:val="17"/>
              </w:rPr>
              <w:t>300</w:t>
            </w:r>
          </w:p>
        </w:tc>
        <w:tc>
          <w:tcPr>
            <w:tcW w:w="1909" w:type="dxa"/>
            <w:shd w:val="clear" w:color="auto" w:fill="auto"/>
            <w:vAlign w:val="center"/>
          </w:tcPr>
          <w:p w14:paraId="3C369F03" w14:textId="7D09748E" w:rsidR="00C37A6F" w:rsidRPr="00E76E73" w:rsidRDefault="00C37A6F" w:rsidP="00C37A6F">
            <w:pPr>
              <w:jc w:val="center"/>
              <w:rPr>
                <w:szCs w:val="17"/>
              </w:rPr>
            </w:pPr>
            <w:r w:rsidRPr="00E76E73">
              <w:rPr>
                <w:szCs w:val="17"/>
              </w:rPr>
              <w:t>Recital 79</w:t>
            </w:r>
          </w:p>
        </w:tc>
        <w:tc>
          <w:tcPr>
            <w:tcW w:w="6116" w:type="dxa"/>
            <w:shd w:val="clear" w:color="auto" w:fill="auto"/>
          </w:tcPr>
          <w:p w14:paraId="167EF987" w14:textId="0D6002A5" w:rsidR="00C37A6F" w:rsidRDefault="00C37A6F" w:rsidP="00951389">
            <w:pPr>
              <w:jc w:val="left"/>
              <w:rPr>
                <w:bCs/>
                <w:szCs w:val="17"/>
              </w:rPr>
            </w:pPr>
            <w:r>
              <w:rPr>
                <w:bCs/>
                <w:szCs w:val="17"/>
              </w:rPr>
              <w:t>Editorial change: include that rising temperature can further aggravate the frequency and severity of natural catastrophes.</w:t>
            </w:r>
          </w:p>
        </w:tc>
        <w:tc>
          <w:tcPr>
            <w:tcW w:w="1909" w:type="dxa"/>
            <w:shd w:val="clear" w:color="auto" w:fill="auto"/>
            <w:vAlign w:val="center"/>
          </w:tcPr>
          <w:p w14:paraId="203775CE" w14:textId="27D19F0D" w:rsidR="00C37A6F" w:rsidRPr="00E76E73" w:rsidRDefault="00C37A6F" w:rsidP="00C37A6F">
            <w:pPr>
              <w:jc w:val="center"/>
              <w:rPr>
                <w:szCs w:val="17"/>
              </w:rPr>
            </w:pPr>
            <w:r w:rsidRPr="00E76E73">
              <w:rPr>
                <w:szCs w:val="17"/>
              </w:rPr>
              <w:t xml:space="preserve">Yon-Courtin, Boyer, </w:t>
            </w:r>
            <w:proofErr w:type="spellStart"/>
            <w:r w:rsidRPr="00E76E73">
              <w:rPr>
                <w:szCs w:val="17"/>
              </w:rPr>
              <w:t>Canfin</w:t>
            </w:r>
            <w:proofErr w:type="spellEnd"/>
          </w:p>
        </w:tc>
        <w:tc>
          <w:tcPr>
            <w:tcW w:w="2543" w:type="dxa"/>
            <w:shd w:val="clear" w:color="auto" w:fill="auto"/>
            <w:vAlign w:val="center"/>
          </w:tcPr>
          <w:p w14:paraId="0AAF1770" w14:textId="2FCF7317" w:rsidR="00C37A6F" w:rsidRDefault="00167FE0" w:rsidP="00C37A6F">
            <w:pPr>
              <w:jc w:val="center"/>
              <w:rPr>
                <w:bCs/>
                <w:szCs w:val="17"/>
              </w:rPr>
            </w:pPr>
            <w:r>
              <w:rPr>
                <w:bCs/>
                <w:szCs w:val="17"/>
              </w:rPr>
              <w:t>Editorial</w:t>
            </w:r>
          </w:p>
        </w:tc>
        <w:tc>
          <w:tcPr>
            <w:tcW w:w="1293" w:type="dxa"/>
            <w:shd w:val="clear" w:color="auto" w:fill="auto"/>
            <w:vAlign w:val="center"/>
          </w:tcPr>
          <w:p w14:paraId="7A22CE9E" w14:textId="447F0A21" w:rsidR="00C37A6F" w:rsidRPr="00F63B3C" w:rsidRDefault="00C37A6F" w:rsidP="00C37A6F">
            <w:pPr>
              <w:jc w:val="center"/>
              <w:rPr>
                <w:b/>
                <w:color w:val="808080" w:themeColor="background1" w:themeShade="80"/>
                <w:szCs w:val="17"/>
              </w:rPr>
            </w:pPr>
          </w:p>
        </w:tc>
      </w:tr>
      <w:tr w:rsidR="00C37A6F" w:rsidRPr="00D43554" w14:paraId="010943A4" w14:textId="77777777" w:rsidTr="00424768">
        <w:trPr>
          <w:trHeight w:val="499"/>
        </w:trPr>
        <w:tc>
          <w:tcPr>
            <w:tcW w:w="689" w:type="dxa"/>
            <w:shd w:val="clear" w:color="auto" w:fill="auto"/>
            <w:vAlign w:val="center"/>
          </w:tcPr>
          <w:p w14:paraId="7853EA96" w14:textId="680261B6" w:rsidR="00C37A6F" w:rsidRDefault="00C37A6F" w:rsidP="00C37A6F">
            <w:pPr>
              <w:jc w:val="center"/>
              <w:rPr>
                <w:bCs/>
                <w:szCs w:val="17"/>
              </w:rPr>
            </w:pPr>
            <w:r>
              <w:rPr>
                <w:bCs/>
                <w:szCs w:val="17"/>
              </w:rPr>
              <w:t>301</w:t>
            </w:r>
          </w:p>
        </w:tc>
        <w:tc>
          <w:tcPr>
            <w:tcW w:w="1909" w:type="dxa"/>
            <w:shd w:val="clear" w:color="auto" w:fill="auto"/>
            <w:vAlign w:val="center"/>
          </w:tcPr>
          <w:p w14:paraId="465B816A" w14:textId="7F0A04A2" w:rsidR="00C37A6F" w:rsidRPr="00E76E73" w:rsidRDefault="00C37A6F" w:rsidP="00C37A6F">
            <w:pPr>
              <w:jc w:val="center"/>
              <w:rPr>
                <w:szCs w:val="17"/>
              </w:rPr>
            </w:pPr>
            <w:r w:rsidRPr="00E76E73">
              <w:rPr>
                <w:szCs w:val="17"/>
              </w:rPr>
              <w:t>Recital 79 a (new)</w:t>
            </w:r>
          </w:p>
        </w:tc>
        <w:tc>
          <w:tcPr>
            <w:tcW w:w="6116" w:type="dxa"/>
            <w:shd w:val="clear" w:color="auto" w:fill="auto"/>
          </w:tcPr>
          <w:p w14:paraId="3F80A257" w14:textId="66B75C77" w:rsidR="00C37A6F" w:rsidRDefault="00C37A6F" w:rsidP="00951389">
            <w:pPr>
              <w:jc w:val="left"/>
              <w:rPr>
                <w:bCs/>
                <w:szCs w:val="17"/>
              </w:rPr>
            </w:pPr>
            <w:r>
              <w:rPr>
                <w:bCs/>
                <w:szCs w:val="17"/>
              </w:rPr>
              <w:t>Requirement for undertakings to develop and report on their stewardship policies.</w:t>
            </w:r>
          </w:p>
        </w:tc>
        <w:tc>
          <w:tcPr>
            <w:tcW w:w="1909" w:type="dxa"/>
            <w:shd w:val="clear" w:color="auto" w:fill="auto"/>
            <w:vAlign w:val="center"/>
          </w:tcPr>
          <w:p w14:paraId="44E0AD7C" w14:textId="309C2D1A" w:rsidR="00C37A6F" w:rsidRPr="00E76E73" w:rsidRDefault="00C37A6F" w:rsidP="00C37A6F">
            <w:pPr>
              <w:jc w:val="center"/>
              <w:rPr>
                <w:szCs w:val="17"/>
              </w:rPr>
            </w:pPr>
            <w:r w:rsidRPr="00E76E73">
              <w:rPr>
                <w:szCs w:val="17"/>
              </w:rPr>
              <w:t>Tang</w:t>
            </w:r>
          </w:p>
        </w:tc>
        <w:tc>
          <w:tcPr>
            <w:tcW w:w="2543" w:type="dxa"/>
            <w:shd w:val="clear" w:color="auto" w:fill="auto"/>
            <w:vAlign w:val="center"/>
          </w:tcPr>
          <w:p w14:paraId="7A6C4BA1" w14:textId="58B4667C" w:rsidR="00C37A6F" w:rsidRPr="00553D9E" w:rsidRDefault="000C088B" w:rsidP="00C37A6F">
            <w:pPr>
              <w:jc w:val="center"/>
              <w:rPr>
                <w:szCs w:val="17"/>
                <w:highlight w:val="yellow"/>
              </w:rPr>
            </w:pPr>
            <w:r w:rsidRPr="000D4029">
              <w:rPr>
                <w:bCs/>
                <w:szCs w:val="17"/>
              </w:rPr>
              <w:t>S</w:t>
            </w:r>
            <w:r w:rsidR="001B5DC3" w:rsidRPr="000D4029">
              <w:rPr>
                <w:bCs/>
                <w:szCs w:val="17"/>
              </w:rPr>
              <w:t>ustainability</w:t>
            </w:r>
          </w:p>
        </w:tc>
        <w:tc>
          <w:tcPr>
            <w:tcW w:w="1293" w:type="dxa"/>
            <w:shd w:val="clear" w:color="auto" w:fill="auto"/>
            <w:vAlign w:val="center"/>
          </w:tcPr>
          <w:p w14:paraId="279E5AAC" w14:textId="1BCC7C5D" w:rsidR="00C37A6F" w:rsidRPr="00553D9E" w:rsidRDefault="000C088B" w:rsidP="00C37A6F">
            <w:pPr>
              <w:jc w:val="center"/>
              <w:rPr>
                <w:b/>
                <w:color w:val="808080" w:themeColor="background1" w:themeShade="80"/>
                <w:szCs w:val="17"/>
                <w:highlight w:val="yellow"/>
              </w:rPr>
            </w:pPr>
            <w:r w:rsidRPr="000D4029">
              <w:rPr>
                <w:b/>
                <w:color w:val="808080" w:themeColor="background1" w:themeShade="80"/>
                <w:szCs w:val="17"/>
              </w:rPr>
              <w:t>Neutral</w:t>
            </w:r>
          </w:p>
        </w:tc>
      </w:tr>
      <w:tr w:rsidR="00C37A6F" w:rsidRPr="00D43554" w14:paraId="70F117F7" w14:textId="77777777" w:rsidTr="00424768">
        <w:trPr>
          <w:trHeight w:val="499"/>
        </w:trPr>
        <w:tc>
          <w:tcPr>
            <w:tcW w:w="689" w:type="dxa"/>
            <w:shd w:val="clear" w:color="auto" w:fill="auto"/>
            <w:vAlign w:val="center"/>
          </w:tcPr>
          <w:p w14:paraId="387AB79B" w14:textId="21FC61DA" w:rsidR="00C37A6F" w:rsidRDefault="00C37A6F" w:rsidP="00C37A6F">
            <w:pPr>
              <w:jc w:val="center"/>
              <w:rPr>
                <w:bCs/>
                <w:szCs w:val="17"/>
              </w:rPr>
            </w:pPr>
            <w:r>
              <w:rPr>
                <w:bCs/>
                <w:szCs w:val="17"/>
              </w:rPr>
              <w:t>302-303</w:t>
            </w:r>
          </w:p>
        </w:tc>
        <w:tc>
          <w:tcPr>
            <w:tcW w:w="1909" w:type="dxa"/>
            <w:shd w:val="clear" w:color="auto" w:fill="auto"/>
            <w:vAlign w:val="center"/>
          </w:tcPr>
          <w:p w14:paraId="56E2834F" w14:textId="5DC1FE32" w:rsidR="00C37A6F" w:rsidRPr="00E76E73" w:rsidRDefault="00C37A6F" w:rsidP="00C37A6F">
            <w:pPr>
              <w:jc w:val="center"/>
              <w:rPr>
                <w:szCs w:val="17"/>
              </w:rPr>
            </w:pPr>
            <w:r w:rsidRPr="00E76E73">
              <w:rPr>
                <w:szCs w:val="17"/>
              </w:rPr>
              <w:t>Recital 82 a (new)</w:t>
            </w:r>
          </w:p>
        </w:tc>
        <w:tc>
          <w:tcPr>
            <w:tcW w:w="6116" w:type="dxa"/>
            <w:shd w:val="clear" w:color="auto" w:fill="auto"/>
          </w:tcPr>
          <w:p w14:paraId="4AD44AE9" w14:textId="1D2ED771" w:rsidR="00C37A6F" w:rsidRDefault="00C37A6F" w:rsidP="00951389">
            <w:pPr>
              <w:jc w:val="left"/>
              <w:rPr>
                <w:bCs/>
                <w:szCs w:val="17"/>
              </w:rPr>
            </w:pPr>
            <w:r>
              <w:rPr>
                <w:bCs/>
                <w:szCs w:val="17"/>
              </w:rPr>
              <w:t>New recital to note that transitional measures on risk-free interest rates and on technical provisions should be improved by strengthening supervisory powers.</w:t>
            </w:r>
          </w:p>
        </w:tc>
        <w:tc>
          <w:tcPr>
            <w:tcW w:w="1909" w:type="dxa"/>
            <w:shd w:val="clear" w:color="auto" w:fill="auto"/>
            <w:vAlign w:val="center"/>
          </w:tcPr>
          <w:p w14:paraId="4D4AA4FC" w14:textId="32FFE46C" w:rsidR="00C37A6F" w:rsidRPr="00E76E73" w:rsidRDefault="00C37A6F" w:rsidP="00C37A6F">
            <w:pPr>
              <w:jc w:val="center"/>
              <w:rPr>
                <w:szCs w:val="17"/>
              </w:rPr>
            </w:pPr>
            <w:r w:rsidRPr="00E76E73">
              <w:rPr>
                <w:szCs w:val="17"/>
              </w:rPr>
              <w:t xml:space="preserve">Van </w:t>
            </w:r>
            <w:proofErr w:type="spellStart"/>
            <w:r w:rsidRPr="00E76E73">
              <w:rPr>
                <w:szCs w:val="17"/>
              </w:rPr>
              <w:t>Overtveldt</w:t>
            </w:r>
            <w:proofErr w:type="spellEnd"/>
            <w:r w:rsidRPr="00E76E73">
              <w:rPr>
                <w:szCs w:val="17"/>
              </w:rPr>
              <w:t xml:space="preserve">, </w:t>
            </w:r>
            <w:proofErr w:type="spellStart"/>
            <w:r w:rsidRPr="00E76E73">
              <w:rPr>
                <w:szCs w:val="17"/>
              </w:rPr>
              <w:t>Heinäluoma</w:t>
            </w:r>
            <w:proofErr w:type="spellEnd"/>
            <w:r w:rsidRPr="00E76E73">
              <w:rPr>
                <w:szCs w:val="17"/>
              </w:rPr>
              <w:t xml:space="preserve">, </w:t>
            </w:r>
            <w:proofErr w:type="spellStart"/>
            <w:r w:rsidRPr="00E76E73">
              <w:rPr>
                <w:szCs w:val="17"/>
              </w:rPr>
              <w:t>Lalucq</w:t>
            </w:r>
            <w:proofErr w:type="spellEnd"/>
          </w:p>
        </w:tc>
        <w:tc>
          <w:tcPr>
            <w:tcW w:w="2543" w:type="dxa"/>
            <w:shd w:val="clear" w:color="auto" w:fill="auto"/>
            <w:vAlign w:val="center"/>
          </w:tcPr>
          <w:p w14:paraId="43A8374E" w14:textId="1C92CA4A" w:rsidR="00C37A6F" w:rsidRPr="00DD05E1" w:rsidRDefault="00C37A6F" w:rsidP="00C37A6F">
            <w:pPr>
              <w:jc w:val="center"/>
              <w:rPr>
                <w:szCs w:val="17"/>
              </w:rPr>
            </w:pPr>
            <w:proofErr w:type="spellStart"/>
            <w:r w:rsidRPr="00DD05E1">
              <w:rPr>
                <w:szCs w:val="17"/>
              </w:rPr>
              <w:t>Transitionals</w:t>
            </w:r>
            <w:proofErr w:type="spellEnd"/>
          </w:p>
        </w:tc>
        <w:tc>
          <w:tcPr>
            <w:tcW w:w="1293" w:type="dxa"/>
            <w:shd w:val="clear" w:color="auto" w:fill="auto"/>
            <w:vAlign w:val="center"/>
          </w:tcPr>
          <w:p w14:paraId="275E8A6C" w14:textId="0CCB31F7" w:rsidR="00C37A6F" w:rsidRPr="00DD05E1" w:rsidRDefault="00C37A6F" w:rsidP="00C37A6F">
            <w:pPr>
              <w:jc w:val="center"/>
              <w:rPr>
                <w:b/>
                <w:color w:val="808080" w:themeColor="background1" w:themeShade="80"/>
                <w:szCs w:val="17"/>
              </w:rPr>
            </w:pPr>
            <w:r w:rsidRPr="00DD05E1">
              <w:rPr>
                <w:b/>
                <w:color w:val="808080" w:themeColor="background1" w:themeShade="80"/>
                <w:szCs w:val="17"/>
              </w:rPr>
              <w:t>Neutral</w:t>
            </w:r>
          </w:p>
        </w:tc>
      </w:tr>
      <w:tr w:rsidR="00C37A6F" w:rsidRPr="00D43554" w14:paraId="144BEA29" w14:textId="77777777" w:rsidTr="00424768">
        <w:trPr>
          <w:trHeight w:val="499"/>
        </w:trPr>
        <w:tc>
          <w:tcPr>
            <w:tcW w:w="689" w:type="dxa"/>
            <w:shd w:val="clear" w:color="auto" w:fill="auto"/>
            <w:vAlign w:val="center"/>
          </w:tcPr>
          <w:p w14:paraId="3A339336" w14:textId="1D8E8A1D" w:rsidR="00C37A6F" w:rsidRDefault="00C37A6F" w:rsidP="00C37A6F">
            <w:pPr>
              <w:jc w:val="center"/>
              <w:rPr>
                <w:bCs/>
                <w:szCs w:val="17"/>
              </w:rPr>
            </w:pPr>
            <w:r>
              <w:rPr>
                <w:bCs/>
                <w:szCs w:val="17"/>
              </w:rPr>
              <w:t>304</w:t>
            </w:r>
          </w:p>
        </w:tc>
        <w:tc>
          <w:tcPr>
            <w:tcW w:w="1909" w:type="dxa"/>
            <w:shd w:val="clear" w:color="auto" w:fill="auto"/>
            <w:vAlign w:val="center"/>
          </w:tcPr>
          <w:p w14:paraId="67A342E0" w14:textId="6D072845" w:rsidR="00C37A6F" w:rsidRPr="00E76E73" w:rsidRDefault="00C37A6F" w:rsidP="00C37A6F">
            <w:pPr>
              <w:jc w:val="center"/>
              <w:rPr>
                <w:szCs w:val="17"/>
              </w:rPr>
            </w:pPr>
            <w:r w:rsidRPr="00E76E73">
              <w:rPr>
                <w:szCs w:val="17"/>
              </w:rPr>
              <w:t>Recital 82 a (new)</w:t>
            </w:r>
          </w:p>
        </w:tc>
        <w:tc>
          <w:tcPr>
            <w:tcW w:w="6116" w:type="dxa"/>
            <w:shd w:val="clear" w:color="auto" w:fill="auto"/>
          </w:tcPr>
          <w:p w14:paraId="7D49776B" w14:textId="0ECBC30C" w:rsidR="00C37A6F" w:rsidRDefault="00C37A6F" w:rsidP="00951389">
            <w:pPr>
              <w:jc w:val="left"/>
              <w:rPr>
                <w:bCs/>
                <w:szCs w:val="17"/>
              </w:rPr>
            </w:pPr>
            <w:r>
              <w:rPr>
                <w:bCs/>
                <w:szCs w:val="17"/>
              </w:rPr>
              <w:t xml:space="preserve">New recital to note that the calibration of </w:t>
            </w:r>
            <w:r w:rsidR="007A0A69">
              <w:rPr>
                <w:bCs/>
                <w:szCs w:val="17"/>
              </w:rPr>
              <w:t>securitisation</w:t>
            </w:r>
            <w:r>
              <w:rPr>
                <w:bCs/>
                <w:szCs w:val="17"/>
              </w:rPr>
              <w:t xml:space="preserve"> products should be re-evaluated and EIOPA should produce a study and further investigate it.</w:t>
            </w:r>
          </w:p>
        </w:tc>
        <w:tc>
          <w:tcPr>
            <w:tcW w:w="1909" w:type="dxa"/>
            <w:shd w:val="clear" w:color="auto" w:fill="auto"/>
            <w:vAlign w:val="center"/>
          </w:tcPr>
          <w:p w14:paraId="0677413B" w14:textId="67B886FF" w:rsidR="00C37A6F" w:rsidRPr="00E76E73" w:rsidRDefault="00C37A6F" w:rsidP="00C37A6F">
            <w:pPr>
              <w:jc w:val="center"/>
              <w:rPr>
                <w:szCs w:val="17"/>
              </w:rPr>
            </w:pPr>
            <w:r w:rsidRPr="00E76E73">
              <w:rPr>
                <w:szCs w:val="17"/>
              </w:rPr>
              <w:t>Tang</w:t>
            </w:r>
          </w:p>
        </w:tc>
        <w:tc>
          <w:tcPr>
            <w:tcW w:w="2543" w:type="dxa"/>
            <w:shd w:val="clear" w:color="auto" w:fill="auto"/>
            <w:vAlign w:val="center"/>
          </w:tcPr>
          <w:p w14:paraId="280E2391" w14:textId="381F8080" w:rsidR="00C37A6F" w:rsidRPr="00AA5F87" w:rsidRDefault="00C37A6F" w:rsidP="00C37A6F">
            <w:pPr>
              <w:jc w:val="center"/>
              <w:rPr>
                <w:szCs w:val="17"/>
              </w:rPr>
            </w:pPr>
            <w:r w:rsidRPr="00AA5F87">
              <w:rPr>
                <w:bCs/>
                <w:szCs w:val="17"/>
              </w:rPr>
              <w:t>Securitisations/SCR</w:t>
            </w:r>
          </w:p>
        </w:tc>
        <w:tc>
          <w:tcPr>
            <w:tcW w:w="1293" w:type="dxa"/>
            <w:shd w:val="clear" w:color="auto" w:fill="auto"/>
            <w:vAlign w:val="center"/>
          </w:tcPr>
          <w:p w14:paraId="41772ED1" w14:textId="0C43505D" w:rsidR="00C37A6F" w:rsidRPr="00553D9E" w:rsidRDefault="00C37A6F" w:rsidP="00C37A6F">
            <w:pPr>
              <w:jc w:val="center"/>
              <w:rPr>
                <w:b/>
                <w:color w:val="808080" w:themeColor="background1" w:themeShade="80"/>
                <w:szCs w:val="17"/>
                <w:highlight w:val="yellow"/>
              </w:rPr>
            </w:pPr>
            <w:r>
              <w:rPr>
                <w:b/>
                <w:color w:val="00B050"/>
                <w:szCs w:val="17"/>
              </w:rPr>
              <w:t>P</w:t>
            </w:r>
            <w:r w:rsidRPr="00F63B3C">
              <w:rPr>
                <w:b/>
                <w:color w:val="00B050"/>
                <w:szCs w:val="17"/>
              </w:rPr>
              <w:t>ositive</w:t>
            </w:r>
          </w:p>
        </w:tc>
      </w:tr>
      <w:tr w:rsidR="00C37A6F" w:rsidRPr="00D43554" w14:paraId="66E7A479" w14:textId="77777777" w:rsidTr="00424768">
        <w:trPr>
          <w:trHeight w:val="499"/>
        </w:trPr>
        <w:tc>
          <w:tcPr>
            <w:tcW w:w="689" w:type="dxa"/>
            <w:shd w:val="clear" w:color="auto" w:fill="auto"/>
            <w:vAlign w:val="center"/>
          </w:tcPr>
          <w:p w14:paraId="0BB0D5E0" w14:textId="763A096C" w:rsidR="00C37A6F" w:rsidRDefault="00C37A6F" w:rsidP="00C37A6F">
            <w:pPr>
              <w:jc w:val="center"/>
              <w:rPr>
                <w:bCs/>
                <w:szCs w:val="17"/>
              </w:rPr>
            </w:pPr>
            <w:r>
              <w:rPr>
                <w:bCs/>
                <w:szCs w:val="17"/>
              </w:rPr>
              <w:t>305</w:t>
            </w:r>
          </w:p>
        </w:tc>
        <w:tc>
          <w:tcPr>
            <w:tcW w:w="1909" w:type="dxa"/>
            <w:shd w:val="clear" w:color="auto" w:fill="auto"/>
            <w:vAlign w:val="center"/>
          </w:tcPr>
          <w:p w14:paraId="1A09AA0D" w14:textId="749C8AED" w:rsidR="00C37A6F" w:rsidRPr="00E76E73" w:rsidRDefault="00C37A6F" w:rsidP="00C37A6F">
            <w:pPr>
              <w:jc w:val="center"/>
              <w:rPr>
                <w:szCs w:val="17"/>
              </w:rPr>
            </w:pPr>
            <w:r w:rsidRPr="00E76E73">
              <w:rPr>
                <w:szCs w:val="17"/>
              </w:rPr>
              <w:t>Recital 82 a (new)</w:t>
            </w:r>
          </w:p>
        </w:tc>
        <w:tc>
          <w:tcPr>
            <w:tcW w:w="6116" w:type="dxa"/>
            <w:shd w:val="clear" w:color="auto" w:fill="auto"/>
          </w:tcPr>
          <w:p w14:paraId="7FCD669F" w14:textId="6ECE7B5A" w:rsidR="00C37A6F" w:rsidRDefault="00C37A6F" w:rsidP="00951389">
            <w:pPr>
              <w:jc w:val="left"/>
              <w:rPr>
                <w:bCs/>
                <w:szCs w:val="17"/>
              </w:rPr>
            </w:pPr>
            <w:r>
              <w:rPr>
                <w:bCs/>
                <w:szCs w:val="17"/>
              </w:rPr>
              <w:t>New recital noting that LRPU may limit their sustainability reporting based on the simplified SME sustainability reporting standards.</w:t>
            </w:r>
          </w:p>
        </w:tc>
        <w:tc>
          <w:tcPr>
            <w:tcW w:w="1909" w:type="dxa"/>
            <w:shd w:val="clear" w:color="auto" w:fill="auto"/>
            <w:vAlign w:val="center"/>
          </w:tcPr>
          <w:p w14:paraId="05E6E0EB" w14:textId="4D89535E" w:rsidR="00C37A6F" w:rsidRPr="00E76E73" w:rsidRDefault="00C37A6F" w:rsidP="00C37A6F">
            <w:pPr>
              <w:jc w:val="center"/>
              <w:rPr>
                <w:szCs w:val="17"/>
              </w:rPr>
            </w:pPr>
            <w:r w:rsidRPr="00E76E73">
              <w:rPr>
                <w:szCs w:val="17"/>
              </w:rPr>
              <w:t>Eroglu, Beer</w:t>
            </w:r>
          </w:p>
        </w:tc>
        <w:tc>
          <w:tcPr>
            <w:tcW w:w="2543" w:type="dxa"/>
            <w:shd w:val="clear" w:color="auto" w:fill="auto"/>
            <w:vAlign w:val="center"/>
          </w:tcPr>
          <w:p w14:paraId="054F544B" w14:textId="4EB238CA" w:rsidR="00C37A6F" w:rsidRPr="00AA5F87" w:rsidRDefault="00C37A6F" w:rsidP="00C37A6F">
            <w:pPr>
              <w:jc w:val="center"/>
              <w:rPr>
                <w:szCs w:val="17"/>
              </w:rPr>
            </w:pPr>
            <w:r w:rsidRPr="00AA5F87">
              <w:rPr>
                <w:bCs/>
                <w:szCs w:val="17"/>
              </w:rPr>
              <w:t>Reporting/Proportionality</w:t>
            </w:r>
          </w:p>
        </w:tc>
        <w:tc>
          <w:tcPr>
            <w:tcW w:w="1293" w:type="dxa"/>
            <w:shd w:val="clear" w:color="auto" w:fill="auto"/>
            <w:vAlign w:val="center"/>
          </w:tcPr>
          <w:p w14:paraId="4F616835" w14:textId="0B106E6D" w:rsidR="00C37A6F" w:rsidRPr="00553D9E" w:rsidRDefault="00C37A6F" w:rsidP="00C37A6F">
            <w:pPr>
              <w:jc w:val="center"/>
              <w:rPr>
                <w:b/>
                <w:color w:val="808080" w:themeColor="background1" w:themeShade="80"/>
                <w:szCs w:val="17"/>
                <w:highlight w:val="yellow"/>
              </w:rPr>
            </w:pPr>
            <w:r>
              <w:rPr>
                <w:b/>
                <w:color w:val="00B050"/>
                <w:szCs w:val="17"/>
              </w:rPr>
              <w:t>P</w:t>
            </w:r>
            <w:r w:rsidRPr="00F63B3C">
              <w:rPr>
                <w:b/>
                <w:color w:val="00B050"/>
                <w:szCs w:val="17"/>
              </w:rPr>
              <w:t>ositive</w:t>
            </w:r>
          </w:p>
        </w:tc>
      </w:tr>
      <w:tr w:rsidR="00C37A6F" w:rsidRPr="00D43554" w14:paraId="6D9B848D" w14:textId="77777777" w:rsidTr="00424768">
        <w:trPr>
          <w:trHeight w:val="499"/>
        </w:trPr>
        <w:tc>
          <w:tcPr>
            <w:tcW w:w="689" w:type="dxa"/>
            <w:shd w:val="clear" w:color="auto" w:fill="auto"/>
            <w:vAlign w:val="center"/>
          </w:tcPr>
          <w:p w14:paraId="5D501F32" w14:textId="77777777" w:rsidR="00C37A6F" w:rsidRDefault="00C37A6F" w:rsidP="00C37A6F">
            <w:pPr>
              <w:jc w:val="center"/>
              <w:rPr>
                <w:bCs/>
                <w:szCs w:val="17"/>
              </w:rPr>
            </w:pPr>
            <w:r>
              <w:rPr>
                <w:bCs/>
                <w:szCs w:val="17"/>
              </w:rPr>
              <w:t>306</w:t>
            </w:r>
          </w:p>
          <w:p w14:paraId="20479816" w14:textId="65C9B54D" w:rsidR="00C37A6F" w:rsidRPr="00E07ECB" w:rsidRDefault="00C37A6F" w:rsidP="00C37A6F">
            <w:pPr>
              <w:jc w:val="center"/>
              <w:rPr>
                <w:bCs/>
                <w:szCs w:val="17"/>
              </w:rPr>
            </w:pPr>
            <w:r>
              <w:rPr>
                <w:bCs/>
                <w:szCs w:val="17"/>
              </w:rPr>
              <w:t>315</w:t>
            </w:r>
          </w:p>
        </w:tc>
        <w:tc>
          <w:tcPr>
            <w:tcW w:w="1909" w:type="dxa"/>
            <w:shd w:val="clear" w:color="auto" w:fill="auto"/>
            <w:vAlign w:val="center"/>
          </w:tcPr>
          <w:p w14:paraId="75A244F4" w14:textId="4B2C4473" w:rsidR="00C37A6F" w:rsidRPr="00E07ECB" w:rsidRDefault="008017F6" w:rsidP="00C37A6F">
            <w:pPr>
              <w:jc w:val="center"/>
              <w:rPr>
                <w:bCs/>
                <w:szCs w:val="17"/>
              </w:rPr>
            </w:pPr>
            <w:r w:rsidRPr="00E76E73">
              <w:rPr>
                <w:szCs w:val="17"/>
              </w:rPr>
              <w:t>Article 4 – paragraph 1 – points a and b</w:t>
            </w:r>
            <w:r w:rsidR="008342DC" w:rsidRPr="00E76E73">
              <w:rPr>
                <w:szCs w:val="17"/>
              </w:rPr>
              <w:t xml:space="preserve"> // Article 4 – </w:t>
            </w:r>
            <w:r w:rsidR="008342DC" w:rsidRPr="00E76E73">
              <w:rPr>
                <w:szCs w:val="17"/>
              </w:rPr>
              <w:lastRenderedPageBreak/>
              <w:t>paragraph 1 – subparagraph 1 a (new)</w:t>
            </w:r>
          </w:p>
        </w:tc>
        <w:tc>
          <w:tcPr>
            <w:tcW w:w="6116" w:type="dxa"/>
            <w:shd w:val="clear" w:color="auto" w:fill="auto"/>
          </w:tcPr>
          <w:p w14:paraId="75D92D47" w14:textId="4FE072D0" w:rsidR="00C37A6F" w:rsidRDefault="00C37A6F" w:rsidP="00951389">
            <w:pPr>
              <w:jc w:val="left"/>
              <w:rPr>
                <w:bCs/>
                <w:szCs w:val="17"/>
              </w:rPr>
            </w:pPr>
            <w:r>
              <w:rPr>
                <w:bCs/>
                <w:szCs w:val="17"/>
              </w:rPr>
              <w:lastRenderedPageBreak/>
              <w:t>Removal of commission</w:t>
            </w:r>
            <w:r w:rsidR="00861220">
              <w:rPr>
                <w:bCs/>
                <w:szCs w:val="17"/>
              </w:rPr>
              <w:t>’s propos</w:t>
            </w:r>
            <w:r w:rsidR="00ED5DA7">
              <w:rPr>
                <w:bCs/>
                <w:szCs w:val="17"/>
              </w:rPr>
              <w:t xml:space="preserve">als to change </w:t>
            </w:r>
            <w:r>
              <w:rPr>
                <w:bCs/>
                <w:szCs w:val="17"/>
              </w:rPr>
              <w:t xml:space="preserve">thresholds for </w:t>
            </w:r>
            <w:r w:rsidR="00ED5DA7">
              <w:rPr>
                <w:bCs/>
                <w:szCs w:val="17"/>
              </w:rPr>
              <w:t xml:space="preserve">application of </w:t>
            </w:r>
            <w:r>
              <w:rPr>
                <w:bCs/>
                <w:szCs w:val="17"/>
              </w:rPr>
              <w:t>S2.</w:t>
            </w:r>
          </w:p>
          <w:p w14:paraId="6D3C30FC" w14:textId="62F9F45D" w:rsidR="00C37A6F" w:rsidRPr="00E07ECB" w:rsidRDefault="00221901" w:rsidP="00221901">
            <w:pPr>
              <w:jc w:val="left"/>
              <w:rPr>
                <w:bCs/>
                <w:szCs w:val="17"/>
              </w:rPr>
            </w:pPr>
            <w:r>
              <w:rPr>
                <w:bCs/>
                <w:szCs w:val="17"/>
              </w:rPr>
              <w:t xml:space="preserve">Reintroduction of EIOPA’s proposed thresholds: </w:t>
            </w:r>
            <w:proofErr w:type="spellStart"/>
            <w:r>
              <w:rPr>
                <w:bCs/>
                <w:szCs w:val="17"/>
              </w:rPr>
              <w:t>MS</w:t>
            </w:r>
            <w:r w:rsidR="00C37A6F">
              <w:rPr>
                <w:bCs/>
                <w:szCs w:val="17"/>
              </w:rPr>
              <w:t>option</w:t>
            </w:r>
            <w:proofErr w:type="spellEnd"/>
            <w:r w:rsidR="00C37A6F">
              <w:rPr>
                <w:bCs/>
                <w:szCs w:val="17"/>
              </w:rPr>
              <w:t xml:space="preserve"> to apply a different threshold if that covers low-risk profile undertakings and </w:t>
            </w:r>
            <w:r w:rsidR="00C37A6F">
              <w:rPr>
                <w:bCs/>
                <w:szCs w:val="17"/>
              </w:rPr>
              <w:lastRenderedPageBreak/>
              <w:t>represent</w:t>
            </w:r>
            <w:r w:rsidR="00475F98">
              <w:rPr>
                <w:bCs/>
                <w:szCs w:val="17"/>
              </w:rPr>
              <w:t>s</w:t>
            </w:r>
            <w:r w:rsidR="00C37A6F">
              <w:rPr>
                <w:bCs/>
                <w:szCs w:val="17"/>
              </w:rPr>
              <w:t xml:space="preserve"> a residual market share (limit 25 million).</w:t>
            </w:r>
          </w:p>
        </w:tc>
        <w:tc>
          <w:tcPr>
            <w:tcW w:w="1909" w:type="dxa"/>
            <w:shd w:val="clear" w:color="auto" w:fill="auto"/>
            <w:vAlign w:val="center"/>
          </w:tcPr>
          <w:p w14:paraId="39302690" w14:textId="66708C1B" w:rsidR="00C37A6F" w:rsidRPr="00E07ECB" w:rsidRDefault="00C37A6F" w:rsidP="00C37A6F">
            <w:pPr>
              <w:jc w:val="center"/>
              <w:rPr>
                <w:bCs/>
                <w:szCs w:val="17"/>
              </w:rPr>
            </w:pPr>
            <w:r w:rsidRPr="00E76E73">
              <w:rPr>
                <w:szCs w:val="17"/>
              </w:rPr>
              <w:lastRenderedPageBreak/>
              <w:t>MacManus</w:t>
            </w:r>
          </w:p>
        </w:tc>
        <w:tc>
          <w:tcPr>
            <w:tcW w:w="2543" w:type="dxa"/>
            <w:shd w:val="clear" w:color="auto" w:fill="auto"/>
            <w:vAlign w:val="center"/>
          </w:tcPr>
          <w:p w14:paraId="07443543" w14:textId="4296CF0E" w:rsidR="00C37A6F" w:rsidRPr="00E07ECB" w:rsidRDefault="00C37A6F" w:rsidP="00C37A6F">
            <w:pPr>
              <w:jc w:val="center"/>
              <w:rPr>
                <w:bCs/>
                <w:szCs w:val="17"/>
              </w:rPr>
            </w:pPr>
            <w:r>
              <w:rPr>
                <w:bCs/>
                <w:szCs w:val="17"/>
              </w:rPr>
              <w:t>Proportionality</w:t>
            </w:r>
            <w:r w:rsidR="00C9043B">
              <w:rPr>
                <w:bCs/>
                <w:szCs w:val="17"/>
              </w:rPr>
              <w:t>/thresholds</w:t>
            </w:r>
          </w:p>
        </w:tc>
        <w:tc>
          <w:tcPr>
            <w:tcW w:w="1293" w:type="dxa"/>
            <w:shd w:val="clear" w:color="auto" w:fill="auto"/>
            <w:vAlign w:val="center"/>
          </w:tcPr>
          <w:p w14:paraId="5EBC01BC" w14:textId="06BBCCF7" w:rsidR="00C37A6F" w:rsidRPr="002E74AE" w:rsidRDefault="00C37A6F" w:rsidP="00C37A6F">
            <w:pPr>
              <w:jc w:val="center"/>
              <w:rPr>
                <w:szCs w:val="17"/>
              </w:rPr>
            </w:pPr>
            <w:r w:rsidRPr="00E16AA7">
              <w:rPr>
                <w:b/>
                <w:color w:val="FF0000"/>
                <w:szCs w:val="17"/>
              </w:rPr>
              <w:t>Negative</w:t>
            </w:r>
          </w:p>
        </w:tc>
      </w:tr>
      <w:tr w:rsidR="00C37A6F" w:rsidRPr="00D43554" w14:paraId="319D6E1A" w14:textId="77777777" w:rsidTr="00424768">
        <w:trPr>
          <w:trHeight w:val="499"/>
        </w:trPr>
        <w:tc>
          <w:tcPr>
            <w:tcW w:w="689" w:type="dxa"/>
            <w:shd w:val="clear" w:color="auto" w:fill="auto"/>
            <w:vAlign w:val="center"/>
          </w:tcPr>
          <w:p w14:paraId="6DB2DB72" w14:textId="77777777" w:rsidR="00C37A6F" w:rsidRDefault="00C37A6F" w:rsidP="00C37A6F">
            <w:pPr>
              <w:jc w:val="center"/>
              <w:rPr>
                <w:bCs/>
                <w:szCs w:val="17"/>
              </w:rPr>
            </w:pPr>
            <w:r>
              <w:rPr>
                <w:bCs/>
                <w:szCs w:val="17"/>
              </w:rPr>
              <w:t>307</w:t>
            </w:r>
          </w:p>
          <w:p w14:paraId="02390DB6" w14:textId="01999BB4" w:rsidR="00C37A6F" w:rsidRPr="00E07ECB" w:rsidRDefault="00C37A6F" w:rsidP="00C37A6F">
            <w:pPr>
              <w:jc w:val="center"/>
              <w:rPr>
                <w:bCs/>
                <w:szCs w:val="17"/>
              </w:rPr>
            </w:pPr>
            <w:r>
              <w:rPr>
                <w:bCs/>
                <w:szCs w:val="17"/>
              </w:rPr>
              <w:t>309</w:t>
            </w:r>
          </w:p>
        </w:tc>
        <w:tc>
          <w:tcPr>
            <w:tcW w:w="1909" w:type="dxa"/>
            <w:shd w:val="clear" w:color="auto" w:fill="auto"/>
            <w:vAlign w:val="center"/>
          </w:tcPr>
          <w:p w14:paraId="61CFB597" w14:textId="601B9983" w:rsidR="00C37A6F" w:rsidRPr="00E07ECB" w:rsidRDefault="00C37A6F" w:rsidP="00C37A6F">
            <w:pPr>
              <w:jc w:val="center"/>
              <w:rPr>
                <w:bCs/>
                <w:szCs w:val="17"/>
              </w:rPr>
            </w:pPr>
            <w:r w:rsidRPr="009D559B">
              <w:rPr>
                <w:bCs/>
                <w:szCs w:val="17"/>
              </w:rPr>
              <w:t xml:space="preserve">Article </w:t>
            </w:r>
            <w:r w:rsidR="00177C66" w:rsidRPr="00E76E73">
              <w:rPr>
                <w:szCs w:val="17"/>
              </w:rPr>
              <w:t>4</w:t>
            </w:r>
            <w:r w:rsidRPr="009D559B">
              <w:rPr>
                <w:bCs/>
                <w:szCs w:val="17"/>
              </w:rPr>
              <w:t xml:space="preserve"> – paragraph 1 – </w:t>
            </w:r>
            <w:r w:rsidR="00177C66" w:rsidRPr="00E76E73">
              <w:rPr>
                <w:szCs w:val="17"/>
              </w:rPr>
              <w:t>point</w:t>
            </w:r>
            <w:r w:rsidR="00D0509E" w:rsidRPr="00E76E73">
              <w:rPr>
                <w:szCs w:val="17"/>
              </w:rPr>
              <w:t>s</w:t>
            </w:r>
            <w:r w:rsidR="00177C66" w:rsidRPr="00E76E73">
              <w:rPr>
                <w:szCs w:val="17"/>
              </w:rPr>
              <w:t xml:space="preserve"> a</w:t>
            </w:r>
            <w:r w:rsidR="00D0509E" w:rsidRPr="00E76E73">
              <w:rPr>
                <w:szCs w:val="17"/>
              </w:rPr>
              <w:t xml:space="preserve"> and b</w:t>
            </w:r>
          </w:p>
        </w:tc>
        <w:tc>
          <w:tcPr>
            <w:tcW w:w="6116" w:type="dxa"/>
            <w:shd w:val="clear" w:color="auto" w:fill="auto"/>
          </w:tcPr>
          <w:p w14:paraId="78763DB7" w14:textId="3485D47C" w:rsidR="00C37A6F" w:rsidRPr="00E07ECB" w:rsidRDefault="00C37A6F" w:rsidP="00951389">
            <w:pPr>
              <w:jc w:val="left"/>
              <w:rPr>
                <w:bCs/>
                <w:szCs w:val="17"/>
              </w:rPr>
            </w:pPr>
            <w:r>
              <w:rPr>
                <w:bCs/>
                <w:szCs w:val="17"/>
              </w:rPr>
              <w:t xml:space="preserve">Increase </w:t>
            </w:r>
            <w:proofErr w:type="gramStart"/>
            <w:r>
              <w:rPr>
                <w:bCs/>
                <w:szCs w:val="17"/>
              </w:rPr>
              <w:t xml:space="preserve">in  </w:t>
            </w:r>
            <w:r w:rsidR="00BE29CF">
              <w:rPr>
                <w:bCs/>
                <w:szCs w:val="17"/>
              </w:rPr>
              <w:t>threshold</w:t>
            </w:r>
            <w:proofErr w:type="gramEnd"/>
            <w:r w:rsidR="00BE29CF">
              <w:rPr>
                <w:bCs/>
                <w:szCs w:val="17"/>
              </w:rPr>
              <w:t xml:space="preserve"> </w:t>
            </w:r>
            <w:r>
              <w:rPr>
                <w:bCs/>
                <w:szCs w:val="17"/>
              </w:rPr>
              <w:t xml:space="preserve">to 25 </w:t>
            </w:r>
            <w:r w:rsidR="00F550AB">
              <w:rPr>
                <w:bCs/>
                <w:szCs w:val="17"/>
              </w:rPr>
              <w:t xml:space="preserve">Mio </w:t>
            </w:r>
            <w:r w:rsidR="00DC53F3">
              <w:rPr>
                <w:bCs/>
                <w:szCs w:val="17"/>
              </w:rPr>
              <w:t xml:space="preserve">annual GWP </w:t>
            </w:r>
            <w:r>
              <w:rPr>
                <w:bCs/>
                <w:szCs w:val="17"/>
              </w:rPr>
              <w:t xml:space="preserve">and in </w:t>
            </w:r>
            <w:r w:rsidR="00DB330D">
              <w:rPr>
                <w:bCs/>
                <w:szCs w:val="17"/>
              </w:rPr>
              <w:t xml:space="preserve">65 Mio </w:t>
            </w:r>
            <w:r>
              <w:rPr>
                <w:bCs/>
                <w:szCs w:val="17"/>
              </w:rPr>
              <w:t xml:space="preserve">technical provisions </w:t>
            </w:r>
          </w:p>
        </w:tc>
        <w:tc>
          <w:tcPr>
            <w:tcW w:w="1909" w:type="dxa"/>
            <w:shd w:val="clear" w:color="auto" w:fill="auto"/>
            <w:vAlign w:val="center"/>
          </w:tcPr>
          <w:p w14:paraId="6B2AA0D8" w14:textId="7489A618" w:rsidR="00C37A6F" w:rsidRPr="00E07ECB" w:rsidRDefault="00C37A6F" w:rsidP="00C37A6F">
            <w:pPr>
              <w:jc w:val="center"/>
              <w:rPr>
                <w:bCs/>
                <w:szCs w:val="17"/>
              </w:rPr>
            </w:pPr>
            <w:proofErr w:type="spellStart"/>
            <w:r w:rsidRPr="00E76E73">
              <w:rPr>
                <w:szCs w:val="17"/>
              </w:rPr>
              <w:t>Zanni</w:t>
            </w:r>
            <w:proofErr w:type="spellEnd"/>
            <w:r w:rsidRPr="00E76E73">
              <w:rPr>
                <w:szCs w:val="17"/>
              </w:rPr>
              <w:t>, Grant, Rinaldi</w:t>
            </w:r>
          </w:p>
        </w:tc>
        <w:tc>
          <w:tcPr>
            <w:tcW w:w="2543" w:type="dxa"/>
            <w:shd w:val="clear" w:color="auto" w:fill="auto"/>
            <w:vAlign w:val="center"/>
          </w:tcPr>
          <w:p w14:paraId="5D6978FA" w14:textId="2573400D" w:rsidR="00C37A6F" w:rsidRPr="00E07ECB" w:rsidRDefault="00C37A6F" w:rsidP="00C37A6F">
            <w:pPr>
              <w:jc w:val="center"/>
              <w:rPr>
                <w:bCs/>
                <w:szCs w:val="17"/>
              </w:rPr>
            </w:pPr>
            <w:r>
              <w:rPr>
                <w:bCs/>
                <w:szCs w:val="17"/>
              </w:rPr>
              <w:t>Proportionality</w:t>
            </w:r>
            <w:r w:rsidR="00E16AA7">
              <w:rPr>
                <w:bCs/>
                <w:szCs w:val="17"/>
              </w:rPr>
              <w:t>/thresholds</w:t>
            </w:r>
          </w:p>
        </w:tc>
        <w:tc>
          <w:tcPr>
            <w:tcW w:w="1293" w:type="dxa"/>
            <w:shd w:val="clear" w:color="auto" w:fill="auto"/>
            <w:vAlign w:val="center"/>
          </w:tcPr>
          <w:p w14:paraId="3252E810" w14:textId="0D355D4F" w:rsidR="00C37A6F" w:rsidRPr="000D4029" w:rsidRDefault="004E6EC9" w:rsidP="00C37A6F">
            <w:pPr>
              <w:jc w:val="center"/>
              <w:rPr>
                <w:bCs/>
                <w:szCs w:val="17"/>
                <w:highlight w:val="yellow"/>
              </w:rPr>
            </w:pPr>
            <w:r w:rsidRPr="000D4029">
              <w:rPr>
                <w:b/>
                <w:color w:val="FF0000"/>
                <w:szCs w:val="17"/>
              </w:rPr>
              <w:t>Negative</w:t>
            </w:r>
          </w:p>
        </w:tc>
      </w:tr>
      <w:tr w:rsidR="00C37A6F" w:rsidRPr="00D43554" w14:paraId="1F578054" w14:textId="77777777" w:rsidTr="00424768">
        <w:trPr>
          <w:trHeight w:val="499"/>
        </w:trPr>
        <w:tc>
          <w:tcPr>
            <w:tcW w:w="689" w:type="dxa"/>
            <w:shd w:val="clear" w:color="auto" w:fill="auto"/>
            <w:vAlign w:val="center"/>
          </w:tcPr>
          <w:p w14:paraId="5DB3FCB9" w14:textId="77777777" w:rsidR="00C37A6F" w:rsidRDefault="00C37A6F" w:rsidP="00C37A6F">
            <w:pPr>
              <w:jc w:val="center"/>
              <w:rPr>
                <w:bCs/>
                <w:szCs w:val="17"/>
              </w:rPr>
            </w:pPr>
            <w:r>
              <w:rPr>
                <w:bCs/>
                <w:szCs w:val="17"/>
              </w:rPr>
              <w:t>308</w:t>
            </w:r>
          </w:p>
          <w:p w14:paraId="7F95AF70" w14:textId="5CF32843" w:rsidR="00C37A6F" w:rsidRPr="00E07ECB" w:rsidRDefault="00C37A6F" w:rsidP="00C37A6F">
            <w:pPr>
              <w:jc w:val="center"/>
              <w:rPr>
                <w:bCs/>
                <w:szCs w:val="17"/>
              </w:rPr>
            </w:pPr>
            <w:r>
              <w:rPr>
                <w:bCs/>
                <w:szCs w:val="17"/>
              </w:rPr>
              <w:t>310</w:t>
            </w:r>
          </w:p>
        </w:tc>
        <w:tc>
          <w:tcPr>
            <w:tcW w:w="1909" w:type="dxa"/>
            <w:shd w:val="clear" w:color="auto" w:fill="auto"/>
            <w:vAlign w:val="center"/>
          </w:tcPr>
          <w:p w14:paraId="2C784D48" w14:textId="5C87D7FF" w:rsidR="00C37A6F" w:rsidRPr="00E07ECB" w:rsidRDefault="00C37A6F" w:rsidP="00C37A6F">
            <w:pPr>
              <w:jc w:val="center"/>
              <w:rPr>
                <w:bCs/>
                <w:szCs w:val="17"/>
              </w:rPr>
            </w:pPr>
            <w:r w:rsidRPr="009D559B">
              <w:rPr>
                <w:bCs/>
                <w:szCs w:val="17"/>
              </w:rPr>
              <w:t xml:space="preserve">Article </w:t>
            </w:r>
            <w:r w:rsidR="005A3780" w:rsidRPr="00E76E73">
              <w:rPr>
                <w:szCs w:val="17"/>
              </w:rPr>
              <w:t>4</w:t>
            </w:r>
            <w:r w:rsidRPr="009D559B">
              <w:rPr>
                <w:bCs/>
                <w:szCs w:val="17"/>
              </w:rPr>
              <w:t xml:space="preserve"> – paragraph 1 – </w:t>
            </w:r>
            <w:r w:rsidR="005A3780" w:rsidRPr="00E76E73">
              <w:rPr>
                <w:szCs w:val="17"/>
              </w:rPr>
              <w:t>point</w:t>
            </w:r>
            <w:r w:rsidR="007065F1" w:rsidRPr="00E76E73">
              <w:rPr>
                <w:szCs w:val="17"/>
              </w:rPr>
              <w:t>s a and b</w:t>
            </w:r>
          </w:p>
        </w:tc>
        <w:tc>
          <w:tcPr>
            <w:tcW w:w="6116" w:type="dxa"/>
            <w:shd w:val="clear" w:color="auto" w:fill="auto"/>
          </w:tcPr>
          <w:p w14:paraId="1E3984B9" w14:textId="7FFD63CC" w:rsidR="00C37A6F" w:rsidRPr="00E07ECB" w:rsidRDefault="00C37A6F" w:rsidP="00951389">
            <w:pPr>
              <w:jc w:val="left"/>
              <w:rPr>
                <w:bCs/>
                <w:szCs w:val="17"/>
              </w:rPr>
            </w:pPr>
            <w:r>
              <w:rPr>
                <w:bCs/>
                <w:szCs w:val="17"/>
              </w:rPr>
              <w:t xml:space="preserve">Decrease </w:t>
            </w:r>
            <w:proofErr w:type="gramStart"/>
            <w:r>
              <w:rPr>
                <w:bCs/>
                <w:szCs w:val="17"/>
              </w:rPr>
              <w:t xml:space="preserve">in  </w:t>
            </w:r>
            <w:r w:rsidR="00B744F2">
              <w:rPr>
                <w:bCs/>
                <w:szCs w:val="17"/>
              </w:rPr>
              <w:t>threshold</w:t>
            </w:r>
            <w:proofErr w:type="gramEnd"/>
            <w:r>
              <w:rPr>
                <w:bCs/>
                <w:szCs w:val="17"/>
              </w:rPr>
              <w:t xml:space="preserve"> to 10 </w:t>
            </w:r>
            <w:r w:rsidR="00F550AB">
              <w:rPr>
                <w:bCs/>
                <w:szCs w:val="17"/>
              </w:rPr>
              <w:t xml:space="preserve">Mio </w:t>
            </w:r>
            <w:r w:rsidR="00DB330D">
              <w:rPr>
                <w:bCs/>
                <w:szCs w:val="17"/>
              </w:rPr>
              <w:t xml:space="preserve">annual GWP </w:t>
            </w:r>
            <w:r>
              <w:rPr>
                <w:bCs/>
                <w:szCs w:val="17"/>
              </w:rPr>
              <w:t xml:space="preserve">and </w:t>
            </w:r>
            <w:r w:rsidR="00F550AB">
              <w:rPr>
                <w:bCs/>
                <w:szCs w:val="17"/>
              </w:rPr>
              <w:t xml:space="preserve">to 40 Mio </w:t>
            </w:r>
            <w:r>
              <w:rPr>
                <w:bCs/>
                <w:szCs w:val="17"/>
              </w:rPr>
              <w:t xml:space="preserve">technical provisions </w:t>
            </w:r>
          </w:p>
        </w:tc>
        <w:tc>
          <w:tcPr>
            <w:tcW w:w="1909" w:type="dxa"/>
            <w:shd w:val="clear" w:color="auto" w:fill="auto"/>
            <w:vAlign w:val="center"/>
          </w:tcPr>
          <w:p w14:paraId="1FA55E36" w14:textId="53BCBFC6" w:rsidR="00C37A6F" w:rsidRPr="00E07ECB" w:rsidRDefault="00C37A6F" w:rsidP="00C37A6F">
            <w:pPr>
              <w:jc w:val="center"/>
              <w:rPr>
                <w:bCs/>
                <w:szCs w:val="17"/>
              </w:rPr>
            </w:pPr>
            <w:proofErr w:type="spellStart"/>
            <w:r w:rsidRPr="00E76E73">
              <w:rPr>
                <w:szCs w:val="17"/>
              </w:rPr>
              <w:t>Heinäluoma</w:t>
            </w:r>
            <w:proofErr w:type="spellEnd"/>
            <w:r w:rsidRPr="00E76E73">
              <w:rPr>
                <w:szCs w:val="17"/>
              </w:rPr>
              <w:t xml:space="preserve">, Fernández, </w:t>
            </w:r>
            <w:proofErr w:type="spellStart"/>
            <w:r w:rsidRPr="00E76E73">
              <w:rPr>
                <w:szCs w:val="17"/>
              </w:rPr>
              <w:t>Lalucq</w:t>
            </w:r>
            <w:proofErr w:type="spellEnd"/>
            <w:r w:rsidRPr="00D43554">
              <w:rPr>
                <w:rStyle w:val="HideTWBExt"/>
                <w:rFonts w:ascii="Verdana" w:hAnsi="Verdana"/>
                <w:sz w:val="17"/>
                <w:szCs w:val="17"/>
                <w:specVanish w:val="0"/>
              </w:rPr>
              <w:t>&lt;/Members&gt;</w:t>
            </w:r>
          </w:p>
        </w:tc>
        <w:tc>
          <w:tcPr>
            <w:tcW w:w="2543" w:type="dxa"/>
            <w:shd w:val="clear" w:color="auto" w:fill="auto"/>
            <w:vAlign w:val="center"/>
          </w:tcPr>
          <w:p w14:paraId="261C0F84" w14:textId="3C2CE52F" w:rsidR="00C37A6F" w:rsidRPr="00E07ECB" w:rsidRDefault="00C37A6F" w:rsidP="00C37A6F">
            <w:pPr>
              <w:jc w:val="center"/>
              <w:rPr>
                <w:bCs/>
                <w:szCs w:val="17"/>
              </w:rPr>
            </w:pPr>
            <w:r>
              <w:rPr>
                <w:bCs/>
                <w:szCs w:val="17"/>
              </w:rPr>
              <w:t>Proportionality</w:t>
            </w:r>
            <w:r w:rsidR="004E6EC9">
              <w:rPr>
                <w:bCs/>
                <w:szCs w:val="17"/>
              </w:rPr>
              <w:t>/thresholds</w:t>
            </w:r>
          </w:p>
        </w:tc>
        <w:tc>
          <w:tcPr>
            <w:tcW w:w="1293" w:type="dxa"/>
            <w:shd w:val="clear" w:color="auto" w:fill="auto"/>
            <w:vAlign w:val="center"/>
          </w:tcPr>
          <w:p w14:paraId="1D8C02E3" w14:textId="0B15F5E2" w:rsidR="00C37A6F" w:rsidRPr="000D4029" w:rsidRDefault="00C37A6F" w:rsidP="00C37A6F">
            <w:pPr>
              <w:jc w:val="center"/>
              <w:rPr>
                <w:bCs/>
                <w:szCs w:val="17"/>
                <w:highlight w:val="yellow"/>
              </w:rPr>
            </w:pPr>
            <w:r w:rsidRPr="004E6EC9">
              <w:rPr>
                <w:b/>
                <w:color w:val="FF0000"/>
                <w:szCs w:val="17"/>
              </w:rPr>
              <w:t>Negative</w:t>
            </w:r>
          </w:p>
        </w:tc>
      </w:tr>
      <w:tr w:rsidR="00C37A6F" w:rsidRPr="00D43554" w14:paraId="3DBB27E0" w14:textId="77777777" w:rsidTr="00424768">
        <w:trPr>
          <w:trHeight w:val="499"/>
        </w:trPr>
        <w:tc>
          <w:tcPr>
            <w:tcW w:w="689" w:type="dxa"/>
            <w:shd w:val="clear" w:color="auto" w:fill="auto"/>
            <w:vAlign w:val="center"/>
          </w:tcPr>
          <w:p w14:paraId="7AE2E364" w14:textId="0CC5BED9" w:rsidR="00C37A6F" w:rsidRPr="00E07ECB" w:rsidRDefault="00C37A6F" w:rsidP="00C37A6F">
            <w:pPr>
              <w:jc w:val="center"/>
              <w:rPr>
                <w:bCs/>
                <w:szCs w:val="17"/>
              </w:rPr>
            </w:pPr>
            <w:r>
              <w:rPr>
                <w:bCs/>
                <w:szCs w:val="17"/>
              </w:rPr>
              <w:t>311</w:t>
            </w:r>
          </w:p>
        </w:tc>
        <w:tc>
          <w:tcPr>
            <w:tcW w:w="1909" w:type="dxa"/>
            <w:shd w:val="clear" w:color="auto" w:fill="auto"/>
            <w:vAlign w:val="center"/>
          </w:tcPr>
          <w:p w14:paraId="6D3A5B1A" w14:textId="381C2666" w:rsidR="00C37A6F" w:rsidRPr="00E07ECB" w:rsidRDefault="00C37A6F" w:rsidP="00C37A6F">
            <w:pPr>
              <w:jc w:val="center"/>
              <w:rPr>
                <w:bCs/>
                <w:szCs w:val="17"/>
              </w:rPr>
            </w:pPr>
            <w:r w:rsidRPr="001D7161">
              <w:rPr>
                <w:bCs/>
                <w:szCs w:val="17"/>
              </w:rPr>
              <w:t xml:space="preserve">Article </w:t>
            </w:r>
            <w:r w:rsidR="00416D92" w:rsidRPr="00E76E73">
              <w:rPr>
                <w:szCs w:val="17"/>
              </w:rPr>
              <w:t>4</w:t>
            </w:r>
            <w:r w:rsidRPr="001D7161">
              <w:rPr>
                <w:bCs/>
                <w:szCs w:val="17"/>
              </w:rPr>
              <w:t xml:space="preserve"> – paragraph 1 – point </w:t>
            </w:r>
            <w:r w:rsidR="00416D92" w:rsidRPr="00E76E73">
              <w:rPr>
                <w:szCs w:val="17"/>
              </w:rPr>
              <w:t>c</w:t>
            </w:r>
          </w:p>
        </w:tc>
        <w:tc>
          <w:tcPr>
            <w:tcW w:w="6116" w:type="dxa"/>
            <w:shd w:val="clear" w:color="auto" w:fill="auto"/>
          </w:tcPr>
          <w:p w14:paraId="72C5E44F" w14:textId="1C4D6DF9" w:rsidR="00C37A6F" w:rsidRPr="00E07ECB" w:rsidRDefault="00C37A6F" w:rsidP="00951389">
            <w:pPr>
              <w:jc w:val="left"/>
              <w:rPr>
                <w:bCs/>
                <w:szCs w:val="17"/>
              </w:rPr>
            </w:pPr>
            <w:r>
              <w:rPr>
                <w:bCs/>
                <w:szCs w:val="17"/>
              </w:rPr>
              <w:t xml:space="preserve">Increase of the </w:t>
            </w:r>
            <w:r w:rsidR="00DB330D">
              <w:rPr>
                <w:bCs/>
                <w:szCs w:val="17"/>
              </w:rPr>
              <w:t xml:space="preserve">threshold for groups to 100 Mio </w:t>
            </w:r>
            <w:r>
              <w:rPr>
                <w:bCs/>
                <w:szCs w:val="17"/>
              </w:rPr>
              <w:t xml:space="preserve">technical provisions </w:t>
            </w:r>
          </w:p>
        </w:tc>
        <w:tc>
          <w:tcPr>
            <w:tcW w:w="1909" w:type="dxa"/>
            <w:shd w:val="clear" w:color="auto" w:fill="auto"/>
            <w:vAlign w:val="center"/>
          </w:tcPr>
          <w:p w14:paraId="2CD4B23F" w14:textId="1AC41792" w:rsidR="00C37A6F" w:rsidRPr="00E07ECB" w:rsidRDefault="00C37A6F" w:rsidP="00C37A6F">
            <w:pPr>
              <w:jc w:val="center"/>
              <w:rPr>
                <w:bCs/>
                <w:szCs w:val="17"/>
              </w:rPr>
            </w:pPr>
            <w:r w:rsidRPr="00E76E73">
              <w:rPr>
                <w:szCs w:val="17"/>
              </w:rPr>
              <w:t>Eroglu</w:t>
            </w:r>
          </w:p>
        </w:tc>
        <w:tc>
          <w:tcPr>
            <w:tcW w:w="2543" w:type="dxa"/>
            <w:shd w:val="clear" w:color="auto" w:fill="auto"/>
            <w:vAlign w:val="center"/>
          </w:tcPr>
          <w:p w14:paraId="76C6E4FD" w14:textId="082DEACC" w:rsidR="00C37A6F" w:rsidRPr="00E07ECB" w:rsidRDefault="00C37A6F" w:rsidP="00C37A6F">
            <w:pPr>
              <w:jc w:val="center"/>
              <w:rPr>
                <w:bCs/>
                <w:szCs w:val="17"/>
              </w:rPr>
            </w:pPr>
            <w:r>
              <w:rPr>
                <w:bCs/>
                <w:szCs w:val="17"/>
              </w:rPr>
              <w:t>Proportionality</w:t>
            </w:r>
            <w:r w:rsidR="00DB330D">
              <w:rPr>
                <w:bCs/>
                <w:szCs w:val="17"/>
              </w:rPr>
              <w:t>/thresholds</w:t>
            </w:r>
          </w:p>
        </w:tc>
        <w:tc>
          <w:tcPr>
            <w:tcW w:w="1293" w:type="dxa"/>
            <w:shd w:val="clear" w:color="auto" w:fill="auto"/>
            <w:vAlign w:val="center"/>
          </w:tcPr>
          <w:p w14:paraId="474BB067" w14:textId="6180AC24" w:rsidR="00C37A6F" w:rsidRPr="000D4029" w:rsidRDefault="00165651" w:rsidP="00C37A6F">
            <w:pPr>
              <w:jc w:val="center"/>
              <w:rPr>
                <w:bCs/>
                <w:szCs w:val="17"/>
                <w:highlight w:val="yellow"/>
              </w:rPr>
            </w:pPr>
            <w:r w:rsidRPr="00976882">
              <w:rPr>
                <w:b/>
                <w:color w:val="808080" w:themeColor="background1" w:themeShade="80"/>
                <w:szCs w:val="17"/>
              </w:rPr>
              <w:t>Neutral</w:t>
            </w:r>
          </w:p>
        </w:tc>
      </w:tr>
      <w:tr w:rsidR="00C37A6F" w:rsidRPr="00D43554" w14:paraId="5DC287A9" w14:textId="77777777" w:rsidTr="00424768">
        <w:trPr>
          <w:trHeight w:val="499"/>
        </w:trPr>
        <w:tc>
          <w:tcPr>
            <w:tcW w:w="689" w:type="dxa"/>
            <w:shd w:val="clear" w:color="auto" w:fill="auto"/>
            <w:vAlign w:val="center"/>
          </w:tcPr>
          <w:p w14:paraId="4FF588A7" w14:textId="3967A187" w:rsidR="00C37A6F" w:rsidRPr="00E07ECB" w:rsidRDefault="00C37A6F" w:rsidP="00C37A6F">
            <w:pPr>
              <w:jc w:val="center"/>
              <w:rPr>
                <w:bCs/>
                <w:szCs w:val="17"/>
              </w:rPr>
            </w:pPr>
            <w:r w:rsidRPr="00E76E73">
              <w:rPr>
                <w:bCs/>
                <w:szCs w:val="17"/>
              </w:rPr>
              <w:t>31</w:t>
            </w:r>
            <w:r w:rsidR="00165651" w:rsidRPr="00E76E73">
              <w:rPr>
                <w:bCs/>
                <w:szCs w:val="17"/>
              </w:rPr>
              <w:t>2</w:t>
            </w:r>
          </w:p>
        </w:tc>
        <w:tc>
          <w:tcPr>
            <w:tcW w:w="1909" w:type="dxa"/>
            <w:shd w:val="clear" w:color="auto" w:fill="auto"/>
            <w:vAlign w:val="center"/>
          </w:tcPr>
          <w:p w14:paraId="19884510" w14:textId="1B017C3D" w:rsidR="00C37A6F" w:rsidRPr="00E07ECB" w:rsidRDefault="00C37A6F" w:rsidP="00C37A6F">
            <w:pPr>
              <w:jc w:val="center"/>
              <w:rPr>
                <w:bCs/>
                <w:szCs w:val="17"/>
              </w:rPr>
            </w:pPr>
            <w:r w:rsidRPr="001D7161">
              <w:rPr>
                <w:bCs/>
                <w:szCs w:val="17"/>
              </w:rPr>
              <w:t xml:space="preserve">Article </w:t>
            </w:r>
            <w:r w:rsidR="00B955EF" w:rsidRPr="00E76E73">
              <w:rPr>
                <w:szCs w:val="17"/>
              </w:rPr>
              <w:t>4</w:t>
            </w:r>
            <w:r w:rsidRPr="001D7161">
              <w:rPr>
                <w:bCs/>
                <w:szCs w:val="17"/>
              </w:rPr>
              <w:t xml:space="preserve"> – paragraph 1 – point </w:t>
            </w:r>
            <w:r w:rsidR="00B955EF" w:rsidRPr="00E76E73">
              <w:rPr>
                <w:szCs w:val="17"/>
              </w:rPr>
              <w:t>c</w:t>
            </w:r>
          </w:p>
        </w:tc>
        <w:tc>
          <w:tcPr>
            <w:tcW w:w="6116" w:type="dxa"/>
            <w:shd w:val="clear" w:color="auto" w:fill="auto"/>
          </w:tcPr>
          <w:p w14:paraId="1BCE3ADA" w14:textId="2058D43F" w:rsidR="00C37A6F" w:rsidRPr="00E07ECB" w:rsidRDefault="00DB330D" w:rsidP="00951389">
            <w:pPr>
              <w:jc w:val="left"/>
              <w:rPr>
                <w:bCs/>
                <w:szCs w:val="17"/>
              </w:rPr>
            </w:pPr>
            <w:r>
              <w:rPr>
                <w:bCs/>
                <w:szCs w:val="17"/>
              </w:rPr>
              <w:t>Increase of the threshold for groups to 65 Mio technical provisions</w:t>
            </w:r>
          </w:p>
        </w:tc>
        <w:tc>
          <w:tcPr>
            <w:tcW w:w="1909" w:type="dxa"/>
            <w:shd w:val="clear" w:color="auto" w:fill="auto"/>
            <w:vAlign w:val="center"/>
          </w:tcPr>
          <w:p w14:paraId="51B46DF9" w14:textId="7C180F47" w:rsidR="00C37A6F" w:rsidRPr="00E07ECB" w:rsidRDefault="00C37A6F" w:rsidP="00C37A6F">
            <w:pPr>
              <w:jc w:val="center"/>
              <w:rPr>
                <w:bCs/>
                <w:szCs w:val="17"/>
              </w:rPr>
            </w:pPr>
            <w:proofErr w:type="spellStart"/>
            <w:r w:rsidRPr="00E76E73">
              <w:rPr>
                <w:szCs w:val="17"/>
              </w:rPr>
              <w:t>Zanni</w:t>
            </w:r>
            <w:proofErr w:type="spellEnd"/>
            <w:r w:rsidRPr="00E76E73">
              <w:rPr>
                <w:szCs w:val="17"/>
              </w:rPr>
              <w:t>, Grant, Rinaldi</w:t>
            </w:r>
          </w:p>
        </w:tc>
        <w:tc>
          <w:tcPr>
            <w:tcW w:w="2543" w:type="dxa"/>
            <w:shd w:val="clear" w:color="auto" w:fill="auto"/>
            <w:vAlign w:val="center"/>
          </w:tcPr>
          <w:p w14:paraId="11EBCCD1" w14:textId="0AD32F56" w:rsidR="00C37A6F" w:rsidRPr="00E07ECB" w:rsidRDefault="00DB330D" w:rsidP="00C37A6F">
            <w:pPr>
              <w:jc w:val="center"/>
              <w:rPr>
                <w:bCs/>
                <w:szCs w:val="17"/>
              </w:rPr>
            </w:pPr>
            <w:r>
              <w:rPr>
                <w:bCs/>
                <w:szCs w:val="17"/>
              </w:rPr>
              <w:t>Proportionality/thresholds</w:t>
            </w:r>
          </w:p>
        </w:tc>
        <w:tc>
          <w:tcPr>
            <w:tcW w:w="1293" w:type="dxa"/>
            <w:shd w:val="clear" w:color="auto" w:fill="auto"/>
            <w:vAlign w:val="center"/>
          </w:tcPr>
          <w:p w14:paraId="1E1D1BDC" w14:textId="62CB9D6E" w:rsidR="00C37A6F" w:rsidRPr="000D4029" w:rsidRDefault="00165651" w:rsidP="00C37A6F">
            <w:pPr>
              <w:jc w:val="center"/>
              <w:rPr>
                <w:bCs/>
                <w:szCs w:val="17"/>
                <w:highlight w:val="yellow"/>
              </w:rPr>
            </w:pPr>
            <w:r w:rsidRPr="00976882">
              <w:rPr>
                <w:b/>
                <w:color w:val="808080" w:themeColor="background1" w:themeShade="80"/>
                <w:szCs w:val="17"/>
              </w:rPr>
              <w:t>Neutral</w:t>
            </w:r>
          </w:p>
        </w:tc>
      </w:tr>
      <w:tr w:rsidR="00C37A6F" w:rsidRPr="00D43554" w14:paraId="7D804129" w14:textId="77777777" w:rsidTr="00424768">
        <w:trPr>
          <w:trHeight w:val="499"/>
        </w:trPr>
        <w:tc>
          <w:tcPr>
            <w:tcW w:w="689" w:type="dxa"/>
            <w:shd w:val="clear" w:color="auto" w:fill="auto"/>
            <w:vAlign w:val="center"/>
          </w:tcPr>
          <w:p w14:paraId="55AA8090" w14:textId="77777777" w:rsidR="00C37A6F" w:rsidRDefault="00C37A6F" w:rsidP="00C37A6F">
            <w:pPr>
              <w:jc w:val="center"/>
              <w:rPr>
                <w:bCs/>
                <w:szCs w:val="17"/>
              </w:rPr>
            </w:pPr>
            <w:r>
              <w:rPr>
                <w:bCs/>
                <w:szCs w:val="17"/>
              </w:rPr>
              <w:t>313</w:t>
            </w:r>
          </w:p>
          <w:p w14:paraId="0ADB35D7" w14:textId="0912E64A" w:rsidR="00C37A6F" w:rsidRPr="00E07ECB" w:rsidRDefault="00C37A6F" w:rsidP="00C37A6F">
            <w:pPr>
              <w:jc w:val="center"/>
              <w:rPr>
                <w:bCs/>
                <w:szCs w:val="17"/>
              </w:rPr>
            </w:pPr>
            <w:r>
              <w:rPr>
                <w:bCs/>
                <w:szCs w:val="17"/>
              </w:rPr>
              <w:t>314</w:t>
            </w:r>
          </w:p>
        </w:tc>
        <w:tc>
          <w:tcPr>
            <w:tcW w:w="1909" w:type="dxa"/>
            <w:shd w:val="clear" w:color="auto" w:fill="auto"/>
            <w:vAlign w:val="center"/>
          </w:tcPr>
          <w:p w14:paraId="16AD2B9C" w14:textId="35B71B96" w:rsidR="00C37A6F" w:rsidRPr="00E07ECB" w:rsidRDefault="00C37A6F" w:rsidP="00C37A6F">
            <w:pPr>
              <w:jc w:val="center"/>
              <w:rPr>
                <w:bCs/>
                <w:szCs w:val="17"/>
              </w:rPr>
            </w:pPr>
            <w:r w:rsidRPr="001D7161">
              <w:rPr>
                <w:bCs/>
                <w:szCs w:val="17"/>
              </w:rPr>
              <w:t xml:space="preserve">Article </w:t>
            </w:r>
            <w:r w:rsidR="00FC319A" w:rsidRPr="00E76E73">
              <w:rPr>
                <w:szCs w:val="17"/>
              </w:rPr>
              <w:t>4</w:t>
            </w:r>
            <w:r w:rsidRPr="001D7161">
              <w:rPr>
                <w:bCs/>
                <w:szCs w:val="17"/>
              </w:rPr>
              <w:t xml:space="preserve"> – paragraph 1 – point </w:t>
            </w:r>
            <w:r w:rsidR="00FC319A" w:rsidRPr="00E76E73">
              <w:rPr>
                <w:szCs w:val="17"/>
              </w:rPr>
              <w:t>c</w:t>
            </w:r>
          </w:p>
        </w:tc>
        <w:tc>
          <w:tcPr>
            <w:tcW w:w="6116" w:type="dxa"/>
            <w:shd w:val="clear" w:color="auto" w:fill="auto"/>
          </w:tcPr>
          <w:p w14:paraId="0C6EC37C" w14:textId="5735D046" w:rsidR="00C37A6F" w:rsidRPr="00E07ECB" w:rsidRDefault="00DB330D" w:rsidP="00951389">
            <w:pPr>
              <w:jc w:val="left"/>
              <w:rPr>
                <w:bCs/>
                <w:szCs w:val="17"/>
              </w:rPr>
            </w:pPr>
            <w:r>
              <w:rPr>
                <w:bCs/>
                <w:szCs w:val="17"/>
              </w:rPr>
              <w:t>Increase of the threshold for groups to 50 Mio technical provisions</w:t>
            </w:r>
          </w:p>
        </w:tc>
        <w:tc>
          <w:tcPr>
            <w:tcW w:w="1909" w:type="dxa"/>
            <w:shd w:val="clear" w:color="auto" w:fill="auto"/>
            <w:vAlign w:val="center"/>
          </w:tcPr>
          <w:p w14:paraId="11727513" w14:textId="6D4A4656" w:rsidR="00C37A6F" w:rsidRPr="00E76E73" w:rsidRDefault="00C37A6F" w:rsidP="00C37A6F">
            <w:pPr>
              <w:jc w:val="center"/>
              <w:rPr>
                <w:szCs w:val="17"/>
              </w:rPr>
            </w:pPr>
            <w:r w:rsidRPr="00E76E73">
              <w:rPr>
                <w:szCs w:val="17"/>
              </w:rPr>
              <w:t>Hahn</w:t>
            </w:r>
            <w:r w:rsidR="005868BB" w:rsidRPr="00E76E73">
              <w:rPr>
                <w:szCs w:val="17"/>
              </w:rPr>
              <w:t>/</w:t>
            </w:r>
          </w:p>
          <w:p w14:paraId="104E2E49" w14:textId="6F0217CA" w:rsidR="00C37A6F" w:rsidRPr="00E07ECB" w:rsidRDefault="00C37A6F" w:rsidP="00C37A6F">
            <w:pPr>
              <w:jc w:val="center"/>
              <w:rPr>
                <w:bCs/>
                <w:szCs w:val="17"/>
              </w:rPr>
            </w:pPr>
            <w:r w:rsidRPr="00E76E73">
              <w:rPr>
                <w:szCs w:val="17"/>
              </w:rPr>
              <w:t>Yon-Courtin, Boyer</w:t>
            </w:r>
          </w:p>
        </w:tc>
        <w:tc>
          <w:tcPr>
            <w:tcW w:w="2543" w:type="dxa"/>
            <w:shd w:val="clear" w:color="auto" w:fill="auto"/>
            <w:vAlign w:val="center"/>
          </w:tcPr>
          <w:p w14:paraId="22526FE0" w14:textId="4683EAF1" w:rsidR="00C37A6F" w:rsidRPr="00E07ECB" w:rsidRDefault="00DB330D" w:rsidP="00C37A6F">
            <w:pPr>
              <w:jc w:val="center"/>
              <w:rPr>
                <w:bCs/>
                <w:szCs w:val="17"/>
              </w:rPr>
            </w:pPr>
            <w:r>
              <w:rPr>
                <w:bCs/>
                <w:szCs w:val="17"/>
              </w:rPr>
              <w:t>Proportionality/thresholds</w:t>
            </w:r>
          </w:p>
        </w:tc>
        <w:tc>
          <w:tcPr>
            <w:tcW w:w="1293" w:type="dxa"/>
            <w:shd w:val="clear" w:color="auto" w:fill="auto"/>
            <w:vAlign w:val="center"/>
          </w:tcPr>
          <w:p w14:paraId="4F9AB78B" w14:textId="4DD8ED67" w:rsidR="00C37A6F" w:rsidRPr="000D4029" w:rsidRDefault="005868BB" w:rsidP="00C37A6F">
            <w:pPr>
              <w:jc w:val="center"/>
              <w:rPr>
                <w:bCs/>
                <w:szCs w:val="17"/>
                <w:highlight w:val="yellow"/>
              </w:rPr>
            </w:pPr>
            <w:r w:rsidRPr="00FE28E9">
              <w:rPr>
                <w:b/>
                <w:color w:val="00B050"/>
                <w:szCs w:val="17"/>
              </w:rPr>
              <w:t>Positive</w:t>
            </w:r>
          </w:p>
        </w:tc>
      </w:tr>
      <w:tr w:rsidR="00C37A6F" w:rsidRPr="00D43554" w14:paraId="67468969" w14:textId="77777777" w:rsidTr="00424768">
        <w:trPr>
          <w:trHeight w:val="499"/>
        </w:trPr>
        <w:tc>
          <w:tcPr>
            <w:tcW w:w="689" w:type="dxa"/>
            <w:shd w:val="clear" w:color="auto" w:fill="auto"/>
            <w:vAlign w:val="center"/>
          </w:tcPr>
          <w:p w14:paraId="3C50B0CA" w14:textId="42EC29E9" w:rsidR="00C37A6F" w:rsidRPr="00E07ECB" w:rsidRDefault="00C37A6F" w:rsidP="00C37A6F">
            <w:pPr>
              <w:jc w:val="center"/>
              <w:rPr>
                <w:bCs/>
                <w:szCs w:val="17"/>
              </w:rPr>
            </w:pPr>
            <w:r>
              <w:rPr>
                <w:bCs/>
                <w:szCs w:val="17"/>
              </w:rPr>
              <w:t>316</w:t>
            </w:r>
          </w:p>
        </w:tc>
        <w:tc>
          <w:tcPr>
            <w:tcW w:w="1909" w:type="dxa"/>
            <w:shd w:val="clear" w:color="auto" w:fill="auto"/>
            <w:vAlign w:val="center"/>
          </w:tcPr>
          <w:p w14:paraId="7E9B08A0" w14:textId="3B317072" w:rsidR="00C37A6F" w:rsidRPr="00E07ECB" w:rsidRDefault="003E0E08" w:rsidP="00C37A6F">
            <w:pPr>
              <w:jc w:val="center"/>
              <w:rPr>
                <w:bCs/>
                <w:szCs w:val="17"/>
              </w:rPr>
            </w:pPr>
            <w:r w:rsidRPr="00E76E73">
              <w:rPr>
                <w:szCs w:val="17"/>
              </w:rPr>
              <w:t>Article 4 – paragraph 4 – subparagraph 1 – introductory part</w:t>
            </w:r>
          </w:p>
        </w:tc>
        <w:tc>
          <w:tcPr>
            <w:tcW w:w="6116" w:type="dxa"/>
            <w:shd w:val="clear" w:color="auto" w:fill="auto"/>
          </w:tcPr>
          <w:p w14:paraId="1CA6DAC3" w14:textId="161857B2" w:rsidR="00C37A6F" w:rsidRPr="00E07ECB" w:rsidRDefault="00C37A6F" w:rsidP="00951389">
            <w:pPr>
              <w:jc w:val="left"/>
              <w:rPr>
                <w:bCs/>
                <w:szCs w:val="17"/>
              </w:rPr>
            </w:pPr>
            <w:r>
              <w:rPr>
                <w:bCs/>
                <w:szCs w:val="17"/>
              </w:rPr>
              <w:t>Inclusion of</w:t>
            </w:r>
            <w:r w:rsidR="0035304A">
              <w:rPr>
                <w:bCs/>
                <w:szCs w:val="17"/>
              </w:rPr>
              <w:t xml:space="preserve"> power for NSA </w:t>
            </w:r>
            <w:r>
              <w:rPr>
                <w:bCs/>
                <w:szCs w:val="17"/>
              </w:rPr>
              <w:t>to limit e</w:t>
            </w:r>
            <w:r w:rsidRPr="008C6595">
              <w:rPr>
                <w:bCs/>
                <w:szCs w:val="17"/>
              </w:rPr>
              <w:t>xclusion from scope due to size</w:t>
            </w:r>
          </w:p>
        </w:tc>
        <w:tc>
          <w:tcPr>
            <w:tcW w:w="1909" w:type="dxa"/>
            <w:shd w:val="clear" w:color="auto" w:fill="auto"/>
            <w:vAlign w:val="center"/>
          </w:tcPr>
          <w:p w14:paraId="48232F66" w14:textId="2FD63814" w:rsidR="00C37A6F" w:rsidRPr="00E07ECB" w:rsidRDefault="00C37A6F" w:rsidP="00C37A6F">
            <w:pPr>
              <w:jc w:val="center"/>
              <w:rPr>
                <w:bCs/>
                <w:szCs w:val="17"/>
              </w:rPr>
            </w:pPr>
            <w:r w:rsidRPr="00E76E73">
              <w:rPr>
                <w:szCs w:val="17"/>
              </w:rPr>
              <w:t>Hahn</w:t>
            </w:r>
          </w:p>
        </w:tc>
        <w:tc>
          <w:tcPr>
            <w:tcW w:w="2543" w:type="dxa"/>
            <w:shd w:val="clear" w:color="auto" w:fill="auto"/>
            <w:vAlign w:val="center"/>
          </w:tcPr>
          <w:p w14:paraId="08DE3D9D" w14:textId="439A465B" w:rsidR="00C37A6F" w:rsidRPr="00E07ECB" w:rsidRDefault="00C37A6F" w:rsidP="00C37A6F">
            <w:pPr>
              <w:jc w:val="center"/>
              <w:rPr>
                <w:bCs/>
                <w:szCs w:val="17"/>
              </w:rPr>
            </w:pPr>
            <w:r>
              <w:rPr>
                <w:bCs/>
                <w:szCs w:val="17"/>
              </w:rPr>
              <w:t>Proportionality</w:t>
            </w:r>
          </w:p>
        </w:tc>
        <w:tc>
          <w:tcPr>
            <w:tcW w:w="1293" w:type="dxa"/>
            <w:shd w:val="clear" w:color="auto" w:fill="auto"/>
            <w:vAlign w:val="center"/>
          </w:tcPr>
          <w:p w14:paraId="50EE768B" w14:textId="4832336D" w:rsidR="00C37A6F" w:rsidRPr="00E07ECB" w:rsidRDefault="00C37A6F" w:rsidP="00C37A6F">
            <w:pPr>
              <w:jc w:val="center"/>
              <w:rPr>
                <w:bCs/>
                <w:szCs w:val="17"/>
              </w:rPr>
            </w:pPr>
            <w:r w:rsidRPr="00DC4CB9">
              <w:rPr>
                <w:b/>
                <w:color w:val="FF0000"/>
                <w:szCs w:val="17"/>
              </w:rPr>
              <w:t>Negative</w:t>
            </w:r>
          </w:p>
        </w:tc>
      </w:tr>
      <w:tr w:rsidR="00C37A6F" w:rsidRPr="00D43554" w14:paraId="19A4E29D" w14:textId="77777777" w:rsidTr="00424768">
        <w:trPr>
          <w:trHeight w:val="499"/>
        </w:trPr>
        <w:tc>
          <w:tcPr>
            <w:tcW w:w="689" w:type="dxa"/>
            <w:shd w:val="clear" w:color="auto" w:fill="auto"/>
            <w:vAlign w:val="center"/>
          </w:tcPr>
          <w:p w14:paraId="48EBC679" w14:textId="77777777" w:rsidR="00C37A6F" w:rsidRDefault="00C37A6F" w:rsidP="00C37A6F">
            <w:pPr>
              <w:jc w:val="center"/>
              <w:rPr>
                <w:bCs/>
                <w:szCs w:val="17"/>
              </w:rPr>
            </w:pPr>
            <w:r>
              <w:rPr>
                <w:bCs/>
                <w:szCs w:val="17"/>
              </w:rPr>
              <w:t>317</w:t>
            </w:r>
          </w:p>
          <w:p w14:paraId="181275F6" w14:textId="1829DCB0" w:rsidR="00C37A6F" w:rsidRPr="00E07ECB" w:rsidRDefault="00C37A6F" w:rsidP="00C37A6F">
            <w:pPr>
              <w:jc w:val="center"/>
              <w:rPr>
                <w:bCs/>
                <w:szCs w:val="17"/>
              </w:rPr>
            </w:pPr>
            <w:r>
              <w:rPr>
                <w:bCs/>
                <w:szCs w:val="17"/>
              </w:rPr>
              <w:t>318</w:t>
            </w:r>
          </w:p>
        </w:tc>
        <w:tc>
          <w:tcPr>
            <w:tcW w:w="1909" w:type="dxa"/>
            <w:shd w:val="clear" w:color="auto" w:fill="auto"/>
            <w:vAlign w:val="center"/>
          </w:tcPr>
          <w:p w14:paraId="174418AA" w14:textId="42E9344A" w:rsidR="00C37A6F" w:rsidRPr="00E76E73" w:rsidRDefault="00C37A6F" w:rsidP="00C37A6F">
            <w:pPr>
              <w:jc w:val="center"/>
              <w:rPr>
                <w:szCs w:val="17"/>
              </w:rPr>
            </w:pPr>
            <w:r w:rsidRPr="00E76E73">
              <w:rPr>
                <w:szCs w:val="17"/>
              </w:rPr>
              <w:t xml:space="preserve">Article </w:t>
            </w:r>
            <w:r w:rsidR="00A01580" w:rsidRPr="00E76E73">
              <w:rPr>
                <w:szCs w:val="17"/>
              </w:rPr>
              <w:t>13</w:t>
            </w:r>
            <w:r w:rsidRPr="00E76E73">
              <w:rPr>
                <w:szCs w:val="17"/>
              </w:rPr>
              <w:t xml:space="preserve"> – paragraph 1 – point </w:t>
            </w:r>
            <w:r w:rsidR="00A01580" w:rsidRPr="00E76E73">
              <w:rPr>
                <w:szCs w:val="17"/>
              </w:rPr>
              <w:t>10a</w:t>
            </w:r>
          </w:p>
        </w:tc>
        <w:tc>
          <w:tcPr>
            <w:tcW w:w="6116" w:type="dxa"/>
            <w:shd w:val="clear" w:color="auto" w:fill="auto"/>
          </w:tcPr>
          <w:p w14:paraId="2A72F160" w14:textId="496A572E" w:rsidR="00C37A6F" w:rsidRPr="00E07ECB" w:rsidRDefault="00C37A6F" w:rsidP="00951389">
            <w:pPr>
              <w:jc w:val="left"/>
              <w:rPr>
                <w:bCs/>
                <w:szCs w:val="17"/>
              </w:rPr>
            </w:pPr>
            <w:r w:rsidRPr="005A4378">
              <w:rPr>
                <w:bCs/>
                <w:szCs w:val="17"/>
              </w:rPr>
              <w:t>Inclusion of captive undertakings w</w:t>
            </w:r>
            <w:r>
              <w:rPr>
                <w:bCs/>
                <w:szCs w:val="17"/>
              </w:rPr>
              <w:t>ithin low-risk profile scope</w:t>
            </w:r>
          </w:p>
        </w:tc>
        <w:tc>
          <w:tcPr>
            <w:tcW w:w="1909" w:type="dxa"/>
            <w:shd w:val="clear" w:color="auto" w:fill="auto"/>
            <w:vAlign w:val="center"/>
          </w:tcPr>
          <w:p w14:paraId="0F9F591B" w14:textId="77777777" w:rsidR="00C37A6F" w:rsidRPr="00E76E73" w:rsidRDefault="00C37A6F" w:rsidP="00C37A6F">
            <w:pPr>
              <w:jc w:val="center"/>
              <w:rPr>
                <w:szCs w:val="17"/>
              </w:rPr>
            </w:pPr>
            <w:proofErr w:type="spellStart"/>
            <w:r w:rsidRPr="00E76E73">
              <w:rPr>
                <w:szCs w:val="17"/>
              </w:rPr>
              <w:t>Zanni</w:t>
            </w:r>
            <w:proofErr w:type="spellEnd"/>
            <w:r w:rsidRPr="00E76E73">
              <w:rPr>
                <w:szCs w:val="17"/>
              </w:rPr>
              <w:t>, Grant, Rinaldi</w:t>
            </w:r>
          </w:p>
          <w:p w14:paraId="16A2AB85" w14:textId="6F2A08AB" w:rsidR="00C37A6F" w:rsidRPr="00E07ECB" w:rsidRDefault="00C37A6F" w:rsidP="00C37A6F">
            <w:pPr>
              <w:jc w:val="center"/>
              <w:rPr>
                <w:bCs/>
                <w:szCs w:val="17"/>
              </w:rPr>
            </w:pPr>
            <w:r w:rsidRPr="00E76E73">
              <w:rPr>
                <w:szCs w:val="17"/>
              </w:rPr>
              <w:t>Fitzgerald</w:t>
            </w:r>
          </w:p>
        </w:tc>
        <w:tc>
          <w:tcPr>
            <w:tcW w:w="2543" w:type="dxa"/>
            <w:shd w:val="clear" w:color="auto" w:fill="auto"/>
            <w:vAlign w:val="center"/>
          </w:tcPr>
          <w:p w14:paraId="799AD744" w14:textId="060D68F0" w:rsidR="00C37A6F" w:rsidRPr="00E07ECB" w:rsidRDefault="00C37A6F" w:rsidP="00C37A6F">
            <w:pPr>
              <w:jc w:val="center"/>
              <w:rPr>
                <w:bCs/>
                <w:szCs w:val="17"/>
              </w:rPr>
            </w:pPr>
            <w:r>
              <w:rPr>
                <w:bCs/>
                <w:szCs w:val="17"/>
              </w:rPr>
              <w:t>Proportionality</w:t>
            </w:r>
          </w:p>
        </w:tc>
        <w:tc>
          <w:tcPr>
            <w:tcW w:w="1293" w:type="dxa"/>
            <w:shd w:val="clear" w:color="auto" w:fill="auto"/>
            <w:vAlign w:val="center"/>
          </w:tcPr>
          <w:p w14:paraId="4441569F" w14:textId="3A9B7A3D" w:rsidR="00C37A6F" w:rsidRPr="00E07ECB" w:rsidRDefault="00C37A6F" w:rsidP="00C37A6F">
            <w:pPr>
              <w:jc w:val="center"/>
              <w:rPr>
                <w:bCs/>
                <w:szCs w:val="17"/>
              </w:rPr>
            </w:pPr>
            <w:r w:rsidRPr="00FE28E9">
              <w:rPr>
                <w:b/>
                <w:color w:val="00B050"/>
                <w:szCs w:val="17"/>
              </w:rPr>
              <w:t>Positive</w:t>
            </w:r>
          </w:p>
        </w:tc>
      </w:tr>
      <w:tr w:rsidR="00C37A6F" w:rsidRPr="00D43554" w14:paraId="20D8B803" w14:textId="77777777" w:rsidTr="00424768">
        <w:trPr>
          <w:trHeight w:val="499"/>
        </w:trPr>
        <w:tc>
          <w:tcPr>
            <w:tcW w:w="689" w:type="dxa"/>
            <w:shd w:val="clear" w:color="auto" w:fill="auto"/>
            <w:vAlign w:val="center"/>
          </w:tcPr>
          <w:p w14:paraId="65965422" w14:textId="79AD4236" w:rsidR="00C37A6F" w:rsidRPr="00E07ECB" w:rsidRDefault="00C37A6F" w:rsidP="00C37A6F">
            <w:pPr>
              <w:jc w:val="center"/>
              <w:rPr>
                <w:bCs/>
                <w:szCs w:val="17"/>
              </w:rPr>
            </w:pPr>
            <w:r>
              <w:rPr>
                <w:bCs/>
                <w:szCs w:val="17"/>
              </w:rPr>
              <w:t>319</w:t>
            </w:r>
          </w:p>
        </w:tc>
        <w:tc>
          <w:tcPr>
            <w:tcW w:w="1909" w:type="dxa"/>
            <w:shd w:val="clear" w:color="auto" w:fill="auto"/>
            <w:vAlign w:val="center"/>
          </w:tcPr>
          <w:p w14:paraId="532697E8" w14:textId="2B3CA40C" w:rsidR="00C37A6F" w:rsidRPr="00E76E73" w:rsidRDefault="00C37A6F" w:rsidP="00C37A6F">
            <w:pPr>
              <w:jc w:val="center"/>
              <w:rPr>
                <w:szCs w:val="17"/>
              </w:rPr>
            </w:pPr>
            <w:r w:rsidRPr="00E76E73">
              <w:rPr>
                <w:szCs w:val="17"/>
              </w:rPr>
              <w:t xml:space="preserve">Article </w:t>
            </w:r>
            <w:r w:rsidR="008A55D2" w:rsidRPr="00E76E73">
              <w:rPr>
                <w:szCs w:val="17"/>
              </w:rPr>
              <w:t>13</w:t>
            </w:r>
            <w:r w:rsidRPr="00E76E73">
              <w:rPr>
                <w:szCs w:val="17"/>
              </w:rPr>
              <w:t xml:space="preserve"> – paragraph 1 – point </w:t>
            </w:r>
            <w:r w:rsidR="008A55D2" w:rsidRPr="00E76E73">
              <w:rPr>
                <w:szCs w:val="17"/>
              </w:rPr>
              <w:t>10a a (new)</w:t>
            </w:r>
          </w:p>
        </w:tc>
        <w:tc>
          <w:tcPr>
            <w:tcW w:w="6116" w:type="dxa"/>
            <w:shd w:val="clear" w:color="auto" w:fill="auto"/>
          </w:tcPr>
          <w:p w14:paraId="0A9E8D48" w14:textId="5C0C0309" w:rsidR="00C37A6F" w:rsidRPr="00E07ECB" w:rsidRDefault="00C37A6F" w:rsidP="00951389">
            <w:pPr>
              <w:jc w:val="left"/>
              <w:rPr>
                <w:bCs/>
                <w:szCs w:val="17"/>
              </w:rPr>
            </w:pPr>
            <w:r w:rsidRPr="00AC7ED4">
              <w:rPr>
                <w:bCs/>
                <w:szCs w:val="17"/>
              </w:rPr>
              <w:t>Definition of significant cross-b</w:t>
            </w:r>
            <w:r>
              <w:rPr>
                <w:bCs/>
                <w:szCs w:val="17"/>
              </w:rPr>
              <w:t>order activity as those ones identify by the NSA</w:t>
            </w:r>
            <w:r w:rsidR="004D5AC0">
              <w:rPr>
                <w:bCs/>
                <w:szCs w:val="17"/>
              </w:rPr>
              <w:t>.</w:t>
            </w:r>
          </w:p>
        </w:tc>
        <w:tc>
          <w:tcPr>
            <w:tcW w:w="1909" w:type="dxa"/>
            <w:shd w:val="clear" w:color="auto" w:fill="auto"/>
            <w:vAlign w:val="center"/>
          </w:tcPr>
          <w:p w14:paraId="7F9EA924" w14:textId="2E3BE609" w:rsidR="00C37A6F" w:rsidRPr="00E07ECB" w:rsidRDefault="00C37A6F" w:rsidP="00C37A6F">
            <w:pPr>
              <w:jc w:val="center"/>
              <w:rPr>
                <w:bCs/>
                <w:szCs w:val="17"/>
              </w:rPr>
            </w:pPr>
            <w:r w:rsidRPr="00E76E73">
              <w:rPr>
                <w:szCs w:val="17"/>
              </w:rPr>
              <w:t>MacManus</w:t>
            </w:r>
          </w:p>
        </w:tc>
        <w:tc>
          <w:tcPr>
            <w:tcW w:w="2543" w:type="dxa"/>
            <w:shd w:val="clear" w:color="auto" w:fill="auto"/>
            <w:vAlign w:val="center"/>
          </w:tcPr>
          <w:p w14:paraId="04CBCDCE" w14:textId="13746134" w:rsidR="00C37A6F" w:rsidRPr="00E07ECB" w:rsidRDefault="00C37A6F" w:rsidP="00C37A6F">
            <w:pPr>
              <w:jc w:val="center"/>
              <w:rPr>
                <w:bCs/>
                <w:szCs w:val="17"/>
              </w:rPr>
            </w:pPr>
            <w:r w:rsidRPr="002435B4">
              <w:rPr>
                <w:bCs/>
                <w:szCs w:val="17"/>
              </w:rPr>
              <w:t>Definitions</w:t>
            </w:r>
          </w:p>
        </w:tc>
        <w:tc>
          <w:tcPr>
            <w:tcW w:w="1293" w:type="dxa"/>
            <w:shd w:val="clear" w:color="auto" w:fill="auto"/>
            <w:vAlign w:val="center"/>
          </w:tcPr>
          <w:p w14:paraId="19A317E7" w14:textId="19CE7ADF" w:rsidR="00C37A6F" w:rsidRPr="00E07ECB" w:rsidRDefault="00DE1BB0" w:rsidP="00C37A6F">
            <w:pPr>
              <w:jc w:val="center"/>
              <w:rPr>
                <w:bCs/>
                <w:szCs w:val="17"/>
              </w:rPr>
            </w:pPr>
            <w:r w:rsidRPr="00FE28E9">
              <w:rPr>
                <w:b/>
                <w:color w:val="00B050"/>
                <w:szCs w:val="17"/>
              </w:rPr>
              <w:t>Positive</w:t>
            </w:r>
          </w:p>
        </w:tc>
      </w:tr>
      <w:tr w:rsidR="00C37A6F" w:rsidRPr="00D43554" w14:paraId="3E337FFA" w14:textId="77777777" w:rsidTr="00424768">
        <w:trPr>
          <w:trHeight w:val="499"/>
        </w:trPr>
        <w:tc>
          <w:tcPr>
            <w:tcW w:w="689" w:type="dxa"/>
            <w:shd w:val="clear" w:color="auto" w:fill="auto"/>
            <w:vAlign w:val="center"/>
          </w:tcPr>
          <w:p w14:paraId="3517FC52" w14:textId="4AF4A695" w:rsidR="00C37A6F" w:rsidRPr="00E07ECB" w:rsidRDefault="00C37A6F" w:rsidP="00C37A6F">
            <w:pPr>
              <w:jc w:val="center"/>
              <w:rPr>
                <w:bCs/>
                <w:szCs w:val="17"/>
              </w:rPr>
            </w:pPr>
            <w:r>
              <w:rPr>
                <w:bCs/>
                <w:szCs w:val="17"/>
              </w:rPr>
              <w:t>320</w:t>
            </w:r>
          </w:p>
        </w:tc>
        <w:tc>
          <w:tcPr>
            <w:tcW w:w="1909" w:type="dxa"/>
            <w:shd w:val="clear" w:color="auto" w:fill="auto"/>
            <w:vAlign w:val="center"/>
          </w:tcPr>
          <w:p w14:paraId="74379639" w14:textId="5F5D7262" w:rsidR="00C37A6F" w:rsidRPr="00E76E73" w:rsidRDefault="00C37A6F" w:rsidP="00C37A6F">
            <w:pPr>
              <w:jc w:val="center"/>
              <w:rPr>
                <w:szCs w:val="17"/>
              </w:rPr>
            </w:pPr>
            <w:r w:rsidRPr="00E76E73">
              <w:rPr>
                <w:szCs w:val="17"/>
              </w:rPr>
              <w:t xml:space="preserve">Article </w:t>
            </w:r>
            <w:r w:rsidR="00AC5208" w:rsidRPr="00E76E73">
              <w:rPr>
                <w:szCs w:val="17"/>
              </w:rPr>
              <w:t>13</w:t>
            </w:r>
            <w:r w:rsidRPr="00E76E73">
              <w:rPr>
                <w:szCs w:val="17"/>
              </w:rPr>
              <w:t xml:space="preserve"> – paragraph 1 – point </w:t>
            </w:r>
            <w:r w:rsidR="00AC5208" w:rsidRPr="00E76E73">
              <w:rPr>
                <w:szCs w:val="17"/>
              </w:rPr>
              <w:t>10a a (new)</w:t>
            </w:r>
          </w:p>
        </w:tc>
        <w:tc>
          <w:tcPr>
            <w:tcW w:w="6116" w:type="dxa"/>
            <w:shd w:val="clear" w:color="auto" w:fill="auto"/>
          </w:tcPr>
          <w:p w14:paraId="138B1101" w14:textId="05176A91" w:rsidR="00C37A6F" w:rsidRPr="00E07ECB" w:rsidRDefault="00C37A6F" w:rsidP="00951389">
            <w:pPr>
              <w:jc w:val="left"/>
              <w:rPr>
                <w:bCs/>
                <w:szCs w:val="17"/>
              </w:rPr>
            </w:pPr>
            <w:r w:rsidRPr="00AC7ED4">
              <w:rPr>
                <w:bCs/>
                <w:szCs w:val="17"/>
              </w:rPr>
              <w:t>Definition of significant cross-b</w:t>
            </w:r>
            <w:r>
              <w:rPr>
                <w:bCs/>
                <w:szCs w:val="17"/>
              </w:rPr>
              <w:t>order activity (gross written premium &gt; 15 million, activities carry out are “relevant” for the host MS).</w:t>
            </w:r>
          </w:p>
        </w:tc>
        <w:tc>
          <w:tcPr>
            <w:tcW w:w="1909" w:type="dxa"/>
            <w:shd w:val="clear" w:color="auto" w:fill="auto"/>
            <w:vAlign w:val="center"/>
          </w:tcPr>
          <w:p w14:paraId="5918166C" w14:textId="6E5FF95D" w:rsidR="00C37A6F" w:rsidRPr="00E07ECB" w:rsidRDefault="00C37A6F" w:rsidP="00C37A6F">
            <w:pPr>
              <w:jc w:val="center"/>
              <w:rPr>
                <w:bCs/>
                <w:szCs w:val="17"/>
              </w:rPr>
            </w:pPr>
            <w:r w:rsidRPr="00E76E73">
              <w:rPr>
                <w:szCs w:val="17"/>
              </w:rPr>
              <w:t>Fitzgerald</w:t>
            </w:r>
          </w:p>
        </w:tc>
        <w:tc>
          <w:tcPr>
            <w:tcW w:w="2543" w:type="dxa"/>
            <w:shd w:val="clear" w:color="auto" w:fill="auto"/>
            <w:vAlign w:val="center"/>
          </w:tcPr>
          <w:p w14:paraId="0C211CE2" w14:textId="58DE0D48" w:rsidR="00C37A6F" w:rsidRPr="00E07ECB" w:rsidRDefault="00C37A6F" w:rsidP="00C37A6F">
            <w:pPr>
              <w:jc w:val="center"/>
              <w:rPr>
                <w:bCs/>
                <w:szCs w:val="17"/>
              </w:rPr>
            </w:pPr>
            <w:r w:rsidRPr="002435B4">
              <w:rPr>
                <w:bCs/>
                <w:szCs w:val="17"/>
              </w:rPr>
              <w:t>Definitions</w:t>
            </w:r>
          </w:p>
        </w:tc>
        <w:tc>
          <w:tcPr>
            <w:tcW w:w="1293" w:type="dxa"/>
            <w:shd w:val="clear" w:color="auto" w:fill="auto"/>
            <w:vAlign w:val="center"/>
          </w:tcPr>
          <w:p w14:paraId="6D5DAFF0" w14:textId="4657DFB5" w:rsidR="00C37A6F" w:rsidRPr="00E07ECB" w:rsidRDefault="00F17CAD" w:rsidP="00C37A6F">
            <w:pPr>
              <w:jc w:val="center"/>
              <w:rPr>
                <w:bCs/>
                <w:szCs w:val="17"/>
              </w:rPr>
            </w:pPr>
            <w:r w:rsidRPr="00DC4CB9">
              <w:rPr>
                <w:b/>
                <w:color w:val="FF0000"/>
                <w:szCs w:val="17"/>
              </w:rPr>
              <w:t>Negative</w:t>
            </w:r>
          </w:p>
        </w:tc>
      </w:tr>
      <w:tr w:rsidR="00C37A6F" w:rsidRPr="00D43554" w14:paraId="505C7F72" w14:textId="77777777" w:rsidTr="00424768">
        <w:trPr>
          <w:trHeight w:val="499"/>
        </w:trPr>
        <w:tc>
          <w:tcPr>
            <w:tcW w:w="689" w:type="dxa"/>
            <w:shd w:val="clear" w:color="auto" w:fill="auto"/>
            <w:vAlign w:val="center"/>
          </w:tcPr>
          <w:p w14:paraId="58C161FA" w14:textId="72EE69EE" w:rsidR="00C37A6F" w:rsidRPr="00E07ECB" w:rsidRDefault="00C37A6F" w:rsidP="00C37A6F">
            <w:pPr>
              <w:jc w:val="center"/>
              <w:rPr>
                <w:bCs/>
                <w:szCs w:val="17"/>
              </w:rPr>
            </w:pPr>
            <w:r>
              <w:rPr>
                <w:bCs/>
                <w:szCs w:val="17"/>
              </w:rPr>
              <w:t>321</w:t>
            </w:r>
          </w:p>
        </w:tc>
        <w:tc>
          <w:tcPr>
            <w:tcW w:w="1909" w:type="dxa"/>
            <w:shd w:val="clear" w:color="auto" w:fill="auto"/>
            <w:vAlign w:val="center"/>
          </w:tcPr>
          <w:p w14:paraId="0DD88A97" w14:textId="55FE61E5" w:rsidR="00C37A6F" w:rsidRPr="00E76E73" w:rsidRDefault="00C37A6F" w:rsidP="00C37A6F">
            <w:pPr>
              <w:jc w:val="center"/>
              <w:rPr>
                <w:szCs w:val="17"/>
              </w:rPr>
            </w:pPr>
            <w:r w:rsidRPr="00E76E73">
              <w:rPr>
                <w:szCs w:val="17"/>
              </w:rPr>
              <w:t xml:space="preserve">Article </w:t>
            </w:r>
            <w:r w:rsidR="00707C3E" w:rsidRPr="00E76E73">
              <w:rPr>
                <w:szCs w:val="17"/>
              </w:rPr>
              <w:t>13</w:t>
            </w:r>
            <w:r w:rsidRPr="00E76E73">
              <w:rPr>
                <w:szCs w:val="17"/>
              </w:rPr>
              <w:t xml:space="preserve"> – paragraph 1 – point </w:t>
            </w:r>
            <w:r w:rsidR="00707C3E" w:rsidRPr="00E76E73">
              <w:rPr>
                <w:szCs w:val="17"/>
              </w:rPr>
              <w:t>17</w:t>
            </w:r>
          </w:p>
        </w:tc>
        <w:tc>
          <w:tcPr>
            <w:tcW w:w="6116" w:type="dxa"/>
            <w:shd w:val="clear" w:color="auto" w:fill="auto"/>
          </w:tcPr>
          <w:p w14:paraId="4749835E" w14:textId="4B7DCD3F" w:rsidR="00C37A6F" w:rsidRPr="00E07ECB" w:rsidRDefault="00C37A6F" w:rsidP="00951389">
            <w:pPr>
              <w:jc w:val="left"/>
              <w:rPr>
                <w:bCs/>
                <w:szCs w:val="17"/>
              </w:rPr>
            </w:pPr>
            <w:r w:rsidRPr="00B73F09">
              <w:rPr>
                <w:bCs/>
                <w:szCs w:val="17"/>
              </w:rPr>
              <w:t>Change in the definition o</w:t>
            </w:r>
            <w:r>
              <w:rPr>
                <w:bCs/>
                <w:szCs w:val="17"/>
              </w:rPr>
              <w:t>f close links (ownership or control &gt;20% of the voting rights, control or permanent link”)</w:t>
            </w:r>
          </w:p>
        </w:tc>
        <w:tc>
          <w:tcPr>
            <w:tcW w:w="1909" w:type="dxa"/>
            <w:shd w:val="clear" w:color="auto" w:fill="auto"/>
            <w:vAlign w:val="center"/>
          </w:tcPr>
          <w:p w14:paraId="6A41960C" w14:textId="3437D3B0" w:rsidR="00C37A6F" w:rsidRPr="00E07ECB" w:rsidRDefault="00C37A6F" w:rsidP="00C37A6F">
            <w:pPr>
              <w:jc w:val="center"/>
              <w:rPr>
                <w:bCs/>
                <w:szCs w:val="17"/>
              </w:rPr>
            </w:pPr>
            <w:r w:rsidRPr="00E76E73">
              <w:rPr>
                <w:szCs w:val="17"/>
              </w:rPr>
              <w:t>Hahn</w:t>
            </w:r>
          </w:p>
        </w:tc>
        <w:tc>
          <w:tcPr>
            <w:tcW w:w="2543" w:type="dxa"/>
            <w:shd w:val="clear" w:color="auto" w:fill="auto"/>
            <w:vAlign w:val="center"/>
          </w:tcPr>
          <w:p w14:paraId="71262F96" w14:textId="37401B05" w:rsidR="00C37A6F" w:rsidRPr="00E07ECB" w:rsidRDefault="00C37A6F" w:rsidP="00C37A6F">
            <w:pPr>
              <w:jc w:val="center"/>
              <w:rPr>
                <w:bCs/>
                <w:szCs w:val="17"/>
              </w:rPr>
            </w:pPr>
            <w:r w:rsidRPr="002435B4">
              <w:rPr>
                <w:bCs/>
                <w:szCs w:val="17"/>
              </w:rPr>
              <w:t>Definitions</w:t>
            </w:r>
          </w:p>
        </w:tc>
        <w:tc>
          <w:tcPr>
            <w:tcW w:w="1293" w:type="dxa"/>
            <w:shd w:val="clear" w:color="auto" w:fill="auto"/>
            <w:vAlign w:val="center"/>
          </w:tcPr>
          <w:p w14:paraId="60FC768A" w14:textId="5940540D" w:rsidR="00C37A6F" w:rsidRPr="00E07ECB" w:rsidRDefault="005A7281" w:rsidP="00C37A6F">
            <w:pPr>
              <w:jc w:val="center"/>
              <w:rPr>
                <w:bCs/>
                <w:szCs w:val="17"/>
              </w:rPr>
            </w:pPr>
            <w:r w:rsidRPr="00976882">
              <w:rPr>
                <w:b/>
                <w:color w:val="808080" w:themeColor="background1" w:themeShade="80"/>
                <w:szCs w:val="17"/>
              </w:rPr>
              <w:t>Neutral</w:t>
            </w:r>
          </w:p>
        </w:tc>
      </w:tr>
      <w:tr w:rsidR="00C37A6F" w:rsidRPr="00D43554" w14:paraId="034E0BB1" w14:textId="77777777" w:rsidTr="00424768">
        <w:trPr>
          <w:trHeight w:val="499"/>
        </w:trPr>
        <w:tc>
          <w:tcPr>
            <w:tcW w:w="689" w:type="dxa"/>
            <w:shd w:val="clear" w:color="auto" w:fill="auto"/>
            <w:vAlign w:val="center"/>
          </w:tcPr>
          <w:p w14:paraId="07922729" w14:textId="5CC0CCB2" w:rsidR="00C37A6F" w:rsidRPr="00E07ECB" w:rsidRDefault="00C37A6F" w:rsidP="00C37A6F">
            <w:pPr>
              <w:jc w:val="center"/>
              <w:rPr>
                <w:bCs/>
                <w:szCs w:val="17"/>
              </w:rPr>
            </w:pPr>
            <w:r>
              <w:rPr>
                <w:bCs/>
                <w:szCs w:val="17"/>
              </w:rPr>
              <w:lastRenderedPageBreak/>
              <w:t>322</w:t>
            </w:r>
          </w:p>
        </w:tc>
        <w:tc>
          <w:tcPr>
            <w:tcW w:w="1909" w:type="dxa"/>
            <w:shd w:val="clear" w:color="auto" w:fill="auto"/>
            <w:vAlign w:val="center"/>
          </w:tcPr>
          <w:p w14:paraId="0CF51535" w14:textId="72CA4AB9" w:rsidR="00C37A6F" w:rsidRPr="00E07ECB" w:rsidRDefault="00C37A6F" w:rsidP="00C37A6F">
            <w:pPr>
              <w:jc w:val="center"/>
              <w:rPr>
                <w:bCs/>
                <w:szCs w:val="17"/>
              </w:rPr>
            </w:pPr>
            <w:r w:rsidRPr="001F21BE">
              <w:rPr>
                <w:bCs/>
                <w:szCs w:val="17"/>
              </w:rPr>
              <w:t xml:space="preserve">Article </w:t>
            </w:r>
            <w:r w:rsidR="004C10A2" w:rsidRPr="00E76E73">
              <w:rPr>
                <w:szCs w:val="17"/>
              </w:rPr>
              <w:t>13</w:t>
            </w:r>
            <w:r w:rsidRPr="001F21BE">
              <w:rPr>
                <w:bCs/>
                <w:szCs w:val="17"/>
              </w:rPr>
              <w:t xml:space="preserve"> – paragraph 1 – point </w:t>
            </w:r>
            <w:r w:rsidR="004C10A2" w:rsidRPr="00E76E73">
              <w:rPr>
                <w:szCs w:val="17"/>
              </w:rPr>
              <w:t>36</w:t>
            </w:r>
            <w:r w:rsidRPr="001F21BE">
              <w:rPr>
                <w:bCs/>
                <w:szCs w:val="17"/>
              </w:rPr>
              <w:t xml:space="preserve"> a (new)</w:t>
            </w:r>
          </w:p>
        </w:tc>
        <w:tc>
          <w:tcPr>
            <w:tcW w:w="6116" w:type="dxa"/>
            <w:shd w:val="clear" w:color="auto" w:fill="auto"/>
          </w:tcPr>
          <w:p w14:paraId="313B4668" w14:textId="34FA196C" w:rsidR="00C37A6F" w:rsidRPr="00E07ECB" w:rsidRDefault="00C37A6F" w:rsidP="00951389">
            <w:pPr>
              <w:jc w:val="left"/>
              <w:rPr>
                <w:bCs/>
                <w:szCs w:val="17"/>
              </w:rPr>
            </w:pPr>
            <w:r>
              <w:rPr>
                <w:bCs/>
                <w:szCs w:val="17"/>
              </w:rPr>
              <w:t xml:space="preserve">Definition of climate change risk (risk of any financial negative impact </w:t>
            </w:r>
            <w:r w:rsidRPr="0019116C">
              <w:rPr>
                <w:bCs/>
                <w:szCs w:val="17"/>
              </w:rPr>
              <w:t>on the undertaking stemming from the current or prospective impacts of climate change factors</w:t>
            </w:r>
            <w:r>
              <w:rPr>
                <w:bCs/>
                <w:szCs w:val="17"/>
              </w:rPr>
              <w:t>)</w:t>
            </w:r>
          </w:p>
        </w:tc>
        <w:tc>
          <w:tcPr>
            <w:tcW w:w="1909" w:type="dxa"/>
            <w:shd w:val="clear" w:color="auto" w:fill="auto"/>
            <w:vAlign w:val="center"/>
          </w:tcPr>
          <w:p w14:paraId="4A08C771" w14:textId="79AE2138" w:rsidR="00C37A6F" w:rsidRPr="00E07ECB" w:rsidRDefault="00C37A6F" w:rsidP="00C37A6F">
            <w:pPr>
              <w:jc w:val="center"/>
              <w:rPr>
                <w:bCs/>
                <w:szCs w:val="17"/>
              </w:rPr>
            </w:pPr>
            <w:r w:rsidRPr="00E76E73">
              <w:rPr>
                <w:szCs w:val="17"/>
              </w:rPr>
              <w:t>Hahn</w:t>
            </w:r>
          </w:p>
        </w:tc>
        <w:tc>
          <w:tcPr>
            <w:tcW w:w="2543" w:type="dxa"/>
            <w:shd w:val="clear" w:color="auto" w:fill="auto"/>
            <w:vAlign w:val="center"/>
          </w:tcPr>
          <w:p w14:paraId="4DD814B7" w14:textId="0A887657" w:rsidR="00C37A6F" w:rsidRPr="00E07ECB" w:rsidRDefault="00C37A6F" w:rsidP="00C37A6F">
            <w:pPr>
              <w:jc w:val="center"/>
              <w:rPr>
                <w:bCs/>
                <w:szCs w:val="17"/>
              </w:rPr>
            </w:pPr>
            <w:r w:rsidRPr="002435B4">
              <w:rPr>
                <w:bCs/>
                <w:szCs w:val="17"/>
              </w:rPr>
              <w:t>Definitions</w:t>
            </w:r>
          </w:p>
        </w:tc>
        <w:tc>
          <w:tcPr>
            <w:tcW w:w="1293" w:type="dxa"/>
            <w:shd w:val="clear" w:color="auto" w:fill="auto"/>
            <w:vAlign w:val="center"/>
          </w:tcPr>
          <w:p w14:paraId="759F8213" w14:textId="7005B7BA" w:rsidR="00C37A6F" w:rsidRPr="00E07ECB" w:rsidRDefault="00553DC6" w:rsidP="00C37A6F">
            <w:pPr>
              <w:jc w:val="center"/>
              <w:rPr>
                <w:bCs/>
                <w:szCs w:val="17"/>
              </w:rPr>
            </w:pPr>
            <w:r w:rsidRPr="00976882">
              <w:rPr>
                <w:b/>
                <w:color w:val="808080" w:themeColor="background1" w:themeShade="80"/>
                <w:szCs w:val="17"/>
              </w:rPr>
              <w:t>Neutral</w:t>
            </w:r>
          </w:p>
        </w:tc>
      </w:tr>
      <w:tr w:rsidR="00C37A6F" w:rsidRPr="00D43554" w14:paraId="038F7A85" w14:textId="77777777" w:rsidTr="00424768">
        <w:trPr>
          <w:trHeight w:val="499"/>
        </w:trPr>
        <w:tc>
          <w:tcPr>
            <w:tcW w:w="689" w:type="dxa"/>
            <w:shd w:val="clear" w:color="auto" w:fill="auto"/>
            <w:vAlign w:val="center"/>
          </w:tcPr>
          <w:p w14:paraId="64233148" w14:textId="283D4B25" w:rsidR="00C37A6F" w:rsidRPr="00E07ECB" w:rsidRDefault="00C37A6F" w:rsidP="00C37A6F">
            <w:pPr>
              <w:jc w:val="center"/>
              <w:rPr>
                <w:bCs/>
                <w:szCs w:val="17"/>
              </w:rPr>
            </w:pPr>
            <w:r>
              <w:rPr>
                <w:bCs/>
                <w:szCs w:val="17"/>
              </w:rPr>
              <w:t>323</w:t>
            </w:r>
          </w:p>
        </w:tc>
        <w:tc>
          <w:tcPr>
            <w:tcW w:w="1909" w:type="dxa"/>
            <w:shd w:val="clear" w:color="auto" w:fill="auto"/>
            <w:vAlign w:val="center"/>
          </w:tcPr>
          <w:p w14:paraId="352688E7" w14:textId="73AEC7E5" w:rsidR="00C37A6F" w:rsidRPr="00424768" w:rsidRDefault="00C37A6F" w:rsidP="00C37A6F">
            <w:pPr>
              <w:jc w:val="center"/>
              <w:rPr>
                <w:szCs w:val="17"/>
                <w:lang w:val="fr-BE"/>
              </w:rPr>
            </w:pPr>
            <w:r w:rsidRPr="00424768">
              <w:rPr>
                <w:szCs w:val="17"/>
                <w:lang w:val="fr-BE"/>
              </w:rPr>
              <w:t xml:space="preserve">Article </w:t>
            </w:r>
            <w:r w:rsidR="000B03D4" w:rsidRPr="00424768">
              <w:rPr>
                <w:szCs w:val="17"/>
                <w:lang w:val="fr-BE"/>
              </w:rPr>
              <w:t>13</w:t>
            </w:r>
            <w:r w:rsidRPr="00424768">
              <w:rPr>
                <w:szCs w:val="17"/>
                <w:lang w:val="fr-BE"/>
              </w:rPr>
              <w:t xml:space="preserve"> – paragraph 1 – point </w:t>
            </w:r>
            <w:r w:rsidR="000B03D4" w:rsidRPr="00424768">
              <w:rPr>
                <w:szCs w:val="17"/>
                <w:lang w:val="fr-BE"/>
              </w:rPr>
              <w:t>41 – subparagraph 1 a (new)</w:t>
            </w:r>
          </w:p>
        </w:tc>
        <w:tc>
          <w:tcPr>
            <w:tcW w:w="6116" w:type="dxa"/>
            <w:shd w:val="clear" w:color="auto" w:fill="auto"/>
          </w:tcPr>
          <w:p w14:paraId="225EC60F" w14:textId="79B8EB05" w:rsidR="00C37A6F" w:rsidRPr="00E07ECB" w:rsidRDefault="00C37A6F" w:rsidP="00951389">
            <w:pPr>
              <w:jc w:val="left"/>
              <w:rPr>
                <w:bCs/>
                <w:szCs w:val="17"/>
              </w:rPr>
            </w:pPr>
            <w:r>
              <w:rPr>
                <w:bCs/>
                <w:szCs w:val="17"/>
              </w:rPr>
              <w:t>Definition of regulated undertakings (no authori</w:t>
            </w:r>
            <w:r w:rsidR="00085286">
              <w:rPr>
                <w:bCs/>
                <w:szCs w:val="17"/>
              </w:rPr>
              <w:t>s</w:t>
            </w:r>
            <w:r>
              <w:rPr>
                <w:bCs/>
                <w:szCs w:val="17"/>
              </w:rPr>
              <w:t>ation under article 14 and subject to supervision)</w:t>
            </w:r>
          </w:p>
        </w:tc>
        <w:tc>
          <w:tcPr>
            <w:tcW w:w="1909" w:type="dxa"/>
            <w:shd w:val="clear" w:color="auto" w:fill="auto"/>
            <w:vAlign w:val="center"/>
          </w:tcPr>
          <w:p w14:paraId="28E0F382" w14:textId="2FD7D6B5" w:rsidR="00C37A6F" w:rsidRPr="00E07ECB" w:rsidRDefault="00C37A6F" w:rsidP="00C37A6F">
            <w:pPr>
              <w:jc w:val="center"/>
              <w:rPr>
                <w:bCs/>
                <w:szCs w:val="17"/>
              </w:rPr>
            </w:pPr>
            <w:r w:rsidRPr="00E76E73">
              <w:rPr>
                <w:szCs w:val="17"/>
              </w:rPr>
              <w:t>Karas</w:t>
            </w:r>
          </w:p>
        </w:tc>
        <w:tc>
          <w:tcPr>
            <w:tcW w:w="2543" w:type="dxa"/>
            <w:shd w:val="clear" w:color="auto" w:fill="auto"/>
            <w:vAlign w:val="center"/>
          </w:tcPr>
          <w:p w14:paraId="58EA95B2" w14:textId="14DB3130" w:rsidR="00C37A6F" w:rsidRPr="00E07ECB" w:rsidRDefault="006D6850" w:rsidP="00C37A6F">
            <w:pPr>
              <w:jc w:val="center"/>
              <w:rPr>
                <w:bCs/>
                <w:szCs w:val="17"/>
              </w:rPr>
            </w:pPr>
            <w:r>
              <w:rPr>
                <w:bCs/>
                <w:szCs w:val="17"/>
              </w:rPr>
              <w:t>G</w:t>
            </w:r>
            <w:r w:rsidR="00D15F93">
              <w:rPr>
                <w:bCs/>
                <w:szCs w:val="17"/>
              </w:rPr>
              <w:t>roups/</w:t>
            </w:r>
            <w:r w:rsidR="00C37A6F" w:rsidRPr="002435B4">
              <w:rPr>
                <w:bCs/>
                <w:szCs w:val="17"/>
              </w:rPr>
              <w:t>Definitions</w:t>
            </w:r>
          </w:p>
        </w:tc>
        <w:tc>
          <w:tcPr>
            <w:tcW w:w="1293" w:type="dxa"/>
            <w:shd w:val="clear" w:color="auto" w:fill="auto"/>
            <w:vAlign w:val="center"/>
          </w:tcPr>
          <w:p w14:paraId="3A7DB4D7" w14:textId="1B85AB89" w:rsidR="00C37A6F" w:rsidRPr="00E07ECB" w:rsidRDefault="00553DC6" w:rsidP="00C37A6F">
            <w:pPr>
              <w:jc w:val="center"/>
              <w:rPr>
                <w:bCs/>
                <w:szCs w:val="17"/>
              </w:rPr>
            </w:pPr>
            <w:r w:rsidRPr="00FE28E9">
              <w:rPr>
                <w:b/>
                <w:color w:val="00B050"/>
                <w:szCs w:val="17"/>
              </w:rPr>
              <w:t>Positive</w:t>
            </w:r>
          </w:p>
        </w:tc>
      </w:tr>
      <w:tr w:rsidR="00C37A6F" w:rsidRPr="00D43554" w14:paraId="07D6BC92" w14:textId="77777777" w:rsidTr="00424768">
        <w:trPr>
          <w:trHeight w:val="499"/>
        </w:trPr>
        <w:tc>
          <w:tcPr>
            <w:tcW w:w="689" w:type="dxa"/>
            <w:shd w:val="clear" w:color="auto" w:fill="auto"/>
            <w:vAlign w:val="center"/>
          </w:tcPr>
          <w:p w14:paraId="0654BABE" w14:textId="77777777" w:rsidR="00C37A6F" w:rsidRDefault="00C37A6F" w:rsidP="00C37A6F">
            <w:pPr>
              <w:jc w:val="center"/>
              <w:rPr>
                <w:bCs/>
                <w:szCs w:val="17"/>
              </w:rPr>
            </w:pPr>
            <w:r>
              <w:rPr>
                <w:bCs/>
                <w:szCs w:val="17"/>
              </w:rPr>
              <w:t>324</w:t>
            </w:r>
          </w:p>
          <w:p w14:paraId="325BEEB3" w14:textId="7B8CCE75" w:rsidR="00C37A6F" w:rsidRPr="00E07ECB" w:rsidRDefault="00C37A6F" w:rsidP="00C37A6F">
            <w:pPr>
              <w:jc w:val="center"/>
              <w:rPr>
                <w:bCs/>
                <w:szCs w:val="17"/>
              </w:rPr>
            </w:pPr>
            <w:r>
              <w:rPr>
                <w:bCs/>
                <w:szCs w:val="17"/>
              </w:rPr>
              <w:t>325</w:t>
            </w:r>
          </w:p>
        </w:tc>
        <w:tc>
          <w:tcPr>
            <w:tcW w:w="1909" w:type="dxa"/>
            <w:shd w:val="clear" w:color="auto" w:fill="auto"/>
            <w:vAlign w:val="center"/>
          </w:tcPr>
          <w:p w14:paraId="0BE10D37" w14:textId="5F677072" w:rsidR="00C37A6F" w:rsidRPr="00E07ECB" w:rsidRDefault="00C37A6F" w:rsidP="00C37A6F">
            <w:pPr>
              <w:jc w:val="center"/>
              <w:rPr>
                <w:bCs/>
                <w:szCs w:val="17"/>
              </w:rPr>
            </w:pPr>
            <w:r w:rsidRPr="003E10AC">
              <w:rPr>
                <w:bCs/>
                <w:szCs w:val="17"/>
              </w:rPr>
              <w:t xml:space="preserve">Article </w:t>
            </w:r>
            <w:r w:rsidR="0079570A" w:rsidRPr="00E76E73">
              <w:rPr>
                <w:szCs w:val="17"/>
              </w:rPr>
              <w:t>13</w:t>
            </w:r>
            <w:r w:rsidRPr="003E10AC">
              <w:rPr>
                <w:bCs/>
                <w:szCs w:val="17"/>
              </w:rPr>
              <w:t xml:space="preserve"> – paragraph 1 – point </w:t>
            </w:r>
            <w:r w:rsidR="0079570A" w:rsidRPr="00E76E73">
              <w:rPr>
                <w:szCs w:val="17"/>
              </w:rPr>
              <w:t>41 a (new)</w:t>
            </w:r>
          </w:p>
        </w:tc>
        <w:tc>
          <w:tcPr>
            <w:tcW w:w="6116" w:type="dxa"/>
            <w:shd w:val="clear" w:color="auto" w:fill="auto"/>
          </w:tcPr>
          <w:p w14:paraId="53C4B5B2" w14:textId="2210BA2A" w:rsidR="00C37A6F" w:rsidRPr="00E07ECB" w:rsidRDefault="00C37A6F" w:rsidP="00951389">
            <w:pPr>
              <w:jc w:val="left"/>
              <w:rPr>
                <w:bCs/>
                <w:szCs w:val="17"/>
              </w:rPr>
            </w:pPr>
            <w:r w:rsidRPr="003E10AC">
              <w:rPr>
                <w:bCs/>
                <w:szCs w:val="17"/>
              </w:rPr>
              <w:t>Definition of</w:t>
            </w:r>
            <w:r>
              <w:rPr>
                <w:bCs/>
                <w:szCs w:val="17"/>
              </w:rPr>
              <w:t xml:space="preserve"> </w:t>
            </w:r>
            <w:r w:rsidRPr="00D97DAC">
              <w:rPr>
                <w:bCs/>
                <w:szCs w:val="17"/>
              </w:rPr>
              <w:t>science-based target</w:t>
            </w:r>
            <w:r>
              <w:rPr>
                <w:bCs/>
                <w:szCs w:val="17"/>
              </w:rPr>
              <w:t xml:space="preserve"> (</w:t>
            </w:r>
            <w:r w:rsidRPr="00DC0E18">
              <w:rPr>
                <w:bCs/>
                <w:szCs w:val="17"/>
              </w:rPr>
              <w:t>target defined on the basis of conclusive scientific evidence and with independent scientific validation</w:t>
            </w:r>
            <w:r>
              <w:rPr>
                <w:bCs/>
                <w:szCs w:val="17"/>
              </w:rPr>
              <w:t>)</w:t>
            </w:r>
          </w:p>
        </w:tc>
        <w:tc>
          <w:tcPr>
            <w:tcW w:w="1909" w:type="dxa"/>
            <w:shd w:val="clear" w:color="auto" w:fill="auto"/>
            <w:vAlign w:val="center"/>
          </w:tcPr>
          <w:p w14:paraId="76C28F28" w14:textId="77777777" w:rsidR="00C37A6F" w:rsidRPr="00E76E73" w:rsidRDefault="00C37A6F" w:rsidP="00C37A6F">
            <w:pPr>
              <w:jc w:val="center"/>
              <w:rPr>
                <w:szCs w:val="17"/>
              </w:rPr>
            </w:pPr>
            <w:r w:rsidRPr="00E76E73">
              <w:rPr>
                <w:szCs w:val="17"/>
              </w:rPr>
              <w:t>MacManus</w:t>
            </w:r>
          </w:p>
          <w:p w14:paraId="3C7B48C7" w14:textId="20FAF0B0" w:rsidR="00C37A6F" w:rsidRPr="00E07ECB" w:rsidRDefault="00C37A6F" w:rsidP="00C37A6F">
            <w:pPr>
              <w:jc w:val="center"/>
              <w:rPr>
                <w:bCs/>
                <w:szCs w:val="17"/>
              </w:rPr>
            </w:pPr>
            <w:r w:rsidRPr="00E76E73">
              <w:rPr>
                <w:szCs w:val="17"/>
              </w:rPr>
              <w:t>Tang</w:t>
            </w:r>
          </w:p>
        </w:tc>
        <w:tc>
          <w:tcPr>
            <w:tcW w:w="2543" w:type="dxa"/>
            <w:shd w:val="clear" w:color="auto" w:fill="auto"/>
            <w:vAlign w:val="center"/>
          </w:tcPr>
          <w:p w14:paraId="60A3CF56" w14:textId="54FEE705" w:rsidR="00C37A6F" w:rsidRPr="00E07ECB" w:rsidRDefault="00C37A6F" w:rsidP="00C37A6F">
            <w:pPr>
              <w:jc w:val="center"/>
              <w:rPr>
                <w:bCs/>
                <w:szCs w:val="17"/>
              </w:rPr>
            </w:pPr>
            <w:r w:rsidRPr="002435B4">
              <w:rPr>
                <w:bCs/>
                <w:szCs w:val="17"/>
              </w:rPr>
              <w:t>Definitions</w:t>
            </w:r>
          </w:p>
        </w:tc>
        <w:tc>
          <w:tcPr>
            <w:tcW w:w="1293" w:type="dxa"/>
            <w:shd w:val="clear" w:color="auto" w:fill="auto"/>
            <w:vAlign w:val="center"/>
          </w:tcPr>
          <w:p w14:paraId="0755F64E" w14:textId="1D622D2B" w:rsidR="00C37A6F" w:rsidRPr="00E07ECB" w:rsidRDefault="001B5533" w:rsidP="00C37A6F">
            <w:pPr>
              <w:jc w:val="center"/>
              <w:rPr>
                <w:bCs/>
                <w:szCs w:val="17"/>
              </w:rPr>
            </w:pPr>
            <w:r w:rsidRPr="00976882">
              <w:rPr>
                <w:b/>
                <w:color w:val="808080" w:themeColor="background1" w:themeShade="80"/>
                <w:szCs w:val="17"/>
              </w:rPr>
              <w:t>Neutral</w:t>
            </w:r>
          </w:p>
        </w:tc>
      </w:tr>
      <w:tr w:rsidR="00C37A6F" w:rsidRPr="00D43554" w14:paraId="7613FAD9" w14:textId="77777777" w:rsidTr="00424768">
        <w:trPr>
          <w:trHeight w:val="499"/>
        </w:trPr>
        <w:tc>
          <w:tcPr>
            <w:tcW w:w="689" w:type="dxa"/>
            <w:shd w:val="clear" w:color="auto" w:fill="auto"/>
            <w:vAlign w:val="center"/>
          </w:tcPr>
          <w:p w14:paraId="540CE349" w14:textId="55F04CDA" w:rsidR="00C37A6F" w:rsidRPr="00E07ECB" w:rsidRDefault="00C37A6F" w:rsidP="00C37A6F">
            <w:pPr>
              <w:jc w:val="center"/>
              <w:rPr>
                <w:bCs/>
                <w:szCs w:val="17"/>
              </w:rPr>
            </w:pPr>
            <w:r>
              <w:rPr>
                <w:bCs/>
                <w:szCs w:val="17"/>
              </w:rPr>
              <w:t>326</w:t>
            </w:r>
          </w:p>
        </w:tc>
        <w:tc>
          <w:tcPr>
            <w:tcW w:w="1909" w:type="dxa"/>
            <w:shd w:val="clear" w:color="auto" w:fill="auto"/>
            <w:vAlign w:val="center"/>
          </w:tcPr>
          <w:p w14:paraId="0D7854D8" w14:textId="47FAD89C" w:rsidR="00C37A6F" w:rsidRPr="00E07ECB" w:rsidRDefault="00C37A6F" w:rsidP="00C37A6F">
            <w:pPr>
              <w:jc w:val="center"/>
              <w:rPr>
                <w:bCs/>
                <w:szCs w:val="17"/>
              </w:rPr>
            </w:pPr>
            <w:r w:rsidRPr="00D76384">
              <w:rPr>
                <w:bCs/>
                <w:szCs w:val="17"/>
              </w:rPr>
              <w:t xml:space="preserve">Article </w:t>
            </w:r>
            <w:r w:rsidR="0046351F" w:rsidRPr="00E76E73">
              <w:rPr>
                <w:szCs w:val="17"/>
              </w:rPr>
              <w:t>13</w:t>
            </w:r>
            <w:r w:rsidRPr="00D76384">
              <w:rPr>
                <w:bCs/>
                <w:szCs w:val="17"/>
              </w:rPr>
              <w:t xml:space="preserve"> – paragraph 1 – point </w:t>
            </w:r>
            <w:r w:rsidR="0046351F" w:rsidRPr="00E76E73">
              <w:rPr>
                <w:szCs w:val="17"/>
              </w:rPr>
              <w:t>41 a (new)</w:t>
            </w:r>
          </w:p>
        </w:tc>
        <w:tc>
          <w:tcPr>
            <w:tcW w:w="6116" w:type="dxa"/>
            <w:shd w:val="clear" w:color="auto" w:fill="auto"/>
          </w:tcPr>
          <w:p w14:paraId="5C5B9678" w14:textId="55FCDB53" w:rsidR="00C37A6F" w:rsidRPr="00E07ECB" w:rsidRDefault="00C37A6F" w:rsidP="00951389">
            <w:pPr>
              <w:jc w:val="left"/>
              <w:rPr>
                <w:bCs/>
                <w:szCs w:val="17"/>
              </w:rPr>
            </w:pPr>
            <w:r w:rsidRPr="003E10AC">
              <w:rPr>
                <w:bCs/>
                <w:szCs w:val="17"/>
              </w:rPr>
              <w:t>Definition of</w:t>
            </w:r>
            <w:r>
              <w:rPr>
                <w:bCs/>
                <w:szCs w:val="17"/>
              </w:rPr>
              <w:t xml:space="preserve"> </w:t>
            </w:r>
            <w:r w:rsidRPr="00C728CA">
              <w:rPr>
                <w:bCs/>
                <w:szCs w:val="17"/>
              </w:rPr>
              <w:t>‘fossil fuel sectors’</w:t>
            </w:r>
            <w:r>
              <w:rPr>
                <w:bCs/>
                <w:szCs w:val="17"/>
              </w:rPr>
              <w:t xml:space="preserve"> (</w:t>
            </w:r>
            <w:r w:rsidRPr="00B71C65">
              <w:rPr>
                <w:bCs/>
                <w:szCs w:val="17"/>
              </w:rPr>
              <w:t>Article 2(62) of Regulation EU 2018/1999</w:t>
            </w:r>
            <w:r>
              <w:rPr>
                <w:bCs/>
                <w:szCs w:val="17"/>
              </w:rPr>
              <w:t>)</w:t>
            </w:r>
          </w:p>
        </w:tc>
        <w:tc>
          <w:tcPr>
            <w:tcW w:w="1909" w:type="dxa"/>
            <w:shd w:val="clear" w:color="auto" w:fill="auto"/>
            <w:vAlign w:val="center"/>
          </w:tcPr>
          <w:p w14:paraId="40A855AE" w14:textId="19E0C17C" w:rsidR="00C37A6F" w:rsidRPr="00E07ECB" w:rsidRDefault="00C37A6F" w:rsidP="00C37A6F">
            <w:pPr>
              <w:jc w:val="center"/>
              <w:rPr>
                <w:bCs/>
                <w:szCs w:val="17"/>
              </w:rPr>
            </w:pPr>
            <w:r w:rsidRPr="00E76E73">
              <w:rPr>
                <w:szCs w:val="17"/>
              </w:rPr>
              <w:t>Hahn</w:t>
            </w:r>
          </w:p>
        </w:tc>
        <w:tc>
          <w:tcPr>
            <w:tcW w:w="2543" w:type="dxa"/>
            <w:shd w:val="clear" w:color="auto" w:fill="auto"/>
            <w:vAlign w:val="center"/>
          </w:tcPr>
          <w:p w14:paraId="14EBD71F" w14:textId="6DBF5FA8" w:rsidR="00C37A6F" w:rsidRPr="00E07ECB" w:rsidRDefault="00C37A6F" w:rsidP="00C37A6F">
            <w:pPr>
              <w:jc w:val="center"/>
              <w:rPr>
                <w:bCs/>
                <w:szCs w:val="17"/>
              </w:rPr>
            </w:pPr>
            <w:r w:rsidRPr="002435B4">
              <w:rPr>
                <w:bCs/>
                <w:szCs w:val="17"/>
              </w:rPr>
              <w:t>Definitions</w:t>
            </w:r>
          </w:p>
        </w:tc>
        <w:tc>
          <w:tcPr>
            <w:tcW w:w="1293" w:type="dxa"/>
            <w:shd w:val="clear" w:color="auto" w:fill="auto"/>
            <w:vAlign w:val="center"/>
          </w:tcPr>
          <w:p w14:paraId="36A86ABF" w14:textId="179AB1D3" w:rsidR="00C37A6F" w:rsidRPr="00E07ECB" w:rsidRDefault="001B5533" w:rsidP="00C37A6F">
            <w:pPr>
              <w:jc w:val="center"/>
              <w:rPr>
                <w:bCs/>
                <w:szCs w:val="17"/>
              </w:rPr>
            </w:pPr>
            <w:r w:rsidRPr="00976882">
              <w:rPr>
                <w:b/>
                <w:color w:val="808080" w:themeColor="background1" w:themeShade="80"/>
                <w:szCs w:val="17"/>
              </w:rPr>
              <w:t>Neutral</w:t>
            </w:r>
          </w:p>
        </w:tc>
      </w:tr>
      <w:tr w:rsidR="00C37A6F" w:rsidRPr="00D43554" w14:paraId="587548DB" w14:textId="77777777" w:rsidTr="00424768">
        <w:trPr>
          <w:trHeight w:val="499"/>
        </w:trPr>
        <w:tc>
          <w:tcPr>
            <w:tcW w:w="689" w:type="dxa"/>
            <w:shd w:val="clear" w:color="auto" w:fill="auto"/>
            <w:vAlign w:val="center"/>
          </w:tcPr>
          <w:p w14:paraId="3E4815C1" w14:textId="19408629" w:rsidR="00C37A6F" w:rsidRPr="00F814C2" w:rsidRDefault="00C37A6F" w:rsidP="00C37A6F">
            <w:pPr>
              <w:jc w:val="center"/>
              <w:rPr>
                <w:bCs/>
                <w:szCs w:val="17"/>
              </w:rPr>
            </w:pPr>
            <w:r w:rsidRPr="00F814C2">
              <w:rPr>
                <w:bCs/>
                <w:szCs w:val="17"/>
              </w:rPr>
              <w:t>327</w:t>
            </w:r>
          </w:p>
        </w:tc>
        <w:tc>
          <w:tcPr>
            <w:tcW w:w="1909" w:type="dxa"/>
            <w:shd w:val="clear" w:color="auto" w:fill="auto"/>
            <w:vAlign w:val="center"/>
          </w:tcPr>
          <w:p w14:paraId="06FF2776" w14:textId="77777777" w:rsidR="00C37A6F" w:rsidRPr="00E76E73" w:rsidRDefault="00C37A6F" w:rsidP="0084620E">
            <w:pPr>
              <w:jc w:val="center"/>
              <w:rPr>
                <w:szCs w:val="17"/>
              </w:rPr>
            </w:pPr>
            <w:r w:rsidRPr="00D43554">
              <w:rPr>
                <w:rStyle w:val="HideTWBExt"/>
                <w:rFonts w:ascii="Verdana" w:hAnsi="Verdana"/>
                <w:sz w:val="17"/>
                <w:szCs w:val="17"/>
                <w:specVanish w:val="0"/>
              </w:rPr>
              <w:t>&lt;Article2&gt;</w:t>
            </w:r>
            <w:r w:rsidRPr="00E76E73">
              <w:rPr>
                <w:szCs w:val="17"/>
              </w:rPr>
              <w:t>Article 13 – paragraph 1 – point 41 a (new)</w:t>
            </w:r>
            <w:r w:rsidRPr="00D43554">
              <w:rPr>
                <w:rStyle w:val="HideTWBExt"/>
                <w:rFonts w:ascii="Verdana" w:hAnsi="Verdana"/>
                <w:sz w:val="17"/>
                <w:szCs w:val="17"/>
                <w:specVanish w:val="0"/>
              </w:rPr>
              <w:t>&lt;/Article2&gt;</w:t>
            </w:r>
          </w:p>
          <w:p w14:paraId="6E776FDE" w14:textId="77777777" w:rsidR="00C37A6F" w:rsidRPr="00F814C2" w:rsidRDefault="00C37A6F" w:rsidP="00C37A6F">
            <w:pPr>
              <w:jc w:val="center"/>
              <w:rPr>
                <w:bCs/>
                <w:szCs w:val="17"/>
              </w:rPr>
            </w:pPr>
          </w:p>
        </w:tc>
        <w:tc>
          <w:tcPr>
            <w:tcW w:w="6116" w:type="dxa"/>
            <w:shd w:val="clear" w:color="auto" w:fill="auto"/>
          </w:tcPr>
          <w:p w14:paraId="770B80EB" w14:textId="2E3C0B55" w:rsidR="00C37A6F" w:rsidRPr="00E07ECB" w:rsidRDefault="00C37A6F" w:rsidP="00C37A6F">
            <w:pPr>
              <w:jc w:val="left"/>
              <w:rPr>
                <w:bCs/>
                <w:szCs w:val="17"/>
              </w:rPr>
            </w:pPr>
            <w:r>
              <w:rPr>
                <w:bCs/>
                <w:szCs w:val="17"/>
              </w:rPr>
              <w:t>Added definition of gender-neutral remuneration policy</w:t>
            </w:r>
          </w:p>
        </w:tc>
        <w:tc>
          <w:tcPr>
            <w:tcW w:w="1909" w:type="dxa"/>
            <w:shd w:val="clear" w:color="auto" w:fill="auto"/>
            <w:vAlign w:val="center"/>
          </w:tcPr>
          <w:p w14:paraId="5DCA1D39" w14:textId="356490B8" w:rsidR="00C37A6F" w:rsidRPr="000D4029" w:rsidRDefault="00C37A6F" w:rsidP="0084620E">
            <w:pPr>
              <w:pStyle w:val="NormalBold"/>
              <w:jc w:val="center"/>
              <w:rPr>
                <w:rFonts w:ascii="Verdana" w:eastAsia="Times New Roman" w:hAnsi="Verdana" w:cs="Times New Roman"/>
                <w:b w:val="0"/>
                <w:sz w:val="17"/>
                <w:szCs w:val="17"/>
                <w:lang w:val="en-GB"/>
              </w:rPr>
            </w:pPr>
            <w:r w:rsidRPr="00D43554">
              <w:rPr>
                <w:rStyle w:val="HideTWBExt"/>
                <w:rFonts w:ascii="Verdana" w:hAnsi="Verdana"/>
                <w:b w:val="0"/>
                <w:sz w:val="17"/>
                <w:szCs w:val="17"/>
                <w:lang w:val="en-GB"/>
                <w:specVanish w:val="0"/>
              </w:rPr>
              <w:t>&lt;RepeatBlock-By&gt;&lt;Members&gt;</w:t>
            </w:r>
            <w:proofErr w:type="spellStart"/>
            <w:r w:rsidRPr="000D4029">
              <w:rPr>
                <w:rFonts w:ascii="Verdana" w:eastAsia="Times New Roman" w:hAnsi="Verdana" w:cs="Times New Roman"/>
                <w:b w:val="0"/>
                <w:sz w:val="17"/>
                <w:szCs w:val="17"/>
                <w:lang w:val="en-GB"/>
              </w:rPr>
              <w:t>Heinäluoma</w:t>
            </w:r>
            <w:proofErr w:type="spellEnd"/>
            <w:r w:rsidRPr="000D4029">
              <w:rPr>
                <w:rFonts w:ascii="Verdana" w:eastAsia="Times New Roman" w:hAnsi="Verdana" w:cs="Times New Roman"/>
                <w:b w:val="0"/>
                <w:sz w:val="17"/>
                <w:szCs w:val="17"/>
                <w:lang w:val="en-GB"/>
              </w:rPr>
              <w:t xml:space="preserve">, </w:t>
            </w:r>
            <w:proofErr w:type="spellStart"/>
            <w:r w:rsidRPr="000D4029">
              <w:rPr>
                <w:rFonts w:ascii="Verdana" w:eastAsia="Times New Roman" w:hAnsi="Verdana" w:cs="Times New Roman"/>
                <w:b w:val="0"/>
                <w:sz w:val="17"/>
                <w:szCs w:val="17"/>
                <w:lang w:val="en-GB"/>
              </w:rPr>
              <w:t>Lalucq</w:t>
            </w:r>
            <w:proofErr w:type="spellEnd"/>
            <w:r w:rsidRPr="00D43554">
              <w:rPr>
                <w:rStyle w:val="HideTWBExt"/>
                <w:rFonts w:ascii="Verdana" w:hAnsi="Verdana"/>
                <w:b w:val="0"/>
                <w:sz w:val="17"/>
                <w:szCs w:val="17"/>
                <w:lang w:val="en-GB"/>
                <w:specVanish w:val="0"/>
              </w:rPr>
              <w:t>&lt;/Members&gt;</w:t>
            </w:r>
          </w:p>
          <w:p w14:paraId="0F5DBF85" w14:textId="77777777" w:rsidR="00C37A6F" w:rsidRPr="00E07ECB" w:rsidRDefault="00C37A6F" w:rsidP="00C37A6F">
            <w:pPr>
              <w:jc w:val="center"/>
              <w:rPr>
                <w:szCs w:val="17"/>
              </w:rPr>
            </w:pPr>
          </w:p>
        </w:tc>
        <w:tc>
          <w:tcPr>
            <w:tcW w:w="2543" w:type="dxa"/>
            <w:shd w:val="clear" w:color="auto" w:fill="auto"/>
            <w:vAlign w:val="center"/>
          </w:tcPr>
          <w:p w14:paraId="1A890671" w14:textId="272891EF" w:rsidR="00C37A6F" w:rsidRPr="00E07ECB" w:rsidRDefault="00C37A6F" w:rsidP="00C37A6F">
            <w:pPr>
              <w:jc w:val="center"/>
              <w:rPr>
                <w:bCs/>
                <w:szCs w:val="17"/>
              </w:rPr>
            </w:pPr>
            <w:r>
              <w:rPr>
                <w:bCs/>
                <w:szCs w:val="17"/>
              </w:rPr>
              <w:t>Diversity &amp; Inclusion</w:t>
            </w:r>
          </w:p>
        </w:tc>
        <w:tc>
          <w:tcPr>
            <w:tcW w:w="1293" w:type="dxa"/>
            <w:shd w:val="clear" w:color="auto" w:fill="auto"/>
            <w:vAlign w:val="center"/>
          </w:tcPr>
          <w:p w14:paraId="15C8EE93" w14:textId="3EE901E2" w:rsidR="00C37A6F" w:rsidRPr="00E07ECB" w:rsidRDefault="00F550AB" w:rsidP="00C37A6F">
            <w:pPr>
              <w:jc w:val="center"/>
              <w:rPr>
                <w:bCs/>
                <w:szCs w:val="17"/>
              </w:rPr>
            </w:pPr>
            <w:r w:rsidRPr="00976882">
              <w:rPr>
                <w:b/>
                <w:color w:val="808080" w:themeColor="background1" w:themeShade="80"/>
                <w:szCs w:val="17"/>
              </w:rPr>
              <w:t>Neutral</w:t>
            </w:r>
          </w:p>
        </w:tc>
      </w:tr>
      <w:tr w:rsidR="00C37A6F" w:rsidRPr="00D43554" w14:paraId="66994766" w14:textId="77777777" w:rsidTr="00424768">
        <w:trPr>
          <w:trHeight w:val="499"/>
        </w:trPr>
        <w:tc>
          <w:tcPr>
            <w:tcW w:w="689" w:type="dxa"/>
            <w:shd w:val="clear" w:color="auto" w:fill="auto"/>
            <w:vAlign w:val="center"/>
          </w:tcPr>
          <w:p w14:paraId="20794336" w14:textId="69D94B08" w:rsidR="00C37A6F" w:rsidRPr="00F814C2" w:rsidRDefault="00C37A6F" w:rsidP="00C37A6F">
            <w:pPr>
              <w:jc w:val="center"/>
              <w:rPr>
                <w:bCs/>
                <w:szCs w:val="17"/>
              </w:rPr>
            </w:pPr>
            <w:r w:rsidRPr="00F814C2">
              <w:rPr>
                <w:bCs/>
                <w:szCs w:val="17"/>
              </w:rPr>
              <w:t>328</w:t>
            </w:r>
          </w:p>
        </w:tc>
        <w:tc>
          <w:tcPr>
            <w:tcW w:w="1909" w:type="dxa"/>
            <w:shd w:val="clear" w:color="auto" w:fill="auto"/>
            <w:vAlign w:val="center"/>
          </w:tcPr>
          <w:p w14:paraId="1146F5DE" w14:textId="77777777" w:rsidR="00C37A6F" w:rsidRPr="00E76E73" w:rsidRDefault="00C37A6F" w:rsidP="0084620E">
            <w:pPr>
              <w:jc w:val="center"/>
              <w:rPr>
                <w:szCs w:val="17"/>
              </w:rPr>
            </w:pPr>
            <w:r w:rsidRPr="00D43554">
              <w:rPr>
                <w:rStyle w:val="HideTWBExt"/>
                <w:rFonts w:ascii="Verdana" w:hAnsi="Verdana"/>
                <w:sz w:val="17"/>
                <w:szCs w:val="17"/>
                <w:specVanish w:val="0"/>
              </w:rPr>
              <w:t>&lt;Article2&gt;</w:t>
            </w:r>
            <w:r w:rsidRPr="00F814C2">
              <w:rPr>
                <w:szCs w:val="17"/>
              </w:rPr>
              <w:t>Article 13 – paragraph 1 – point 41(a) (new)</w:t>
            </w:r>
            <w:r w:rsidRPr="00D43554">
              <w:rPr>
                <w:rStyle w:val="HideTWBExt"/>
                <w:rFonts w:ascii="Verdana" w:hAnsi="Verdana"/>
                <w:sz w:val="17"/>
                <w:szCs w:val="17"/>
                <w:specVanish w:val="0"/>
              </w:rPr>
              <w:t>&lt;/Article2&gt;</w:t>
            </w:r>
          </w:p>
          <w:p w14:paraId="671436C5" w14:textId="77777777" w:rsidR="00C37A6F" w:rsidRPr="00E76E73" w:rsidRDefault="00C37A6F" w:rsidP="0084620E">
            <w:pPr>
              <w:pStyle w:val="NormalBold"/>
              <w:jc w:val="center"/>
              <w:rPr>
                <w:rStyle w:val="HideTWBExt"/>
                <w:rFonts w:ascii="Verdana" w:hAnsi="Verdana"/>
                <w:b w:val="0"/>
                <w:sz w:val="17"/>
                <w:szCs w:val="17"/>
                <w:lang w:val="en-GB"/>
              </w:rPr>
            </w:pPr>
          </w:p>
        </w:tc>
        <w:tc>
          <w:tcPr>
            <w:tcW w:w="6116" w:type="dxa"/>
            <w:shd w:val="clear" w:color="auto" w:fill="auto"/>
          </w:tcPr>
          <w:p w14:paraId="0D8620B3" w14:textId="026D8ACF" w:rsidR="00C37A6F" w:rsidRDefault="00C37A6F" w:rsidP="00C37A6F">
            <w:pPr>
              <w:jc w:val="left"/>
              <w:rPr>
                <w:bCs/>
                <w:szCs w:val="17"/>
              </w:rPr>
            </w:pPr>
            <w:r>
              <w:rPr>
                <w:bCs/>
                <w:szCs w:val="17"/>
              </w:rPr>
              <w:t>Added definition of science-based target (in context of sustainability issues)</w:t>
            </w:r>
          </w:p>
        </w:tc>
        <w:tc>
          <w:tcPr>
            <w:tcW w:w="1909" w:type="dxa"/>
            <w:shd w:val="clear" w:color="auto" w:fill="auto"/>
            <w:vAlign w:val="center"/>
          </w:tcPr>
          <w:p w14:paraId="0470B442" w14:textId="77777777" w:rsidR="00C37A6F" w:rsidRPr="000D4029" w:rsidRDefault="00C37A6F" w:rsidP="0084620E">
            <w:pPr>
              <w:pStyle w:val="NormalBold"/>
              <w:jc w:val="center"/>
              <w:rPr>
                <w:rFonts w:ascii="Verdana" w:eastAsia="Times New Roman" w:hAnsi="Verdana" w:cs="Times New Roman"/>
                <w:b w:val="0"/>
                <w:sz w:val="17"/>
                <w:szCs w:val="17"/>
                <w:lang w:val="en-GB"/>
              </w:rPr>
            </w:pPr>
            <w:proofErr w:type="spellStart"/>
            <w:r w:rsidRPr="000D4029">
              <w:rPr>
                <w:rFonts w:ascii="Verdana" w:eastAsia="Times New Roman" w:hAnsi="Verdana" w:cs="Times New Roman"/>
                <w:b w:val="0"/>
                <w:sz w:val="17"/>
                <w:szCs w:val="17"/>
                <w:lang w:val="en-GB"/>
              </w:rPr>
              <w:t>Lalucq</w:t>
            </w:r>
            <w:proofErr w:type="spellEnd"/>
            <w:r w:rsidRPr="00D43554">
              <w:rPr>
                <w:rStyle w:val="HideTWBExt"/>
                <w:rFonts w:ascii="Verdana" w:hAnsi="Verdana"/>
                <w:b w:val="0"/>
                <w:sz w:val="17"/>
                <w:szCs w:val="17"/>
                <w:lang w:val="en-GB"/>
                <w:specVanish w:val="0"/>
              </w:rPr>
              <w:t>&lt;/Members&gt;</w:t>
            </w:r>
          </w:p>
          <w:p w14:paraId="6DA1338A" w14:textId="77777777" w:rsidR="00C37A6F" w:rsidRPr="00E76E73" w:rsidRDefault="00C37A6F" w:rsidP="0084620E">
            <w:pPr>
              <w:pStyle w:val="NormalBold"/>
              <w:jc w:val="center"/>
              <w:rPr>
                <w:rStyle w:val="HideTWBExt"/>
                <w:rFonts w:ascii="Verdana" w:hAnsi="Verdana"/>
                <w:b w:val="0"/>
                <w:sz w:val="17"/>
                <w:szCs w:val="17"/>
                <w:lang w:val="en-GB"/>
              </w:rPr>
            </w:pPr>
          </w:p>
        </w:tc>
        <w:tc>
          <w:tcPr>
            <w:tcW w:w="2543" w:type="dxa"/>
            <w:shd w:val="clear" w:color="auto" w:fill="auto"/>
            <w:vAlign w:val="center"/>
          </w:tcPr>
          <w:p w14:paraId="5C431E08" w14:textId="42437943" w:rsidR="00C37A6F" w:rsidRPr="00E07ECB" w:rsidRDefault="00C37A6F" w:rsidP="00C37A6F">
            <w:pPr>
              <w:jc w:val="center"/>
              <w:rPr>
                <w:bCs/>
                <w:szCs w:val="17"/>
              </w:rPr>
            </w:pPr>
            <w:r>
              <w:rPr>
                <w:bCs/>
                <w:szCs w:val="17"/>
              </w:rPr>
              <w:t>Sustainability/Definitions</w:t>
            </w:r>
          </w:p>
        </w:tc>
        <w:tc>
          <w:tcPr>
            <w:tcW w:w="1293" w:type="dxa"/>
            <w:shd w:val="clear" w:color="auto" w:fill="auto"/>
            <w:vAlign w:val="center"/>
          </w:tcPr>
          <w:p w14:paraId="15E3FE23" w14:textId="0BFA1A1D" w:rsidR="00C37A6F" w:rsidRDefault="00F550AB" w:rsidP="00C37A6F">
            <w:pPr>
              <w:jc w:val="center"/>
              <w:rPr>
                <w:bCs/>
                <w:szCs w:val="17"/>
              </w:rPr>
            </w:pPr>
            <w:r w:rsidRPr="00976882">
              <w:rPr>
                <w:b/>
                <w:color w:val="808080" w:themeColor="background1" w:themeShade="80"/>
                <w:szCs w:val="17"/>
              </w:rPr>
              <w:t>Neutral</w:t>
            </w:r>
          </w:p>
        </w:tc>
      </w:tr>
      <w:tr w:rsidR="00C37A6F" w:rsidRPr="00D43554" w14:paraId="5A403AE0" w14:textId="77777777" w:rsidTr="00424768">
        <w:trPr>
          <w:trHeight w:val="499"/>
        </w:trPr>
        <w:tc>
          <w:tcPr>
            <w:tcW w:w="689" w:type="dxa"/>
            <w:shd w:val="clear" w:color="auto" w:fill="auto"/>
            <w:vAlign w:val="center"/>
          </w:tcPr>
          <w:p w14:paraId="02939863" w14:textId="18747AF4" w:rsidR="00C37A6F" w:rsidRPr="00F814C2" w:rsidRDefault="00C37A6F" w:rsidP="00C37A6F">
            <w:pPr>
              <w:jc w:val="center"/>
              <w:rPr>
                <w:bCs/>
                <w:szCs w:val="17"/>
              </w:rPr>
            </w:pPr>
            <w:r>
              <w:rPr>
                <w:bCs/>
                <w:szCs w:val="17"/>
              </w:rPr>
              <w:t>329</w:t>
            </w:r>
          </w:p>
        </w:tc>
        <w:tc>
          <w:tcPr>
            <w:tcW w:w="1909" w:type="dxa"/>
            <w:shd w:val="clear" w:color="auto" w:fill="auto"/>
            <w:vAlign w:val="center"/>
          </w:tcPr>
          <w:p w14:paraId="7349B97F" w14:textId="7C0B7596" w:rsidR="00C37A6F" w:rsidRPr="00424768" w:rsidRDefault="00C37A6F" w:rsidP="0084620E">
            <w:pPr>
              <w:jc w:val="center"/>
              <w:rPr>
                <w:rStyle w:val="HideTWBExt"/>
                <w:rFonts w:ascii="Verdana" w:hAnsi="Verdana"/>
                <w:sz w:val="17"/>
                <w:szCs w:val="17"/>
                <w:lang w:val="fr-BE"/>
              </w:rPr>
            </w:pPr>
            <w:r w:rsidRPr="00424768">
              <w:rPr>
                <w:szCs w:val="17"/>
                <w:lang w:val="fr-BE"/>
              </w:rPr>
              <w:t>Article 13 – paragraph 1 – point 41 b (new)</w:t>
            </w:r>
          </w:p>
        </w:tc>
        <w:tc>
          <w:tcPr>
            <w:tcW w:w="6116" w:type="dxa"/>
            <w:shd w:val="clear" w:color="auto" w:fill="auto"/>
          </w:tcPr>
          <w:p w14:paraId="6E5E2B6E" w14:textId="354D3C00" w:rsidR="00C37A6F" w:rsidRDefault="00C37A6F" w:rsidP="00C37A6F">
            <w:pPr>
              <w:jc w:val="left"/>
              <w:rPr>
                <w:bCs/>
                <w:szCs w:val="17"/>
              </w:rPr>
            </w:pPr>
            <w:r>
              <w:rPr>
                <w:bCs/>
                <w:szCs w:val="17"/>
              </w:rPr>
              <w:t>Added definition of crypto-assets</w:t>
            </w:r>
          </w:p>
        </w:tc>
        <w:tc>
          <w:tcPr>
            <w:tcW w:w="1909" w:type="dxa"/>
            <w:shd w:val="clear" w:color="auto" w:fill="auto"/>
            <w:vAlign w:val="center"/>
          </w:tcPr>
          <w:p w14:paraId="2DB51A44" w14:textId="01B322E9" w:rsidR="00C37A6F" w:rsidRPr="000D4029" w:rsidRDefault="00C37A6F" w:rsidP="0084620E">
            <w:pPr>
              <w:pStyle w:val="NormalBold"/>
              <w:jc w:val="center"/>
              <w:rPr>
                <w:rFonts w:ascii="Verdana" w:eastAsia="Times New Roman" w:hAnsi="Verdana" w:cs="Times New Roman"/>
                <w:b w:val="0"/>
                <w:sz w:val="17"/>
                <w:szCs w:val="17"/>
                <w:lang w:val="en-GB"/>
              </w:rPr>
            </w:pPr>
            <w:r w:rsidRPr="000D4029">
              <w:rPr>
                <w:rFonts w:ascii="Verdana" w:eastAsia="Times New Roman" w:hAnsi="Verdana" w:cs="Times New Roman"/>
                <w:b w:val="0"/>
                <w:sz w:val="17"/>
                <w:szCs w:val="17"/>
                <w:lang w:val="en-GB"/>
              </w:rPr>
              <w:t>Hahn</w:t>
            </w:r>
          </w:p>
        </w:tc>
        <w:tc>
          <w:tcPr>
            <w:tcW w:w="2543" w:type="dxa"/>
            <w:shd w:val="clear" w:color="auto" w:fill="auto"/>
            <w:vAlign w:val="center"/>
          </w:tcPr>
          <w:p w14:paraId="17BD6D8F" w14:textId="68897C59" w:rsidR="00C37A6F" w:rsidRDefault="00C37A6F" w:rsidP="00C37A6F">
            <w:pPr>
              <w:jc w:val="center"/>
              <w:rPr>
                <w:bCs/>
                <w:szCs w:val="17"/>
              </w:rPr>
            </w:pPr>
            <w:r>
              <w:rPr>
                <w:bCs/>
                <w:szCs w:val="17"/>
              </w:rPr>
              <w:t>Definitions</w:t>
            </w:r>
          </w:p>
        </w:tc>
        <w:tc>
          <w:tcPr>
            <w:tcW w:w="1293" w:type="dxa"/>
            <w:shd w:val="clear" w:color="auto" w:fill="auto"/>
            <w:vAlign w:val="center"/>
          </w:tcPr>
          <w:p w14:paraId="5920CC08" w14:textId="14C88A4D" w:rsidR="00C37A6F" w:rsidRDefault="00F550AB" w:rsidP="00C37A6F">
            <w:pPr>
              <w:jc w:val="center"/>
              <w:rPr>
                <w:bCs/>
                <w:szCs w:val="17"/>
              </w:rPr>
            </w:pPr>
            <w:r w:rsidRPr="00976882">
              <w:rPr>
                <w:b/>
                <w:color w:val="808080" w:themeColor="background1" w:themeShade="80"/>
                <w:szCs w:val="17"/>
              </w:rPr>
              <w:t>Neutral</w:t>
            </w:r>
          </w:p>
        </w:tc>
      </w:tr>
      <w:tr w:rsidR="00C37A6F" w:rsidRPr="00D43554" w14:paraId="6AAF4542" w14:textId="77777777" w:rsidTr="00424768">
        <w:trPr>
          <w:trHeight w:val="499"/>
        </w:trPr>
        <w:tc>
          <w:tcPr>
            <w:tcW w:w="689" w:type="dxa"/>
            <w:shd w:val="clear" w:color="auto" w:fill="auto"/>
            <w:vAlign w:val="center"/>
          </w:tcPr>
          <w:p w14:paraId="0BB66337" w14:textId="3BF110F9" w:rsidR="00C37A6F" w:rsidRDefault="00C37A6F" w:rsidP="00C37A6F">
            <w:pPr>
              <w:jc w:val="center"/>
              <w:rPr>
                <w:bCs/>
                <w:szCs w:val="17"/>
              </w:rPr>
            </w:pPr>
            <w:r>
              <w:rPr>
                <w:bCs/>
                <w:szCs w:val="17"/>
              </w:rPr>
              <w:t>330, 331, 332</w:t>
            </w:r>
          </w:p>
        </w:tc>
        <w:tc>
          <w:tcPr>
            <w:tcW w:w="1909" w:type="dxa"/>
            <w:shd w:val="clear" w:color="auto" w:fill="auto"/>
            <w:vAlign w:val="center"/>
          </w:tcPr>
          <w:p w14:paraId="35B0EFF3" w14:textId="77777777" w:rsidR="00C37A6F" w:rsidRPr="00424768" w:rsidRDefault="00C37A6F" w:rsidP="0084620E">
            <w:pPr>
              <w:jc w:val="center"/>
              <w:rPr>
                <w:szCs w:val="17"/>
                <w:lang w:val="fr-BE"/>
              </w:rPr>
            </w:pPr>
            <w:r w:rsidRPr="00424768">
              <w:rPr>
                <w:rStyle w:val="HideTWBExt"/>
                <w:rFonts w:ascii="Verdana" w:hAnsi="Verdana"/>
                <w:sz w:val="17"/>
                <w:szCs w:val="17"/>
                <w:lang w:val="fr-BE"/>
                <w:specVanish w:val="0"/>
              </w:rPr>
              <w:t>&lt;Article2&gt;</w:t>
            </w:r>
            <w:r w:rsidRPr="00424768">
              <w:rPr>
                <w:szCs w:val="17"/>
                <w:lang w:val="fr-BE"/>
              </w:rPr>
              <w:t>Article 13 – paragraph 1 – point 41 b (new)</w:t>
            </w:r>
            <w:r w:rsidRPr="00424768">
              <w:rPr>
                <w:rStyle w:val="HideTWBExt"/>
                <w:rFonts w:ascii="Verdana" w:hAnsi="Verdana"/>
                <w:sz w:val="17"/>
                <w:szCs w:val="17"/>
                <w:lang w:val="fr-BE"/>
                <w:specVanish w:val="0"/>
              </w:rPr>
              <w:t>&lt;/Article2&gt;</w:t>
            </w:r>
          </w:p>
          <w:p w14:paraId="6F08EFDF" w14:textId="77777777" w:rsidR="00C37A6F" w:rsidRPr="00424768" w:rsidRDefault="00C37A6F" w:rsidP="0084620E">
            <w:pPr>
              <w:jc w:val="center"/>
              <w:rPr>
                <w:szCs w:val="17"/>
                <w:lang w:val="fr-BE"/>
              </w:rPr>
            </w:pPr>
          </w:p>
        </w:tc>
        <w:tc>
          <w:tcPr>
            <w:tcW w:w="6116" w:type="dxa"/>
            <w:shd w:val="clear" w:color="auto" w:fill="auto"/>
          </w:tcPr>
          <w:p w14:paraId="44E7355F" w14:textId="301FF82C" w:rsidR="00C37A6F" w:rsidRDefault="00C37A6F" w:rsidP="00C37A6F">
            <w:pPr>
              <w:jc w:val="left"/>
              <w:rPr>
                <w:bCs/>
                <w:szCs w:val="17"/>
              </w:rPr>
            </w:pPr>
            <w:r>
              <w:rPr>
                <w:bCs/>
                <w:szCs w:val="17"/>
              </w:rPr>
              <w:t>Climate neutrality is to be read in accordance with Art 2 of the EU climate law</w:t>
            </w:r>
          </w:p>
        </w:tc>
        <w:tc>
          <w:tcPr>
            <w:tcW w:w="1909" w:type="dxa"/>
            <w:shd w:val="clear" w:color="auto" w:fill="auto"/>
            <w:vAlign w:val="center"/>
          </w:tcPr>
          <w:p w14:paraId="74F764FC" w14:textId="0B0EFC81" w:rsidR="00C37A6F" w:rsidRPr="000D4029" w:rsidRDefault="00C37A6F" w:rsidP="0084620E">
            <w:pPr>
              <w:pStyle w:val="NormalBold"/>
              <w:jc w:val="center"/>
              <w:rPr>
                <w:rFonts w:ascii="Verdana" w:eastAsia="Times New Roman" w:hAnsi="Verdana" w:cs="Times New Roman"/>
                <w:b w:val="0"/>
                <w:sz w:val="17"/>
                <w:szCs w:val="17"/>
                <w:lang w:val="en-GB"/>
              </w:rPr>
            </w:pPr>
            <w:r w:rsidRPr="000D4029">
              <w:rPr>
                <w:rFonts w:ascii="Verdana" w:eastAsia="Times New Roman" w:hAnsi="Verdana" w:cs="Times New Roman"/>
                <w:b w:val="0"/>
                <w:sz w:val="17"/>
                <w:szCs w:val="17"/>
                <w:lang w:val="en-GB"/>
              </w:rPr>
              <w:t>MacManus/Tang/</w:t>
            </w:r>
            <w:proofErr w:type="spellStart"/>
            <w:r w:rsidRPr="000D4029">
              <w:rPr>
                <w:rFonts w:ascii="Verdana" w:eastAsia="Times New Roman" w:hAnsi="Verdana" w:cs="Times New Roman"/>
                <w:b w:val="0"/>
                <w:sz w:val="17"/>
                <w:szCs w:val="17"/>
                <w:lang w:val="en-GB"/>
              </w:rPr>
              <w:t>Lalucq</w:t>
            </w:r>
            <w:proofErr w:type="spellEnd"/>
          </w:p>
        </w:tc>
        <w:tc>
          <w:tcPr>
            <w:tcW w:w="2543" w:type="dxa"/>
            <w:shd w:val="clear" w:color="auto" w:fill="auto"/>
            <w:vAlign w:val="center"/>
          </w:tcPr>
          <w:p w14:paraId="51EA11D4" w14:textId="7BE871F7" w:rsidR="00C37A6F" w:rsidRDefault="00C37A6F" w:rsidP="00C37A6F">
            <w:pPr>
              <w:jc w:val="center"/>
              <w:rPr>
                <w:bCs/>
                <w:szCs w:val="17"/>
              </w:rPr>
            </w:pPr>
            <w:r>
              <w:rPr>
                <w:bCs/>
                <w:szCs w:val="17"/>
              </w:rPr>
              <w:t>Definitions</w:t>
            </w:r>
          </w:p>
        </w:tc>
        <w:tc>
          <w:tcPr>
            <w:tcW w:w="1293" w:type="dxa"/>
            <w:shd w:val="clear" w:color="auto" w:fill="auto"/>
            <w:vAlign w:val="center"/>
          </w:tcPr>
          <w:p w14:paraId="1BBADCA4" w14:textId="6C6E758D" w:rsidR="00C37A6F" w:rsidRDefault="00F40AA0" w:rsidP="00C37A6F">
            <w:pPr>
              <w:jc w:val="center"/>
              <w:rPr>
                <w:bCs/>
                <w:szCs w:val="17"/>
              </w:rPr>
            </w:pPr>
            <w:r w:rsidRPr="00976882">
              <w:rPr>
                <w:b/>
                <w:color w:val="808080" w:themeColor="background1" w:themeShade="80"/>
                <w:szCs w:val="17"/>
              </w:rPr>
              <w:t>Neutral</w:t>
            </w:r>
          </w:p>
        </w:tc>
      </w:tr>
      <w:tr w:rsidR="00C37A6F" w:rsidRPr="00D43554" w14:paraId="616C006A" w14:textId="77777777" w:rsidTr="00424768">
        <w:trPr>
          <w:trHeight w:val="499"/>
        </w:trPr>
        <w:tc>
          <w:tcPr>
            <w:tcW w:w="689" w:type="dxa"/>
            <w:shd w:val="clear" w:color="auto" w:fill="auto"/>
            <w:vAlign w:val="center"/>
          </w:tcPr>
          <w:p w14:paraId="671F8332" w14:textId="570E42D4" w:rsidR="00C37A6F" w:rsidRDefault="00C37A6F" w:rsidP="00C37A6F">
            <w:pPr>
              <w:jc w:val="center"/>
              <w:rPr>
                <w:bCs/>
                <w:szCs w:val="17"/>
              </w:rPr>
            </w:pPr>
            <w:r>
              <w:rPr>
                <w:bCs/>
                <w:szCs w:val="17"/>
              </w:rPr>
              <w:t>333, 334, 335</w:t>
            </w:r>
          </w:p>
        </w:tc>
        <w:tc>
          <w:tcPr>
            <w:tcW w:w="1909" w:type="dxa"/>
            <w:shd w:val="clear" w:color="auto" w:fill="auto"/>
            <w:vAlign w:val="center"/>
          </w:tcPr>
          <w:p w14:paraId="7D15841C" w14:textId="77777777" w:rsidR="00C37A6F" w:rsidRPr="00424768" w:rsidRDefault="00C37A6F" w:rsidP="0084620E">
            <w:pPr>
              <w:jc w:val="center"/>
              <w:rPr>
                <w:szCs w:val="17"/>
                <w:lang w:val="fr-BE"/>
              </w:rPr>
            </w:pPr>
            <w:r w:rsidRPr="00424768">
              <w:rPr>
                <w:rStyle w:val="HideTWBExt"/>
                <w:rFonts w:ascii="Verdana" w:hAnsi="Verdana"/>
                <w:sz w:val="17"/>
                <w:szCs w:val="17"/>
                <w:lang w:val="fr-BE"/>
                <w:specVanish w:val="0"/>
              </w:rPr>
              <w:t>&lt;Article2&gt;</w:t>
            </w:r>
            <w:r w:rsidRPr="00424768">
              <w:rPr>
                <w:szCs w:val="17"/>
                <w:lang w:val="fr-BE"/>
              </w:rPr>
              <w:t>Article 13 – paragraph 1 – point 41 c (new)</w:t>
            </w:r>
            <w:r w:rsidRPr="00424768">
              <w:rPr>
                <w:rStyle w:val="HideTWBExt"/>
                <w:rFonts w:ascii="Verdana" w:hAnsi="Verdana"/>
                <w:sz w:val="17"/>
                <w:szCs w:val="17"/>
                <w:lang w:val="fr-BE"/>
                <w:specVanish w:val="0"/>
              </w:rPr>
              <w:t>&lt;/Article2&gt;</w:t>
            </w:r>
          </w:p>
          <w:p w14:paraId="3EF9142B" w14:textId="77777777" w:rsidR="00C37A6F" w:rsidRPr="00424768" w:rsidRDefault="00C37A6F" w:rsidP="0084620E">
            <w:pPr>
              <w:jc w:val="center"/>
              <w:rPr>
                <w:rStyle w:val="HideTWBExt"/>
                <w:rFonts w:ascii="Verdana" w:hAnsi="Verdana"/>
                <w:sz w:val="17"/>
                <w:szCs w:val="17"/>
                <w:lang w:val="fr-BE"/>
              </w:rPr>
            </w:pPr>
          </w:p>
        </w:tc>
        <w:tc>
          <w:tcPr>
            <w:tcW w:w="6116" w:type="dxa"/>
            <w:shd w:val="clear" w:color="auto" w:fill="auto"/>
          </w:tcPr>
          <w:p w14:paraId="74878AE3" w14:textId="4D02C718" w:rsidR="00C37A6F" w:rsidRDefault="00C37A6F" w:rsidP="00C37A6F">
            <w:pPr>
              <w:jc w:val="left"/>
              <w:rPr>
                <w:bCs/>
                <w:szCs w:val="17"/>
              </w:rPr>
            </w:pPr>
            <w:r>
              <w:rPr>
                <w:bCs/>
                <w:szCs w:val="17"/>
              </w:rPr>
              <w:t>Added definition of fossil fuel sectors</w:t>
            </w:r>
          </w:p>
        </w:tc>
        <w:tc>
          <w:tcPr>
            <w:tcW w:w="1909" w:type="dxa"/>
            <w:shd w:val="clear" w:color="auto" w:fill="auto"/>
            <w:vAlign w:val="center"/>
          </w:tcPr>
          <w:p w14:paraId="0EE81B6E" w14:textId="139C6381" w:rsidR="00C37A6F" w:rsidRPr="000D4029" w:rsidRDefault="00C37A6F" w:rsidP="0084620E">
            <w:pPr>
              <w:pStyle w:val="NormalBold"/>
              <w:jc w:val="center"/>
              <w:rPr>
                <w:rFonts w:ascii="Verdana" w:eastAsia="Times New Roman" w:hAnsi="Verdana" w:cs="Times New Roman"/>
                <w:b w:val="0"/>
                <w:sz w:val="17"/>
                <w:szCs w:val="17"/>
                <w:lang w:val="en-GB"/>
              </w:rPr>
            </w:pPr>
            <w:r w:rsidRPr="000D4029">
              <w:rPr>
                <w:rFonts w:ascii="Verdana" w:eastAsia="Times New Roman" w:hAnsi="Verdana" w:cs="Times New Roman"/>
                <w:b w:val="0"/>
                <w:sz w:val="17"/>
                <w:szCs w:val="17"/>
                <w:lang w:val="en-GB"/>
              </w:rPr>
              <w:t>MacManus/Tang/</w:t>
            </w:r>
            <w:proofErr w:type="spellStart"/>
            <w:r w:rsidRPr="000D4029">
              <w:rPr>
                <w:rFonts w:ascii="Verdana" w:eastAsia="Times New Roman" w:hAnsi="Verdana" w:cs="Times New Roman"/>
                <w:b w:val="0"/>
                <w:sz w:val="17"/>
                <w:szCs w:val="17"/>
                <w:lang w:val="en-GB"/>
              </w:rPr>
              <w:t>lalucq</w:t>
            </w:r>
            <w:proofErr w:type="spellEnd"/>
          </w:p>
        </w:tc>
        <w:tc>
          <w:tcPr>
            <w:tcW w:w="2543" w:type="dxa"/>
            <w:shd w:val="clear" w:color="auto" w:fill="auto"/>
            <w:vAlign w:val="center"/>
          </w:tcPr>
          <w:p w14:paraId="79711343" w14:textId="4A424F62" w:rsidR="00C37A6F" w:rsidRDefault="00C37A6F" w:rsidP="00C37A6F">
            <w:pPr>
              <w:jc w:val="center"/>
              <w:rPr>
                <w:bCs/>
                <w:szCs w:val="17"/>
              </w:rPr>
            </w:pPr>
            <w:r>
              <w:rPr>
                <w:bCs/>
                <w:szCs w:val="17"/>
              </w:rPr>
              <w:t>Definitions</w:t>
            </w:r>
          </w:p>
        </w:tc>
        <w:tc>
          <w:tcPr>
            <w:tcW w:w="1293" w:type="dxa"/>
            <w:shd w:val="clear" w:color="auto" w:fill="auto"/>
            <w:vAlign w:val="center"/>
          </w:tcPr>
          <w:p w14:paraId="01FCFC69" w14:textId="64A08A4C" w:rsidR="00C37A6F" w:rsidRDefault="00F40AA0" w:rsidP="00C37A6F">
            <w:pPr>
              <w:jc w:val="center"/>
              <w:rPr>
                <w:bCs/>
                <w:szCs w:val="17"/>
              </w:rPr>
            </w:pPr>
            <w:r w:rsidRPr="00976882">
              <w:rPr>
                <w:b/>
                <w:color w:val="808080" w:themeColor="background1" w:themeShade="80"/>
                <w:szCs w:val="17"/>
              </w:rPr>
              <w:t>Neutral</w:t>
            </w:r>
          </w:p>
        </w:tc>
      </w:tr>
      <w:tr w:rsidR="00C37A6F" w:rsidRPr="00D43554" w14:paraId="366BCBA2" w14:textId="77777777" w:rsidTr="00424768">
        <w:trPr>
          <w:trHeight w:val="499"/>
        </w:trPr>
        <w:tc>
          <w:tcPr>
            <w:tcW w:w="689" w:type="dxa"/>
            <w:shd w:val="clear" w:color="auto" w:fill="auto"/>
            <w:vAlign w:val="center"/>
          </w:tcPr>
          <w:p w14:paraId="6FAF8388" w14:textId="4BEE379B" w:rsidR="00C37A6F" w:rsidRDefault="00C37A6F" w:rsidP="00C37A6F">
            <w:pPr>
              <w:jc w:val="center"/>
              <w:rPr>
                <w:bCs/>
                <w:szCs w:val="17"/>
              </w:rPr>
            </w:pPr>
            <w:r>
              <w:rPr>
                <w:bCs/>
                <w:szCs w:val="17"/>
              </w:rPr>
              <w:lastRenderedPageBreak/>
              <w:t>336, 337, 338</w:t>
            </w:r>
          </w:p>
        </w:tc>
        <w:tc>
          <w:tcPr>
            <w:tcW w:w="1909" w:type="dxa"/>
            <w:shd w:val="clear" w:color="auto" w:fill="auto"/>
            <w:vAlign w:val="center"/>
          </w:tcPr>
          <w:p w14:paraId="295E392D" w14:textId="77777777" w:rsidR="00C37A6F" w:rsidRPr="00424768" w:rsidRDefault="00C37A6F" w:rsidP="0084620E">
            <w:pPr>
              <w:jc w:val="center"/>
              <w:rPr>
                <w:szCs w:val="17"/>
                <w:lang w:val="fr-BE"/>
              </w:rPr>
            </w:pPr>
            <w:r w:rsidRPr="00424768">
              <w:rPr>
                <w:rStyle w:val="HideTWBExt"/>
                <w:rFonts w:ascii="Verdana" w:hAnsi="Verdana"/>
                <w:sz w:val="17"/>
                <w:szCs w:val="17"/>
                <w:lang w:val="fr-BE"/>
                <w:specVanish w:val="0"/>
              </w:rPr>
              <w:t>&lt;Article2&gt;</w:t>
            </w:r>
            <w:r w:rsidRPr="00424768">
              <w:rPr>
                <w:szCs w:val="17"/>
                <w:lang w:val="fr-BE"/>
              </w:rPr>
              <w:t>Article 13 – paragraph 1 – point 41 d (new)</w:t>
            </w:r>
            <w:r w:rsidRPr="00424768">
              <w:rPr>
                <w:rStyle w:val="HideTWBExt"/>
                <w:rFonts w:ascii="Verdana" w:hAnsi="Verdana"/>
                <w:sz w:val="17"/>
                <w:szCs w:val="17"/>
                <w:lang w:val="fr-BE"/>
                <w:specVanish w:val="0"/>
              </w:rPr>
              <w:t>&lt;/Article2&gt;</w:t>
            </w:r>
          </w:p>
          <w:p w14:paraId="3B55DCF6" w14:textId="77777777" w:rsidR="00C37A6F" w:rsidRPr="00424768" w:rsidRDefault="00C37A6F" w:rsidP="0084620E">
            <w:pPr>
              <w:jc w:val="center"/>
              <w:rPr>
                <w:rStyle w:val="HideTWBExt"/>
                <w:rFonts w:ascii="Verdana" w:hAnsi="Verdana"/>
                <w:sz w:val="17"/>
                <w:szCs w:val="17"/>
                <w:lang w:val="fr-BE"/>
              </w:rPr>
            </w:pPr>
          </w:p>
        </w:tc>
        <w:tc>
          <w:tcPr>
            <w:tcW w:w="6116" w:type="dxa"/>
            <w:shd w:val="clear" w:color="auto" w:fill="auto"/>
          </w:tcPr>
          <w:p w14:paraId="680A9A36" w14:textId="58F481EF" w:rsidR="00C37A6F" w:rsidRDefault="00C37A6F" w:rsidP="00C37A6F">
            <w:pPr>
              <w:jc w:val="left"/>
              <w:rPr>
                <w:bCs/>
                <w:szCs w:val="17"/>
              </w:rPr>
            </w:pPr>
            <w:r>
              <w:rPr>
                <w:bCs/>
                <w:szCs w:val="17"/>
              </w:rPr>
              <w:t>Added definition of ‘sustainability risk’ (in line with Art 2(22) of Regulation 2019/2088)</w:t>
            </w:r>
          </w:p>
        </w:tc>
        <w:tc>
          <w:tcPr>
            <w:tcW w:w="1909" w:type="dxa"/>
            <w:shd w:val="clear" w:color="auto" w:fill="auto"/>
            <w:vAlign w:val="center"/>
          </w:tcPr>
          <w:p w14:paraId="79CB0971" w14:textId="0A13133F" w:rsidR="00C37A6F" w:rsidRPr="000D4029" w:rsidRDefault="00C37A6F" w:rsidP="0084620E">
            <w:pPr>
              <w:pStyle w:val="NormalBold"/>
              <w:jc w:val="center"/>
              <w:rPr>
                <w:rFonts w:ascii="Verdana" w:eastAsia="Times New Roman" w:hAnsi="Verdana" w:cs="Times New Roman"/>
                <w:b w:val="0"/>
                <w:sz w:val="17"/>
                <w:szCs w:val="17"/>
                <w:lang w:val="en-GB"/>
              </w:rPr>
            </w:pPr>
            <w:r w:rsidRPr="000D4029">
              <w:rPr>
                <w:rFonts w:ascii="Verdana" w:eastAsia="Times New Roman" w:hAnsi="Verdana" w:cs="Times New Roman"/>
                <w:b w:val="0"/>
                <w:sz w:val="17"/>
                <w:szCs w:val="17"/>
                <w:lang w:val="en-GB"/>
              </w:rPr>
              <w:t>MacManus/Tang/</w:t>
            </w:r>
            <w:proofErr w:type="spellStart"/>
            <w:r w:rsidRPr="000D4029">
              <w:rPr>
                <w:rFonts w:ascii="Verdana" w:eastAsia="Times New Roman" w:hAnsi="Verdana" w:cs="Times New Roman"/>
                <w:b w:val="0"/>
                <w:sz w:val="17"/>
                <w:szCs w:val="17"/>
                <w:lang w:val="en-GB"/>
              </w:rPr>
              <w:t>lalucq</w:t>
            </w:r>
            <w:proofErr w:type="spellEnd"/>
          </w:p>
        </w:tc>
        <w:tc>
          <w:tcPr>
            <w:tcW w:w="2543" w:type="dxa"/>
            <w:shd w:val="clear" w:color="auto" w:fill="auto"/>
            <w:vAlign w:val="center"/>
          </w:tcPr>
          <w:p w14:paraId="7D362F9B" w14:textId="75A50CFE" w:rsidR="00C37A6F" w:rsidRDefault="00C37A6F" w:rsidP="00C37A6F">
            <w:pPr>
              <w:jc w:val="center"/>
              <w:rPr>
                <w:bCs/>
                <w:szCs w:val="17"/>
              </w:rPr>
            </w:pPr>
            <w:r>
              <w:rPr>
                <w:bCs/>
                <w:szCs w:val="17"/>
              </w:rPr>
              <w:t>Definitions</w:t>
            </w:r>
          </w:p>
        </w:tc>
        <w:tc>
          <w:tcPr>
            <w:tcW w:w="1293" w:type="dxa"/>
            <w:shd w:val="clear" w:color="auto" w:fill="auto"/>
            <w:vAlign w:val="center"/>
          </w:tcPr>
          <w:p w14:paraId="22CD3B61" w14:textId="7DE66AFC" w:rsidR="00C37A6F" w:rsidRPr="000D4029" w:rsidRDefault="00F40AA0" w:rsidP="00C37A6F">
            <w:pPr>
              <w:jc w:val="center"/>
              <w:rPr>
                <w:b/>
                <w:szCs w:val="17"/>
              </w:rPr>
            </w:pPr>
            <w:r w:rsidRPr="00976882">
              <w:rPr>
                <w:b/>
                <w:color w:val="808080" w:themeColor="background1" w:themeShade="80"/>
                <w:szCs w:val="17"/>
              </w:rPr>
              <w:t>Neutral</w:t>
            </w:r>
          </w:p>
        </w:tc>
      </w:tr>
      <w:tr w:rsidR="00C37A6F" w:rsidRPr="00D43554" w14:paraId="3C4DA23F" w14:textId="77777777" w:rsidTr="00424768">
        <w:trPr>
          <w:trHeight w:val="499"/>
        </w:trPr>
        <w:tc>
          <w:tcPr>
            <w:tcW w:w="689" w:type="dxa"/>
            <w:shd w:val="clear" w:color="auto" w:fill="auto"/>
            <w:vAlign w:val="center"/>
          </w:tcPr>
          <w:p w14:paraId="33014A65" w14:textId="0666EED3" w:rsidR="00C37A6F" w:rsidRDefault="00C37A6F" w:rsidP="00C37A6F">
            <w:pPr>
              <w:jc w:val="center"/>
              <w:rPr>
                <w:bCs/>
                <w:szCs w:val="17"/>
              </w:rPr>
            </w:pPr>
            <w:r>
              <w:rPr>
                <w:bCs/>
                <w:szCs w:val="17"/>
              </w:rPr>
              <w:t>339, 340, 341</w:t>
            </w:r>
          </w:p>
        </w:tc>
        <w:tc>
          <w:tcPr>
            <w:tcW w:w="1909" w:type="dxa"/>
            <w:shd w:val="clear" w:color="auto" w:fill="auto"/>
            <w:vAlign w:val="center"/>
          </w:tcPr>
          <w:p w14:paraId="001CB467" w14:textId="77777777" w:rsidR="00C37A6F" w:rsidRPr="00424768" w:rsidRDefault="00C37A6F" w:rsidP="0084620E">
            <w:pPr>
              <w:jc w:val="center"/>
              <w:rPr>
                <w:szCs w:val="17"/>
                <w:lang w:val="fr-BE"/>
              </w:rPr>
            </w:pPr>
            <w:r w:rsidRPr="00424768">
              <w:rPr>
                <w:rStyle w:val="HideTWBExt"/>
                <w:rFonts w:ascii="Verdana" w:hAnsi="Verdana"/>
                <w:sz w:val="17"/>
                <w:szCs w:val="17"/>
                <w:lang w:val="fr-BE"/>
                <w:specVanish w:val="0"/>
              </w:rPr>
              <w:t>&lt;Article2&gt;</w:t>
            </w:r>
            <w:r w:rsidRPr="00424768">
              <w:rPr>
                <w:szCs w:val="17"/>
                <w:lang w:val="fr-BE"/>
              </w:rPr>
              <w:t>Article 13 – paragraph 1 – point 41 e (new)</w:t>
            </w:r>
            <w:r w:rsidRPr="00424768">
              <w:rPr>
                <w:rStyle w:val="HideTWBExt"/>
                <w:rFonts w:ascii="Verdana" w:hAnsi="Verdana"/>
                <w:sz w:val="17"/>
                <w:szCs w:val="17"/>
                <w:lang w:val="fr-BE"/>
                <w:specVanish w:val="0"/>
              </w:rPr>
              <w:t>&lt;/Article2&gt;</w:t>
            </w:r>
          </w:p>
          <w:p w14:paraId="538FD191" w14:textId="77777777" w:rsidR="00C37A6F" w:rsidRPr="00424768" w:rsidRDefault="00C37A6F" w:rsidP="0084620E">
            <w:pPr>
              <w:jc w:val="center"/>
              <w:rPr>
                <w:rStyle w:val="HideTWBExt"/>
                <w:rFonts w:ascii="Verdana" w:hAnsi="Verdana"/>
                <w:sz w:val="17"/>
                <w:szCs w:val="17"/>
                <w:lang w:val="fr-BE"/>
              </w:rPr>
            </w:pPr>
          </w:p>
        </w:tc>
        <w:tc>
          <w:tcPr>
            <w:tcW w:w="6116" w:type="dxa"/>
            <w:shd w:val="clear" w:color="auto" w:fill="auto"/>
          </w:tcPr>
          <w:p w14:paraId="4F678F73" w14:textId="1A2A8F12" w:rsidR="00C37A6F" w:rsidRDefault="00C37A6F" w:rsidP="00C37A6F">
            <w:pPr>
              <w:jc w:val="left"/>
              <w:rPr>
                <w:bCs/>
                <w:szCs w:val="17"/>
              </w:rPr>
            </w:pPr>
            <w:r>
              <w:rPr>
                <w:bCs/>
                <w:szCs w:val="17"/>
              </w:rPr>
              <w:t>Added definition of ‘sustainability factor’ (in line with Art 2(22) of Regulation 2019/2088)</w:t>
            </w:r>
          </w:p>
        </w:tc>
        <w:tc>
          <w:tcPr>
            <w:tcW w:w="1909" w:type="dxa"/>
            <w:shd w:val="clear" w:color="auto" w:fill="auto"/>
            <w:vAlign w:val="center"/>
          </w:tcPr>
          <w:p w14:paraId="52F71E92" w14:textId="0304FFFE" w:rsidR="00C37A6F" w:rsidRPr="000D4029" w:rsidRDefault="00C37A6F" w:rsidP="0084620E">
            <w:pPr>
              <w:pStyle w:val="NormalBold"/>
              <w:jc w:val="center"/>
              <w:rPr>
                <w:rFonts w:ascii="Verdana" w:eastAsia="Times New Roman" w:hAnsi="Verdana" w:cs="Times New Roman"/>
                <w:b w:val="0"/>
                <w:sz w:val="17"/>
                <w:szCs w:val="17"/>
                <w:lang w:val="en-GB"/>
              </w:rPr>
            </w:pPr>
            <w:proofErr w:type="spellStart"/>
            <w:r w:rsidRPr="000D4029">
              <w:rPr>
                <w:rFonts w:ascii="Verdana" w:eastAsia="Times New Roman" w:hAnsi="Verdana" w:cs="Times New Roman"/>
                <w:b w:val="0"/>
                <w:sz w:val="17"/>
                <w:szCs w:val="17"/>
                <w:lang w:val="en-GB"/>
              </w:rPr>
              <w:t>Lalucq</w:t>
            </w:r>
            <w:proofErr w:type="spellEnd"/>
            <w:r w:rsidRPr="000D4029">
              <w:rPr>
                <w:rFonts w:ascii="Verdana" w:eastAsia="Times New Roman" w:hAnsi="Verdana" w:cs="Times New Roman"/>
                <w:b w:val="0"/>
                <w:sz w:val="17"/>
                <w:szCs w:val="17"/>
                <w:lang w:val="en-GB"/>
              </w:rPr>
              <w:t>/MacManus/Tang</w:t>
            </w:r>
          </w:p>
        </w:tc>
        <w:tc>
          <w:tcPr>
            <w:tcW w:w="2543" w:type="dxa"/>
            <w:shd w:val="clear" w:color="auto" w:fill="auto"/>
            <w:vAlign w:val="center"/>
          </w:tcPr>
          <w:p w14:paraId="6D5CA12D" w14:textId="4C53EB9F" w:rsidR="00C37A6F" w:rsidRDefault="00C37A6F" w:rsidP="00C37A6F">
            <w:pPr>
              <w:jc w:val="center"/>
              <w:rPr>
                <w:bCs/>
                <w:szCs w:val="17"/>
              </w:rPr>
            </w:pPr>
            <w:r>
              <w:rPr>
                <w:bCs/>
                <w:szCs w:val="17"/>
              </w:rPr>
              <w:t>Definitions</w:t>
            </w:r>
          </w:p>
        </w:tc>
        <w:tc>
          <w:tcPr>
            <w:tcW w:w="1293" w:type="dxa"/>
            <w:shd w:val="clear" w:color="auto" w:fill="auto"/>
            <w:vAlign w:val="center"/>
          </w:tcPr>
          <w:p w14:paraId="15A028E5" w14:textId="0BA33C89" w:rsidR="00C37A6F" w:rsidRDefault="00F40AA0" w:rsidP="00C37A6F">
            <w:pPr>
              <w:jc w:val="center"/>
              <w:rPr>
                <w:bCs/>
                <w:szCs w:val="17"/>
              </w:rPr>
            </w:pPr>
            <w:r w:rsidRPr="00976882">
              <w:rPr>
                <w:b/>
                <w:color w:val="808080" w:themeColor="background1" w:themeShade="80"/>
                <w:szCs w:val="17"/>
              </w:rPr>
              <w:t>Neutral</w:t>
            </w:r>
          </w:p>
        </w:tc>
      </w:tr>
      <w:tr w:rsidR="00C37A6F" w:rsidRPr="00D43554" w14:paraId="4184E5DA" w14:textId="77777777" w:rsidTr="00424768">
        <w:trPr>
          <w:trHeight w:val="499"/>
        </w:trPr>
        <w:tc>
          <w:tcPr>
            <w:tcW w:w="689" w:type="dxa"/>
            <w:shd w:val="clear" w:color="auto" w:fill="auto"/>
            <w:vAlign w:val="center"/>
          </w:tcPr>
          <w:p w14:paraId="29E2CF3F" w14:textId="41309F68" w:rsidR="00C37A6F" w:rsidRDefault="00C37A6F" w:rsidP="00C37A6F">
            <w:pPr>
              <w:jc w:val="center"/>
              <w:rPr>
                <w:bCs/>
                <w:szCs w:val="17"/>
              </w:rPr>
            </w:pPr>
            <w:r>
              <w:rPr>
                <w:bCs/>
                <w:szCs w:val="17"/>
              </w:rPr>
              <w:t>342</w:t>
            </w:r>
          </w:p>
        </w:tc>
        <w:tc>
          <w:tcPr>
            <w:tcW w:w="1909" w:type="dxa"/>
            <w:shd w:val="clear" w:color="auto" w:fill="auto"/>
            <w:vAlign w:val="center"/>
          </w:tcPr>
          <w:p w14:paraId="5005F4DD" w14:textId="77777777" w:rsidR="00C37A6F" w:rsidRPr="00424768" w:rsidRDefault="00C37A6F" w:rsidP="0084620E">
            <w:pPr>
              <w:jc w:val="center"/>
              <w:rPr>
                <w:szCs w:val="17"/>
                <w:lang w:val="fr-BE"/>
              </w:rPr>
            </w:pPr>
            <w:r w:rsidRPr="00424768">
              <w:rPr>
                <w:rStyle w:val="HideTWBExt"/>
                <w:rFonts w:ascii="Verdana" w:hAnsi="Verdana"/>
                <w:sz w:val="17"/>
                <w:szCs w:val="17"/>
                <w:lang w:val="fr-BE"/>
                <w:specVanish w:val="0"/>
              </w:rPr>
              <w:t>&lt;Article2&gt;</w:t>
            </w:r>
            <w:r w:rsidRPr="00424768">
              <w:rPr>
                <w:szCs w:val="17"/>
                <w:lang w:val="fr-BE"/>
              </w:rPr>
              <w:t>Article 13 – paragraph 1 – point 41 f (new)</w:t>
            </w:r>
            <w:r w:rsidRPr="00424768">
              <w:rPr>
                <w:rStyle w:val="HideTWBExt"/>
                <w:rFonts w:ascii="Verdana" w:hAnsi="Verdana"/>
                <w:sz w:val="17"/>
                <w:szCs w:val="17"/>
                <w:lang w:val="fr-BE"/>
                <w:specVanish w:val="0"/>
              </w:rPr>
              <w:t>&lt;/Article2&gt;</w:t>
            </w:r>
          </w:p>
          <w:p w14:paraId="7D355C9B" w14:textId="77777777" w:rsidR="00C37A6F" w:rsidRPr="00424768" w:rsidRDefault="00C37A6F" w:rsidP="0084620E">
            <w:pPr>
              <w:jc w:val="center"/>
              <w:rPr>
                <w:rStyle w:val="HideTWBExt"/>
                <w:rFonts w:ascii="Verdana" w:hAnsi="Verdana"/>
                <w:sz w:val="17"/>
                <w:szCs w:val="17"/>
                <w:lang w:val="fr-BE"/>
              </w:rPr>
            </w:pPr>
          </w:p>
        </w:tc>
        <w:tc>
          <w:tcPr>
            <w:tcW w:w="6116" w:type="dxa"/>
            <w:shd w:val="clear" w:color="auto" w:fill="auto"/>
          </w:tcPr>
          <w:p w14:paraId="032E9369" w14:textId="4A34283D" w:rsidR="00C37A6F" w:rsidRDefault="00C37A6F" w:rsidP="00C37A6F">
            <w:pPr>
              <w:jc w:val="left"/>
              <w:rPr>
                <w:bCs/>
                <w:szCs w:val="17"/>
              </w:rPr>
            </w:pPr>
            <w:r>
              <w:rPr>
                <w:bCs/>
                <w:szCs w:val="17"/>
              </w:rPr>
              <w:t>Added definition of ‘transition plan’ (ensure that insurer’s business model/strategy are compatible with transition to sus economy and Paris agreement goals of 1.5°global warming limit)</w:t>
            </w:r>
          </w:p>
        </w:tc>
        <w:tc>
          <w:tcPr>
            <w:tcW w:w="1909" w:type="dxa"/>
            <w:shd w:val="clear" w:color="auto" w:fill="auto"/>
            <w:vAlign w:val="center"/>
          </w:tcPr>
          <w:p w14:paraId="2CD9C23E" w14:textId="04CE6FB7" w:rsidR="00C37A6F" w:rsidRPr="000D4029" w:rsidRDefault="00C37A6F" w:rsidP="0084620E">
            <w:pPr>
              <w:pStyle w:val="NormalBold"/>
              <w:jc w:val="center"/>
              <w:rPr>
                <w:rFonts w:ascii="Verdana" w:eastAsia="Times New Roman" w:hAnsi="Verdana" w:cs="Times New Roman"/>
                <w:b w:val="0"/>
                <w:sz w:val="17"/>
                <w:szCs w:val="17"/>
                <w:lang w:val="en-GB"/>
              </w:rPr>
            </w:pPr>
            <w:r w:rsidRPr="000D4029">
              <w:rPr>
                <w:rFonts w:ascii="Verdana" w:eastAsia="Times New Roman" w:hAnsi="Verdana" w:cs="Times New Roman"/>
                <w:b w:val="0"/>
                <w:sz w:val="17"/>
                <w:szCs w:val="17"/>
                <w:lang w:val="en-GB"/>
              </w:rPr>
              <w:t>MacManus</w:t>
            </w:r>
          </w:p>
        </w:tc>
        <w:tc>
          <w:tcPr>
            <w:tcW w:w="2543" w:type="dxa"/>
            <w:shd w:val="clear" w:color="auto" w:fill="auto"/>
            <w:vAlign w:val="center"/>
          </w:tcPr>
          <w:p w14:paraId="38FD869D" w14:textId="0791C274" w:rsidR="00C37A6F" w:rsidRDefault="00C37A6F" w:rsidP="00C37A6F">
            <w:pPr>
              <w:jc w:val="center"/>
              <w:rPr>
                <w:bCs/>
                <w:szCs w:val="17"/>
              </w:rPr>
            </w:pPr>
            <w:r>
              <w:rPr>
                <w:bCs/>
                <w:szCs w:val="17"/>
              </w:rPr>
              <w:t>Definitions</w:t>
            </w:r>
            <w:r w:rsidR="00A11DC8">
              <w:rPr>
                <w:bCs/>
                <w:szCs w:val="17"/>
              </w:rPr>
              <w:t>/ transition plan</w:t>
            </w:r>
          </w:p>
        </w:tc>
        <w:tc>
          <w:tcPr>
            <w:tcW w:w="1293" w:type="dxa"/>
            <w:shd w:val="clear" w:color="auto" w:fill="auto"/>
            <w:vAlign w:val="center"/>
          </w:tcPr>
          <w:p w14:paraId="71220774" w14:textId="10561855" w:rsidR="00C37A6F" w:rsidRDefault="00F40AA0" w:rsidP="00C37A6F">
            <w:pPr>
              <w:jc w:val="center"/>
              <w:rPr>
                <w:bCs/>
                <w:szCs w:val="17"/>
              </w:rPr>
            </w:pPr>
            <w:r w:rsidRPr="00976882">
              <w:rPr>
                <w:b/>
                <w:color w:val="808080" w:themeColor="background1" w:themeShade="80"/>
                <w:szCs w:val="17"/>
              </w:rPr>
              <w:t>Neutral</w:t>
            </w:r>
          </w:p>
        </w:tc>
      </w:tr>
      <w:tr w:rsidR="00C37A6F" w:rsidRPr="00D43554" w14:paraId="07A7B1B3" w14:textId="77777777" w:rsidTr="00424768">
        <w:trPr>
          <w:trHeight w:val="499"/>
        </w:trPr>
        <w:tc>
          <w:tcPr>
            <w:tcW w:w="689" w:type="dxa"/>
            <w:shd w:val="clear" w:color="auto" w:fill="auto"/>
            <w:vAlign w:val="center"/>
          </w:tcPr>
          <w:p w14:paraId="58A9AF73" w14:textId="34A03770" w:rsidR="00C37A6F" w:rsidRDefault="00C37A6F" w:rsidP="00C37A6F">
            <w:pPr>
              <w:jc w:val="center"/>
              <w:rPr>
                <w:bCs/>
                <w:szCs w:val="17"/>
              </w:rPr>
            </w:pPr>
            <w:r>
              <w:rPr>
                <w:bCs/>
                <w:szCs w:val="17"/>
              </w:rPr>
              <w:t>343, 344</w:t>
            </w:r>
          </w:p>
        </w:tc>
        <w:tc>
          <w:tcPr>
            <w:tcW w:w="1909" w:type="dxa"/>
            <w:shd w:val="clear" w:color="auto" w:fill="auto"/>
            <w:vAlign w:val="center"/>
          </w:tcPr>
          <w:p w14:paraId="2D40B851" w14:textId="268D0DC6" w:rsidR="00C37A6F" w:rsidRPr="00E76E73" w:rsidRDefault="00C37A6F" w:rsidP="0084620E">
            <w:pPr>
              <w:jc w:val="center"/>
              <w:rPr>
                <w:szCs w:val="17"/>
              </w:rPr>
            </w:pPr>
            <w:r w:rsidRPr="00D43554">
              <w:rPr>
                <w:rStyle w:val="HideTWBExt"/>
                <w:rFonts w:ascii="Verdana" w:hAnsi="Verdana"/>
                <w:sz w:val="17"/>
                <w:szCs w:val="17"/>
                <w:specVanish w:val="0"/>
              </w:rPr>
              <w:t>&lt;Article2&gt;</w:t>
            </w:r>
            <w:r w:rsidRPr="00E76E73">
              <w:rPr>
                <w:szCs w:val="17"/>
              </w:rPr>
              <w:t>Article 13 – paragraph 1 – point 41 f (new)/41 g (new)</w:t>
            </w:r>
            <w:r w:rsidRPr="00D43554">
              <w:rPr>
                <w:rStyle w:val="HideTWBExt"/>
                <w:rFonts w:ascii="Verdana" w:hAnsi="Verdana"/>
                <w:sz w:val="17"/>
                <w:szCs w:val="17"/>
                <w:specVanish w:val="0"/>
              </w:rPr>
              <w:t>&lt;/Article2&gt;</w:t>
            </w:r>
          </w:p>
          <w:p w14:paraId="00BCB150" w14:textId="77777777" w:rsidR="00C37A6F" w:rsidRPr="00E76E73" w:rsidRDefault="00C37A6F" w:rsidP="0084620E">
            <w:pPr>
              <w:jc w:val="center"/>
              <w:rPr>
                <w:rStyle w:val="HideTWBExt"/>
                <w:rFonts w:ascii="Verdana" w:hAnsi="Verdana"/>
                <w:sz w:val="17"/>
                <w:szCs w:val="17"/>
              </w:rPr>
            </w:pPr>
          </w:p>
        </w:tc>
        <w:tc>
          <w:tcPr>
            <w:tcW w:w="6116" w:type="dxa"/>
            <w:shd w:val="clear" w:color="auto" w:fill="auto"/>
          </w:tcPr>
          <w:p w14:paraId="61EAF811" w14:textId="3BCF4851" w:rsidR="00C37A6F" w:rsidRDefault="00C37A6F" w:rsidP="00C37A6F">
            <w:pPr>
              <w:jc w:val="left"/>
              <w:rPr>
                <w:bCs/>
                <w:szCs w:val="17"/>
              </w:rPr>
            </w:pPr>
            <w:r>
              <w:rPr>
                <w:bCs/>
                <w:szCs w:val="17"/>
              </w:rPr>
              <w:t>Added definition of ‘stewardship’ (engagement strategy of insurer to steer activities of its asset holdings and influence strategy of business in which it is investing to progress towards sus economic activities)</w:t>
            </w:r>
          </w:p>
        </w:tc>
        <w:tc>
          <w:tcPr>
            <w:tcW w:w="1909" w:type="dxa"/>
            <w:shd w:val="clear" w:color="auto" w:fill="auto"/>
            <w:vAlign w:val="center"/>
          </w:tcPr>
          <w:p w14:paraId="0E3B9240" w14:textId="68F6D64C" w:rsidR="00C37A6F" w:rsidRPr="000D4029" w:rsidRDefault="00C37A6F" w:rsidP="0084620E">
            <w:pPr>
              <w:pStyle w:val="NormalBold"/>
              <w:jc w:val="center"/>
              <w:rPr>
                <w:rFonts w:ascii="Verdana" w:eastAsia="Times New Roman" w:hAnsi="Verdana" w:cs="Times New Roman"/>
                <w:b w:val="0"/>
                <w:sz w:val="17"/>
                <w:szCs w:val="17"/>
                <w:lang w:val="en-GB"/>
              </w:rPr>
            </w:pPr>
            <w:r w:rsidRPr="000D4029">
              <w:rPr>
                <w:rFonts w:ascii="Verdana" w:eastAsia="Times New Roman" w:hAnsi="Verdana" w:cs="Times New Roman"/>
                <w:b w:val="0"/>
                <w:sz w:val="17"/>
                <w:szCs w:val="17"/>
                <w:lang w:val="en-GB"/>
              </w:rPr>
              <w:t>Tang/MacManus</w:t>
            </w:r>
          </w:p>
        </w:tc>
        <w:tc>
          <w:tcPr>
            <w:tcW w:w="2543" w:type="dxa"/>
            <w:shd w:val="clear" w:color="auto" w:fill="auto"/>
            <w:vAlign w:val="center"/>
          </w:tcPr>
          <w:p w14:paraId="1E6659AC" w14:textId="70C9439A" w:rsidR="00C37A6F" w:rsidRDefault="00C37A6F" w:rsidP="00C37A6F">
            <w:pPr>
              <w:jc w:val="center"/>
              <w:rPr>
                <w:bCs/>
                <w:szCs w:val="17"/>
              </w:rPr>
            </w:pPr>
            <w:r>
              <w:rPr>
                <w:bCs/>
                <w:szCs w:val="17"/>
              </w:rPr>
              <w:t>Definitions</w:t>
            </w:r>
          </w:p>
        </w:tc>
        <w:tc>
          <w:tcPr>
            <w:tcW w:w="1293" w:type="dxa"/>
            <w:shd w:val="clear" w:color="auto" w:fill="auto"/>
            <w:vAlign w:val="center"/>
          </w:tcPr>
          <w:p w14:paraId="578AECB5" w14:textId="51F03012" w:rsidR="00C37A6F" w:rsidRDefault="00F40AA0" w:rsidP="00C37A6F">
            <w:pPr>
              <w:jc w:val="center"/>
              <w:rPr>
                <w:bCs/>
                <w:szCs w:val="17"/>
              </w:rPr>
            </w:pPr>
            <w:r w:rsidRPr="00976882">
              <w:rPr>
                <w:b/>
                <w:color w:val="808080" w:themeColor="background1" w:themeShade="80"/>
                <w:szCs w:val="17"/>
              </w:rPr>
              <w:t>Neutral</w:t>
            </w:r>
          </w:p>
        </w:tc>
      </w:tr>
      <w:tr w:rsidR="00C37A6F" w:rsidRPr="00D43554" w14:paraId="00C897A3" w14:textId="77777777" w:rsidTr="00424768">
        <w:trPr>
          <w:trHeight w:val="499"/>
        </w:trPr>
        <w:tc>
          <w:tcPr>
            <w:tcW w:w="689" w:type="dxa"/>
            <w:shd w:val="clear" w:color="auto" w:fill="auto"/>
            <w:vAlign w:val="center"/>
          </w:tcPr>
          <w:p w14:paraId="7C8BC205" w14:textId="3CBDF193" w:rsidR="00C37A6F" w:rsidRDefault="00C37A6F" w:rsidP="00C37A6F">
            <w:pPr>
              <w:jc w:val="center"/>
              <w:rPr>
                <w:bCs/>
                <w:szCs w:val="17"/>
              </w:rPr>
            </w:pPr>
            <w:r>
              <w:rPr>
                <w:bCs/>
                <w:szCs w:val="17"/>
              </w:rPr>
              <w:t>345</w:t>
            </w:r>
          </w:p>
        </w:tc>
        <w:tc>
          <w:tcPr>
            <w:tcW w:w="1909" w:type="dxa"/>
            <w:shd w:val="clear" w:color="auto" w:fill="auto"/>
            <w:vAlign w:val="center"/>
          </w:tcPr>
          <w:p w14:paraId="26867930" w14:textId="77777777" w:rsidR="00C37A6F" w:rsidRPr="00E76E73" w:rsidRDefault="00C37A6F" w:rsidP="0084620E">
            <w:pPr>
              <w:jc w:val="center"/>
              <w:rPr>
                <w:szCs w:val="17"/>
              </w:rPr>
            </w:pPr>
            <w:r w:rsidRPr="00D43554">
              <w:rPr>
                <w:rStyle w:val="HideTWBExt"/>
                <w:rFonts w:ascii="Verdana" w:hAnsi="Verdana"/>
                <w:sz w:val="17"/>
                <w:szCs w:val="17"/>
                <w:specVanish w:val="0"/>
              </w:rPr>
              <w:t>&lt;Article2&gt;</w:t>
            </w:r>
            <w:r w:rsidRPr="00E76E73">
              <w:rPr>
                <w:szCs w:val="17"/>
              </w:rPr>
              <w:t xml:space="preserve">Article 18 – paragraph 1 – point </w:t>
            </w:r>
            <w:proofErr w:type="spellStart"/>
            <w:r w:rsidRPr="00E76E73">
              <w:rPr>
                <w:szCs w:val="17"/>
              </w:rPr>
              <w:t>i</w:t>
            </w:r>
            <w:proofErr w:type="spellEnd"/>
            <w:r w:rsidRPr="00E76E73">
              <w:rPr>
                <w:szCs w:val="17"/>
              </w:rPr>
              <w:t xml:space="preserve"> a (new)</w:t>
            </w:r>
            <w:r w:rsidRPr="00D43554">
              <w:rPr>
                <w:rStyle w:val="HideTWBExt"/>
                <w:rFonts w:ascii="Verdana" w:hAnsi="Verdana"/>
                <w:sz w:val="17"/>
                <w:szCs w:val="17"/>
                <w:specVanish w:val="0"/>
              </w:rPr>
              <w:t>&lt;/Article2&gt;</w:t>
            </w:r>
          </w:p>
          <w:p w14:paraId="189F3CB8" w14:textId="77777777" w:rsidR="00C37A6F" w:rsidRPr="00E76E73" w:rsidRDefault="00C37A6F" w:rsidP="0084620E">
            <w:pPr>
              <w:jc w:val="center"/>
              <w:rPr>
                <w:rStyle w:val="HideTWBExt"/>
                <w:rFonts w:ascii="Verdana" w:hAnsi="Verdana"/>
                <w:sz w:val="17"/>
                <w:szCs w:val="17"/>
              </w:rPr>
            </w:pPr>
          </w:p>
        </w:tc>
        <w:tc>
          <w:tcPr>
            <w:tcW w:w="6116" w:type="dxa"/>
            <w:shd w:val="clear" w:color="auto" w:fill="auto"/>
          </w:tcPr>
          <w:p w14:paraId="2FE91EE9" w14:textId="35B635FC" w:rsidR="00C37A6F" w:rsidRDefault="00C37A6F" w:rsidP="00C37A6F">
            <w:pPr>
              <w:jc w:val="left"/>
              <w:rPr>
                <w:bCs/>
                <w:szCs w:val="17"/>
              </w:rPr>
            </w:pPr>
            <w:r>
              <w:rPr>
                <w:bCs/>
                <w:szCs w:val="17"/>
              </w:rPr>
              <w:t>Added requirement for authorisation of an undertaking the condition that it is not significantly exposed to money laundering and terrorist financing risks</w:t>
            </w:r>
          </w:p>
        </w:tc>
        <w:tc>
          <w:tcPr>
            <w:tcW w:w="1909" w:type="dxa"/>
            <w:shd w:val="clear" w:color="auto" w:fill="auto"/>
            <w:vAlign w:val="center"/>
          </w:tcPr>
          <w:p w14:paraId="1D538FBD" w14:textId="23EA550B" w:rsidR="00C37A6F" w:rsidRPr="000D4029" w:rsidRDefault="00C37A6F" w:rsidP="0084620E">
            <w:pPr>
              <w:pStyle w:val="NormalBold"/>
              <w:jc w:val="center"/>
              <w:rPr>
                <w:rFonts w:ascii="Verdana" w:eastAsia="Times New Roman" w:hAnsi="Verdana" w:cs="Times New Roman"/>
                <w:b w:val="0"/>
                <w:sz w:val="17"/>
                <w:szCs w:val="17"/>
                <w:lang w:val="en-GB"/>
              </w:rPr>
            </w:pPr>
            <w:r w:rsidRPr="000D4029">
              <w:rPr>
                <w:rFonts w:ascii="Verdana" w:eastAsia="Times New Roman" w:hAnsi="Verdana" w:cs="Times New Roman"/>
                <w:b w:val="0"/>
                <w:sz w:val="17"/>
                <w:szCs w:val="17"/>
                <w:lang w:val="en-GB"/>
              </w:rPr>
              <w:t>Hahn</w:t>
            </w:r>
          </w:p>
        </w:tc>
        <w:tc>
          <w:tcPr>
            <w:tcW w:w="2543" w:type="dxa"/>
            <w:shd w:val="clear" w:color="auto" w:fill="auto"/>
            <w:vAlign w:val="center"/>
          </w:tcPr>
          <w:p w14:paraId="29BDF6E4" w14:textId="555DC7BD" w:rsidR="00C37A6F" w:rsidRDefault="00C37A6F" w:rsidP="00C37A6F">
            <w:pPr>
              <w:jc w:val="center"/>
              <w:rPr>
                <w:bCs/>
                <w:szCs w:val="17"/>
              </w:rPr>
            </w:pPr>
            <w:r>
              <w:rPr>
                <w:bCs/>
                <w:szCs w:val="17"/>
              </w:rPr>
              <w:t>Authorisation</w:t>
            </w:r>
          </w:p>
        </w:tc>
        <w:tc>
          <w:tcPr>
            <w:tcW w:w="1293" w:type="dxa"/>
            <w:shd w:val="clear" w:color="auto" w:fill="auto"/>
            <w:vAlign w:val="center"/>
          </w:tcPr>
          <w:p w14:paraId="77B54943" w14:textId="06710F6A" w:rsidR="00C37A6F" w:rsidRDefault="00F40AA0" w:rsidP="00C37A6F">
            <w:pPr>
              <w:jc w:val="center"/>
              <w:rPr>
                <w:bCs/>
                <w:szCs w:val="17"/>
              </w:rPr>
            </w:pPr>
            <w:r w:rsidRPr="00976882">
              <w:rPr>
                <w:b/>
                <w:color w:val="808080" w:themeColor="background1" w:themeShade="80"/>
                <w:szCs w:val="17"/>
              </w:rPr>
              <w:t>Neutral</w:t>
            </w:r>
          </w:p>
        </w:tc>
      </w:tr>
      <w:tr w:rsidR="00C37A6F" w:rsidRPr="00D43554" w14:paraId="6607B006" w14:textId="77777777" w:rsidTr="00424768">
        <w:trPr>
          <w:trHeight w:val="499"/>
        </w:trPr>
        <w:tc>
          <w:tcPr>
            <w:tcW w:w="689" w:type="dxa"/>
            <w:shd w:val="clear" w:color="auto" w:fill="auto"/>
            <w:vAlign w:val="center"/>
          </w:tcPr>
          <w:p w14:paraId="7BECBE95" w14:textId="6FBEE92B" w:rsidR="00C37A6F" w:rsidRDefault="00C37A6F" w:rsidP="00C37A6F">
            <w:pPr>
              <w:jc w:val="center"/>
              <w:rPr>
                <w:bCs/>
                <w:szCs w:val="17"/>
              </w:rPr>
            </w:pPr>
            <w:r>
              <w:rPr>
                <w:bCs/>
                <w:szCs w:val="17"/>
              </w:rPr>
              <w:t>346</w:t>
            </w:r>
          </w:p>
        </w:tc>
        <w:tc>
          <w:tcPr>
            <w:tcW w:w="1909" w:type="dxa"/>
            <w:shd w:val="clear" w:color="auto" w:fill="auto"/>
            <w:vAlign w:val="center"/>
          </w:tcPr>
          <w:p w14:paraId="4458632C" w14:textId="5EEBC422" w:rsidR="00C37A6F" w:rsidRPr="00424768" w:rsidRDefault="00C37A6F" w:rsidP="0084620E">
            <w:pPr>
              <w:jc w:val="center"/>
              <w:rPr>
                <w:rStyle w:val="HideTWBExt"/>
                <w:rFonts w:ascii="Verdana" w:hAnsi="Verdana"/>
                <w:sz w:val="17"/>
                <w:szCs w:val="17"/>
                <w:lang w:val="fr-BE"/>
              </w:rPr>
            </w:pPr>
            <w:r w:rsidRPr="00424768">
              <w:rPr>
                <w:szCs w:val="17"/>
                <w:lang w:val="fr-BE"/>
              </w:rPr>
              <w:t>Article 18 – paragraph 1 – subparagraph 1 a (new)</w:t>
            </w:r>
            <w:r w:rsidRPr="00424768">
              <w:rPr>
                <w:rStyle w:val="HideTWBExt"/>
                <w:rFonts w:ascii="Verdana" w:hAnsi="Verdana"/>
                <w:sz w:val="17"/>
                <w:szCs w:val="17"/>
                <w:lang w:val="fr-BE"/>
                <w:specVanish w:val="0"/>
              </w:rPr>
              <w:t>&lt;/Article2&gt;</w:t>
            </w:r>
          </w:p>
        </w:tc>
        <w:tc>
          <w:tcPr>
            <w:tcW w:w="6116" w:type="dxa"/>
            <w:shd w:val="clear" w:color="auto" w:fill="auto"/>
          </w:tcPr>
          <w:p w14:paraId="0DE1715E" w14:textId="2A03635F" w:rsidR="00C37A6F" w:rsidRDefault="00C37A6F" w:rsidP="00C37A6F">
            <w:pPr>
              <w:jc w:val="left"/>
              <w:rPr>
                <w:bCs/>
                <w:szCs w:val="17"/>
              </w:rPr>
            </w:pPr>
            <w:r>
              <w:rPr>
                <w:bCs/>
                <w:szCs w:val="17"/>
              </w:rPr>
              <w:t>To check if an undertaking is not significantly exposed to money laundering and terrorist financing risks NSAs shall liaise with the relevant authority.</w:t>
            </w:r>
          </w:p>
        </w:tc>
        <w:tc>
          <w:tcPr>
            <w:tcW w:w="1909" w:type="dxa"/>
            <w:shd w:val="clear" w:color="auto" w:fill="auto"/>
            <w:vAlign w:val="center"/>
          </w:tcPr>
          <w:p w14:paraId="1CC6E995" w14:textId="118A9DCE" w:rsidR="00C37A6F" w:rsidRPr="000D4029" w:rsidRDefault="00C37A6F" w:rsidP="0084620E">
            <w:pPr>
              <w:pStyle w:val="NormalBold"/>
              <w:jc w:val="center"/>
              <w:rPr>
                <w:rFonts w:ascii="Verdana" w:eastAsia="Times New Roman" w:hAnsi="Verdana" w:cs="Times New Roman"/>
                <w:b w:val="0"/>
                <w:sz w:val="17"/>
                <w:szCs w:val="17"/>
                <w:lang w:val="en-GB"/>
              </w:rPr>
            </w:pPr>
            <w:r w:rsidRPr="000D4029">
              <w:rPr>
                <w:rFonts w:ascii="Verdana" w:eastAsia="Times New Roman" w:hAnsi="Verdana" w:cs="Times New Roman"/>
                <w:b w:val="0"/>
                <w:sz w:val="17"/>
                <w:szCs w:val="17"/>
                <w:lang w:val="en-GB"/>
              </w:rPr>
              <w:t>Hahn</w:t>
            </w:r>
          </w:p>
        </w:tc>
        <w:tc>
          <w:tcPr>
            <w:tcW w:w="2543" w:type="dxa"/>
            <w:shd w:val="clear" w:color="auto" w:fill="auto"/>
            <w:vAlign w:val="center"/>
          </w:tcPr>
          <w:p w14:paraId="131305C8" w14:textId="77777777" w:rsidR="00C37A6F" w:rsidRDefault="00C37A6F" w:rsidP="00C37A6F">
            <w:pPr>
              <w:jc w:val="center"/>
              <w:rPr>
                <w:bCs/>
                <w:szCs w:val="17"/>
              </w:rPr>
            </w:pPr>
            <w:r>
              <w:rPr>
                <w:bCs/>
                <w:szCs w:val="17"/>
              </w:rPr>
              <w:t>Authorisation</w:t>
            </w:r>
          </w:p>
          <w:p w14:paraId="15FBC915" w14:textId="417C8FFA" w:rsidR="00C37A6F" w:rsidRDefault="00C37A6F" w:rsidP="0084620E">
            <w:pPr>
              <w:jc w:val="center"/>
              <w:rPr>
                <w:bCs/>
                <w:szCs w:val="17"/>
              </w:rPr>
            </w:pPr>
            <w:r>
              <w:rPr>
                <w:bCs/>
                <w:szCs w:val="17"/>
              </w:rPr>
              <w:t>(</w:t>
            </w:r>
            <w:proofErr w:type="gramStart"/>
            <w:r w:rsidRPr="009D0DD7">
              <w:rPr>
                <w:bCs/>
                <w:i/>
                <w:iCs/>
                <w:szCs w:val="17"/>
              </w:rPr>
              <w:t>link</w:t>
            </w:r>
            <w:proofErr w:type="gramEnd"/>
            <w:r w:rsidRPr="009D0DD7">
              <w:rPr>
                <w:bCs/>
                <w:i/>
                <w:iCs/>
                <w:szCs w:val="17"/>
              </w:rPr>
              <w:t xml:space="preserve"> with A345</w:t>
            </w:r>
            <w:r>
              <w:rPr>
                <w:bCs/>
                <w:szCs w:val="17"/>
              </w:rPr>
              <w:t>)</w:t>
            </w:r>
          </w:p>
        </w:tc>
        <w:tc>
          <w:tcPr>
            <w:tcW w:w="1293" w:type="dxa"/>
            <w:shd w:val="clear" w:color="auto" w:fill="auto"/>
            <w:vAlign w:val="center"/>
          </w:tcPr>
          <w:p w14:paraId="775DD6D5" w14:textId="3A690610" w:rsidR="00C37A6F" w:rsidRDefault="00F40AA0" w:rsidP="00C37A6F">
            <w:pPr>
              <w:jc w:val="center"/>
              <w:rPr>
                <w:bCs/>
                <w:szCs w:val="17"/>
              </w:rPr>
            </w:pPr>
            <w:r w:rsidRPr="00976882">
              <w:rPr>
                <w:b/>
                <w:color w:val="808080" w:themeColor="background1" w:themeShade="80"/>
                <w:szCs w:val="17"/>
              </w:rPr>
              <w:t>Neutral</w:t>
            </w:r>
          </w:p>
        </w:tc>
      </w:tr>
      <w:tr w:rsidR="00C37A6F" w:rsidRPr="00D43554" w14:paraId="0B28A8E7" w14:textId="77777777" w:rsidTr="00424768">
        <w:trPr>
          <w:trHeight w:val="499"/>
        </w:trPr>
        <w:tc>
          <w:tcPr>
            <w:tcW w:w="689" w:type="dxa"/>
            <w:shd w:val="clear" w:color="auto" w:fill="auto"/>
            <w:vAlign w:val="center"/>
          </w:tcPr>
          <w:p w14:paraId="024CDE5A" w14:textId="11AA7FF9" w:rsidR="00C37A6F" w:rsidRDefault="00C37A6F" w:rsidP="00C37A6F">
            <w:pPr>
              <w:jc w:val="center"/>
              <w:rPr>
                <w:bCs/>
                <w:szCs w:val="17"/>
              </w:rPr>
            </w:pPr>
            <w:r>
              <w:rPr>
                <w:bCs/>
                <w:szCs w:val="17"/>
              </w:rPr>
              <w:t>347</w:t>
            </w:r>
          </w:p>
        </w:tc>
        <w:tc>
          <w:tcPr>
            <w:tcW w:w="1909" w:type="dxa"/>
            <w:shd w:val="clear" w:color="auto" w:fill="auto"/>
            <w:vAlign w:val="center"/>
          </w:tcPr>
          <w:p w14:paraId="60474373" w14:textId="77A62C3A" w:rsidR="00C37A6F" w:rsidRPr="00E76E73" w:rsidRDefault="00C37A6F" w:rsidP="0084620E">
            <w:pPr>
              <w:jc w:val="center"/>
              <w:rPr>
                <w:szCs w:val="17"/>
              </w:rPr>
            </w:pPr>
            <w:r w:rsidRPr="00D43554">
              <w:rPr>
                <w:rStyle w:val="HideTWBExt"/>
                <w:rFonts w:ascii="Verdana" w:hAnsi="Verdana"/>
                <w:sz w:val="17"/>
                <w:szCs w:val="17"/>
                <w:specVanish w:val="0"/>
              </w:rPr>
              <w:t>&lt;Article2&gt;</w:t>
            </w:r>
            <w:r w:rsidRPr="00E76E73">
              <w:rPr>
                <w:szCs w:val="17"/>
              </w:rPr>
              <w:t>Article 25 – paragraph 3 a (new) and 3 b (new)</w:t>
            </w:r>
            <w:r w:rsidRPr="00D43554">
              <w:rPr>
                <w:rStyle w:val="HideTWBExt"/>
                <w:rFonts w:ascii="Verdana" w:hAnsi="Verdana"/>
                <w:sz w:val="17"/>
                <w:szCs w:val="17"/>
                <w:specVanish w:val="0"/>
              </w:rPr>
              <w:t>&lt;/Article2&gt;</w:t>
            </w:r>
          </w:p>
          <w:p w14:paraId="59FACBD4" w14:textId="77777777" w:rsidR="00C37A6F" w:rsidRPr="00E76E73" w:rsidRDefault="00C37A6F" w:rsidP="0084620E">
            <w:pPr>
              <w:jc w:val="center"/>
              <w:rPr>
                <w:szCs w:val="17"/>
              </w:rPr>
            </w:pPr>
          </w:p>
        </w:tc>
        <w:tc>
          <w:tcPr>
            <w:tcW w:w="6116" w:type="dxa"/>
            <w:shd w:val="clear" w:color="auto" w:fill="auto"/>
          </w:tcPr>
          <w:p w14:paraId="056A7982" w14:textId="5F07F96B" w:rsidR="00C37A6F" w:rsidRDefault="00C37A6F" w:rsidP="00C37A6F">
            <w:pPr>
              <w:jc w:val="left"/>
              <w:rPr>
                <w:bCs/>
                <w:szCs w:val="17"/>
              </w:rPr>
            </w:pPr>
            <w:r>
              <w:rPr>
                <w:bCs/>
                <w:szCs w:val="17"/>
              </w:rPr>
              <w:t>Introduces conditions to refuse authorisation of insurers.</w:t>
            </w:r>
          </w:p>
        </w:tc>
        <w:tc>
          <w:tcPr>
            <w:tcW w:w="1909" w:type="dxa"/>
            <w:shd w:val="clear" w:color="auto" w:fill="auto"/>
            <w:vAlign w:val="center"/>
          </w:tcPr>
          <w:p w14:paraId="60C43383" w14:textId="0D9490F0" w:rsidR="00C37A6F" w:rsidRPr="000D4029" w:rsidRDefault="00C37A6F" w:rsidP="0084620E">
            <w:pPr>
              <w:pStyle w:val="NormalBold"/>
              <w:jc w:val="center"/>
              <w:rPr>
                <w:rFonts w:ascii="Verdana" w:eastAsia="Times New Roman" w:hAnsi="Verdana" w:cs="Times New Roman"/>
                <w:b w:val="0"/>
                <w:sz w:val="17"/>
                <w:szCs w:val="17"/>
                <w:lang w:val="en-GB"/>
              </w:rPr>
            </w:pPr>
            <w:r w:rsidRPr="000D4029">
              <w:rPr>
                <w:rFonts w:ascii="Verdana" w:eastAsia="Times New Roman" w:hAnsi="Verdana" w:cs="Times New Roman"/>
                <w:b w:val="0"/>
                <w:sz w:val="17"/>
                <w:szCs w:val="17"/>
                <w:lang w:val="en-GB"/>
              </w:rPr>
              <w:t>Hahn</w:t>
            </w:r>
          </w:p>
        </w:tc>
        <w:tc>
          <w:tcPr>
            <w:tcW w:w="2543" w:type="dxa"/>
            <w:shd w:val="clear" w:color="auto" w:fill="auto"/>
            <w:vAlign w:val="center"/>
          </w:tcPr>
          <w:p w14:paraId="2C5515FD" w14:textId="77777777" w:rsidR="00C37A6F" w:rsidRDefault="00C37A6F" w:rsidP="00C37A6F">
            <w:pPr>
              <w:jc w:val="center"/>
              <w:rPr>
                <w:bCs/>
                <w:szCs w:val="17"/>
              </w:rPr>
            </w:pPr>
            <w:r>
              <w:rPr>
                <w:bCs/>
                <w:szCs w:val="17"/>
              </w:rPr>
              <w:t>Authorisation</w:t>
            </w:r>
          </w:p>
          <w:p w14:paraId="61F906C6" w14:textId="77777777" w:rsidR="00C37A6F" w:rsidRDefault="00C37A6F" w:rsidP="00C37A6F">
            <w:pPr>
              <w:jc w:val="center"/>
              <w:rPr>
                <w:bCs/>
                <w:szCs w:val="17"/>
              </w:rPr>
            </w:pPr>
          </w:p>
        </w:tc>
        <w:tc>
          <w:tcPr>
            <w:tcW w:w="1293" w:type="dxa"/>
            <w:shd w:val="clear" w:color="auto" w:fill="auto"/>
            <w:vAlign w:val="center"/>
          </w:tcPr>
          <w:p w14:paraId="2985C022" w14:textId="6A1A6243" w:rsidR="00C37A6F" w:rsidRDefault="00A466F5" w:rsidP="00C37A6F">
            <w:pPr>
              <w:jc w:val="center"/>
              <w:rPr>
                <w:bCs/>
                <w:szCs w:val="17"/>
              </w:rPr>
            </w:pPr>
            <w:r w:rsidRPr="00976882">
              <w:rPr>
                <w:b/>
                <w:color w:val="808080" w:themeColor="background1" w:themeShade="80"/>
                <w:szCs w:val="17"/>
              </w:rPr>
              <w:t>Neutral</w:t>
            </w:r>
          </w:p>
        </w:tc>
      </w:tr>
      <w:tr w:rsidR="00C37A6F" w:rsidRPr="00D43554" w14:paraId="5125BB73" w14:textId="77777777" w:rsidTr="00424768">
        <w:trPr>
          <w:trHeight w:val="499"/>
        </w:trPr>
        <w:tc>
          <w:tcPr>
            <w:tcW w:w="689" w:type="dxa"/>
            <w:shd w:val="clear" w:color="auto" w:fill="auto"/>
            <w:vAlign w:val="center"/>
          </w:tcPr>
          <w:p w14:paraId="07E62D8A" w14:textId="7CCDCD72" w:rsidR="00C37A6F" w:rsidRDefault="00C37A6F" w:rsidP="00C37A6F">
            <w:pPr>
              <w:jc w:val="center"/>
              <w:rPr>
                <w:bCs/>
                <w:szCs w:val="17"/>
              </w:rPr>
            </w:pPr>
            <w:r>
              <w:rPr>
                <w:bCs/>
                <w:szCs w:val="17"/>
              </w:rPr>
              <w:t>348/349</w:t>
            </w:r>
          </w:p>
        </w:tc>
        <w:tc>
          <w:tcPr>
            <w:tcW w:w="1909" w:type="dxa"/>
            <w:shd w:val="clear" w:color="auto" w:fill="auto"/>
            <w:vAlign w:val="center"/>
          </w:tcPr>
          <w:p w14:paraId="2C27E9D5" w14:textId="77777777" w:rsidR="00C37A6F" w:rsidRPr="00E76E73" w:rsidRDefault="00C37A6F" w:rsidP="0084620E">
            <w:pPr>
              <w:jc w:val="center"/>
              <w:rPr>
                <w:szCs w:val="17"/>
              </w:rPr>
            </w:pPr>
            <w:r w:rsidRPr="00D43554">
              <w:rPr>
                <w:rStyle w:val="HideTWBExt"/>
                <w:rFonts w:ascii="Verdana" w:hAnsi="Verdana"/>
                <w:sz w:val="17"/>
                <w:szCs w:val="17"/>
                <w:specVanish w:val="0"/>
              </w:rPr>
              <w:t>&lt;Article2&gt;</w:t>
            </w:r>
            <w:r w:rsidRPr="00E76E73">
              <w:rPr>
                <w:szCs w:val="17"/>
              </w:rPr>
              <w:t>Article 26 – paragraph 4</w:t>
            </w:r>
            <w:r w:rsidRPr="00D43554">
              <w:rPr>
                <w:rStyle w:val="HideTWBExt"/>
                <w:rFonts w:ascii="Verdana" w:hAnsi="Verdana"/>
                <w:sz w:val="17"/>
                <w:szCs w:val="17"/>
                <w:specVanish w:val="0"/>
              </w:rPr>
              <w:t>&lt;/Article2&gt;</w:t>
            </w:r>
          </w:p>
          <w:p w14:paraId="246DC434" w14:textId="77777777" w:rsidR="00C37A6F" w:rsidRPr="00E76E73" w:rsidRDefault="00C37A6F" w:rsidP="0084620E">
            <w:pPr>
              <w:jc w:val="center"/>
              <w:rPr>
                <w:rStyle w:val="HideTWBExt"/>
                <w:rFonts w:ascii="Verdana" w:hAnsi="Verdana"/>
                <w:sz w:val="17"/>
                <w:szCs w:val="17"/>
              </w:rPr>
            </w:pPr>
          </w:p>
        </w:tc>
        <w:tc>
          <w:tcPr>
            <w:tcW w:w="6116" w:type="dxa"/>
            <w:shd w:val="clear" w:color="auto" w:fill="auto"/>
          </w:tcPr>
          <w:p w14:paraId="7CACAE81" w14:textId="11388500" w:rsidR="00C37A6F" w:rsidRDefault="00C37A6F" w:rsidP="00C37A6F">
            <w:pPr>
              <w:jc w:val="left"/>
              <w:rPr>
                <w:bCs/>
                <w:szCs w:val="17"/>
              </w:rPr>
            </w:pPr>
            <w:r>
              <w:rPr>
                <w:bCs/>
                <w:szCs w:val="17"/>
              </w:rPr>
              <w:t xml:space="preserve">In relation to </w:t>
            </w:r>
            <w:r w:rsidR="00A466F5">
              <w:rPr>
                <w:bCs/>
                <w:szCs w:val="17"/>
              </w:rPr>
              <w:t>p</w:t>
            </w:r>
            <w:r w:rsidRPr="00381932">
              <w:rPr>
                <w:bCs/>
                <w:szCs w:val="17"/>
              </w:rPr>
              <w:t xml:space="preserve">rior consultation of the authorities of other </w:t>
            </w:r>
            <w:r>
              <w:rPr>
                <w:bCs/>
                <w:szCs w:val="17"/>
              </w:rPr>
              <w:t xml:space="preserve">MS, it is specified that any NSA concerned may request additional information from the home NSA (instead of jointly assessing the authorisation application). The home NSA shall consider all views, </w:t>
            </w:r>
            <w:r>
              <w:rPr>
                <w:bCs/>
                <w:szCs w:val="17"/>
              </w:rPr>
              <w:lastRenderedPageBreak/>
              <w:t>including the determination of significant cross-border activities, and notify all involved NSAs of the outcome and the reason of its decision.</w:t>
            </w:r>
          </w:p>
          <w:p w14:paraId="295907FD" w14:textId="77777777" w:rsidR="00C37A6F" w:rsidRDefault="00C37A6F" w:rsidP="00C37A6F">
            <w:pPr>
              <w:jc w:val="left"/>
              <w:rPr>
                <w:bCs/>
                <w:szCs w:val="17"/>
              </w:rPr>
            </w:pPr>
          </w:p>
          <w:p w14:paraId="743CF252" w14:textId="07FE73A0" w:rsidR="00C37A6F" w:rsidRDefault="00C37A6F" w:rsidP="00C37A6F">
            <w:pPr>
              <w:jc w:val="left"/>
              <w:rPr>
                <w:bCs/>
                <w:szCs w:val="17"/>
              </w:rPr>
            </w:pPr>
            <w:r>
              <w:rPr>
                <w:bCs/>
                <w:szCs w:val="17"/>
              </w:rPr>
              <w:t>MacManus also requires the Home NSA to inform EIOPA of the decision.</w:t>
            </w:r>
          </w:p>
          <w:p w14:paraId="220CB3CB" w14:textId="4562DC5D" w:rsidR="00C37A6F" w:rsidRDefault="00C37A6F" w:rsidP="00C37A6F">
            <w:pPr>
              <w:jc w:val="left"/>
              <w:rPr>
                <w:bCs/>
                <w:szCs w:val="17"/>
              </w:rPr>
            </w:pPr>
          </w:p>
        </w:tc>
        <w:tc>
          <w:tcPr>
            <w:tcW w:w="1909" w:type="dxa"/>
            <w:shd w:val="clear" w:color="auto" w:fill="auto"/>
            <w:vAlign w:val="center"/>
          </w:tcPr>
          <w:p w14:paraId="62FE744F" w14:textId="77777777" w:rsidR="00C37A6F" w:rsidRPr="000D4029" w:rsidRDefault="00C37A6F" w:rsidP="0084620E">
            <w:pPr>
              <w:pStyle w:val="NormalBold"/>
              <w:jc w:val="center"/>
              <w:rPr>
                <w:rFonts w:ascii="Verdana" w:eastAsia="Times New Roman" w:hAnsi="Verdana" w:cs="Times New Roman"/>
                <w:b w:val="0"/>
                <w:sz w:val="17"/>
                <w:szCs w:val="17"/>
                <w:lang w:val="en-GB"/>
              </w:rPr>
            </w:pPr>
            <w:r w:rsidRPr="000D4029">
              <w:rPr>
                <w:rFonts w:ascii="Verdana" w:eastAsia="Times New Roman" w:hAnsi="Verdana" w:cs="Times New Roman"/>
                <w:b w:val="0"/>
                <w:sz w:val="17"/>
                <w:szCs w:val="17"/>
                <w:lang w:val="en-GB"/>
              </w:rPr>
              <w:lastRenderedPageBreak/>
              <w:t>Fitzgerald/</w:t>
            </w:r>
          </w:p>
          <w:p w14:paraId="3EDD2159" w14:textId="77777777" w:rsidR="00C37A6F" w:rsidRPr="000D4029" w:rsidRDefault="00C37A6F" w:rsidP="0084620E">
            <w:pPr>
              <w:pStyle w:val="NormalBold"/>
              <w:jc w:val="center"/>
              <w:rPr>
                <w:rFonts w:ascii="Verdana" w:eastAsia="Times New Roman" w:hAnsi="Verdana" w:cs="Times New Roman"/>
                <w:b w:val="0"/>
                <w:sz w:val="17"/>
                <w:szCs w:val="17"/>
                <w:lang w:val="en-GB"/>
              </w:rPr>
            </w:pPr>
          </w:p>
          <w:p w14:paraId="5C5A2F5D" w14:textId="12652627" w:rsidR="00C37A6F" w:rsidRPr="000D4029" w:rsidRDefault="00C37A6F" w:rsidP="0084620E">
            <w:pPr>
              <w:pStyle w:val="NormalBold"/>
              <w:jc w:val="center"/>
              <w:rPr>
                <w:rFonts w:ascii="Verdana" w:eastAsia="Times New Roman" w:hAnsi="Verdana" w:cs="Times New Roman"/>
                <w:b w:val="0"/>
                <w:sz w:val="17"/>
                <w:szCs w:val="17"/>
                <w:lang w:val="en-GB"/>
              </w:rPr>
            </w:pPr>
            <w:r w:rsidRPr="000D4029">
              <w:rPr>
                <w:rFonts w:ascii="Verdana" w:eastAsia="Times New Roman" w:hAnsi="Verdana" w:cs="Times New Roman"/>
                <w:b w:val="0"/>
                <w:sz w:val="17"/>
                <w:szCs w:val="17"/>
                <w:lang w:val="en-GB"/>
              </w:rPr>
              <w:t>MacManus</w:t>
            </w:r>
          </w:p>
        </w:tc>
        <w:tc>
          <w:tcPr>
            <w:tcW w:w="2543" w:type="dxa"/>
            <w:shd w:val="clear" w:color="auto" w:fill="auto"/>
            <w:vAlign w:val="center"/>
          </w:tcPr>
          <w:p w14:paraId="4D29BC32" w14:textId="09CEE3D6" w:rsidR="00C37A6F" w:rsidRDefault="00C37A6F" w:rsidP="00C37A6F">
            <w:pPr>
              <w:jc w:val="center"/>
              <w:rPr>
                <w:bCs/>
                <w:szCs w:val="17"/>
              </w:rPr>
            </w:pPr>
            <w:r>
              <w:rPr>
                <w:bCs/>
                <w:szCs w:val="17"/>
              </w:rPr>
              <w:t>Authorisation/cross border</w:t>
            </w:r>
          </w:p>
          <w:p w14:paraId="0AD7DA9B" w14:textId="77777777" w:rsidR="00C37A6F" w:rsidRDefault="00C37A6F" w:rsidP="00C37A6F">
            <w:pPr>
              <w:jc w:val="center"/>
              <w:rPr>
                <w:bCs/>
                <w:szCs w:val="17"/>
              </w:rPr>
            </w:pPr>
          </w:p>
        </w:tc>
        <w:tc>
          <w:tcPr>
            <w:tcW w:w="1293" w:type="dxa"/>
            <w:shd w:val="clear" w:color="auto" w:fill="auto"/>
            <w:vAlign w:val="center"/>
          </w:tcPr>
          <w:p w14:paraId="15EA1B4B" w14:textId="4053109D" w:rsidR="00C37A6F" w:rsidRDefault="00C15C37" w:rsidP="00C37A6F">
            <w:pPr>
              <w:jc w:val="center"/>
              <w:rPr>
                <w:bCs/>
                <w:szCs w:val="17"/>
              </w:rPr>
            </w:pPr>
            <w:r w:rsidRPr="00976882">
              <w:rPr>
                <w:b/>
                <w:color w:val="808080" w:themeColor="background1" w:themeShade="80"/>
                <w:szCs w:val="17"/>
              </w:rPr>
              <w:t>Neutral</w:t>
            </w:r>
          </w:p>
        </w:tc>
      </w:tr>
      <w:tr w:rsidR="00C37A6F" w:rsidRPr="00D43554" w14:paraId="41B7D9B4" w14:textId="77777777" w:rsidTr="00424768">
        <w:trPr>
          <w:trHeight w:val="499"/>
        </w:trPr>
        <w:tc>
          <w:tcPr>
            <w:tcW w:w="689" w:type="dxa"/>
            <w:shd w:val="clear" w:color="auto" w:fill="auto"/>
            <w:vAlign w:val="center"/>
          </w:tcPr>
          <w:p w14:paraId="2712FD36" w14:textId="00D7D08E" w:rsidR="00C37A6F" w:rsidRDefault="00C37A6F" w:rsidP="00C37A6F">
            <w:pPr>
              <w:jc w:val="center"/>
              <w:rPr>
                <w:bCs/>
                <w:szCs w:val="17"/>
              </w:rPr>
            </w:pPr>
            <w:r>
              <w:rPr>
                <w:bCs/>
                <w:szCs w:val="17"/>
              </w:rPr>
              <w:t>350</w:t>
            </w:r>
          </w:p>
        </w:tc>
        <w:tc>
          <w:tcPr>
            <w:tcW w:w="1909" w:type="dxa"/>
            <w:shd w:val="clear" w:color="auto" w:fill="auto"/>
            <w:vAlign w:val="center"/>
          </w:tcPr>
          <w:p w14:paraId="3AD08C32" w14:textId="77777777" w:rsidR="00C37A6F" w:rsidRPr="00E76E73" w:rsidRDefault="00C37A6F" w:rsidP="0084620E">
            <w:pPr>
              <w:jc w:val="center"/>
              <w:rPr>
                <w:szCs w:val="17"/>
              </w:rPr>
            </w:pPr>
            <w:r w:rsidRPr="00D43554">
              <w:rPr>
                <w:rStyle w:val="HideTWBExt"/>
                <w:rFonts w:ascii="Verdana" w:hAnsi="Verdana"/>
                <w:sz w:val="17"/>
                <w:szCs w:val="17"/>
                <w:specVanish w:val="0"/>
              </w:rPr>
              <w:t>&lt;Article2&gt;</w:t>
            </w:r>
            <w:r w:rsidRPr="00E76E73">
              <w:rPr>
                <w:szCs w:val="17"/>
              </w:rPr>
              <w:t>Article 26 – paragraph 4 a (new)</w:t>
            </w:r>
            <w:r w:rsidRPr="00D43554">
              <w:rPr>
                <w:rStyle w:val="HideTWBExt"/>
                <w:rFonts w:ascii="Verdana" w:hAnsi="Verdana"/>
                <w:sz w:val="17"/>
                <w:szCs w:val="17"/>
                <w:specVanish w:val="0"/>
              </w:rPr>
              <w:t>&lt;/Article2&gt;</w:t>
            </w:r>
          </w:p>
          <w:p w14:paraId="1E88C45B" w14:textId="77777777" w:rsidR="00C37A6F" w:rsidRPr="00E76E73" w:rsidRDefault="00C37A6F" w:rsidP="0084620E">
            <w:pPr>
              <w:jc w:val="center"/>
              <w:rPr>
                <w:rStyle w:val="HideTWBExt"/>
                <w:rFonts w:ascii="Verdana" w:hAnsi="Verdana"/>
                <w:sz w:val="17"/>
                <w:szCs w:val="17"/>
              </w:rPr>
            </w:pPr>
          </w:p>
        </w:tc>
        <w:tc>
          <w:tcPr>
            <w:tcW w:w="6116" w:type="dxa"/>
            <w:shd w:val="clear" w:color="auto" w:fill="auto"/>
          </w:tcPr>
          <w:p w14:paraId="7FE19253" w14:textId="47A6786C" w:rsidR="00C37A6F" w:rsidRDefault="00C37A6F" w:rsidP="00C37A6F">
            <w:pPr>
              <w:jc w:val="left"/>
              <w:rPr>
                <w:bCs/>
                <w:szCs w:val="17"/>
              </w:rPr>
            </w:pPr>
            <w:r>
              <w:rPr>
                <w:bCs/>
                <w:szCs w:val="17"/>
              </w:rPr>
              <w:t>Home NSA to asse</w:t>
            </w:r>
            <w:r w:rsidR="00C15C37">
              <w:rPr>
                <w:bCs/>
                <w:szCs w:val="17"/>
              </w:rPr>
              <w:t>s</w:t>
            </w:r>
            <w:r>
              <w:rPr>
                <w:bCs/>
                <w:szCs w:val="17"/>
              </w:rPr>
              <w:t xml:space="preserve">s nature/scale/complexity of risks inherent in the business model of the insurer for the markets in which it </w:t>
            </w:r>
            <w:proofErr w:type="gramStart"/>
            <w:r>
              <w:rPr>
                <w:bCs/>
                <w:szCs w:val="17"/>
              </w:rPr>
              <w:t>want</w:t>
            </w:r>
            <w:proofErr w:type="gramEnd"/>
            <w:r>
              <w:rPr>
                <w:bCs/>
                <w:szCs w:val="17"/>
              </w:rPr>
              <w:t xml:space="preserve"> to operate. Home NSA can consult with host NSA and shall inform these and EIOPA of the outcome. If there is disagreement, EIOPA can mediate on request of any relevant NSA.</w:t>
            </w:r>
          </w:p>
        </w:tc>
        <w:tc>
          <w:tcPr>
            <w:tcW w:w="1909" w:type="dxa"/>
            <w:shd w:val="clear" w:color="auto" w:fill="auto"/>
            <w:vAlign w:val="center"/>
          </w:tcPr>
          <w:p w14:paraId="0BB76DFF" w14:textId="366B3717" w:rsidR="00C37A6F" w:rsidRPr="000D4029" w:rsidRDefault="00C37A6F" w:rsidP="0084620E">
            <w:pPr>
              <w:pStyle w:val="NormalBold"/>
              <w:jc w:val="center"/>
              <w:rPr>
                <w:rFonts w:ascii="Verdana" w:eastAsia="Times New Roman" w:hAnsi="Verdana" w:cs="Times New Roman"/>
                <w:b w:val="0"/>
                <w:sz w:val="17"/>
                <w:szCs w:val="17"/>
                <w:lang w:val="en-GB"/>
              </w:rPr>
            </w:pPr>
            <w:r w:rsidRPr="000D4029">
              <w:rPr>
                <w:rFonts w:ascii="Verdana" w:eastAsia="Times New Roman" w:hAnsi="Verdana" w:cs="Times New Roman"/>
                <w:b w:val="0"/>
                <w:sz w:val="17"/>
                <w:szCs w:val="17"/>
                <w:lang w:val="en-GB"/>
              </w:rPr>
              <w:t>MacManus</w:t>
            </w:r>
          </w:p>
        </w:tc>
        <w:tc>
          <w:tcPr>
            <w:tcW w:w="2543" w:type="dxa"/>
            <w:shd w:val="clear" w:color="auto" w:fill="auto"/>
            <w:vAlign w:val="center"/>
          </w:tcPr>
          <w:p w14:paraId="0F293C0F" w14:textId="77777777" w:rsidR="00C37A6F" w:rsidRDefault="00C37A6F" w:rsidP="00C37A6F">
            <w:pPr>
              <w:jc w:val="center"/>
              <w:rPr>
                <w:bCs/>
                <w:szCs w:val="17"/>
              </w:rPr>
            </w:pPr>
            <w:r>
              <w:rPr>
                <w:bCs/>
                <w:szCs w:val="17"/>
              </w:rPr>
              <w:t>Authorisation/cross border</w:t>
            </w:r>
          </w:p>
          <w:p w14:paraId="17037C39" w14:textId="77777777" w:rsidR="00C37A6F" w:rsidRDefault="00C37A6F" w:rsidP="00C37A6F">
            <w:pPr>
              <w:jc w:val="center"/>
              <w:rPr>
                <w:bCs/>
                <w:szCs w:val="17"/>
              </w:rPr>
            </w:pPr>
          </w:p>
        </w:tc>
        <w:tc>
          <w:tcPr>
            <w:tcW w:w="1293" w:type="dxa"/>
            <w:shd w:val="clear" w:color="auto" w:fill="auto"/>
            <w:vAlign w:val="center"/>
          </w:tcPr>
          <w:p w14:paraId="7BC14D1A" w14:textId="4DB1390A" w:rsidR="00C37A6F" w:rsidRPr="000D4029" w:rsidRDefault="002A109E" w:rsidP="00C37A6F">
            <w:pPr>
              <w:jc w:val="center"/>
              <w:rPr>
                <w:b/>
                <w:szCs w:val="17"/>
                <w:highlight w:val="yellow"/>
              </w:rPr>
            </w:pPr>
            <w:r w:rsidRPr="000D4029">
              <w:rPr>
                <w:b/>
                <w:color w:val="00B050"/>
                <w:szCs w:val="17"/>
              </w:rPr>
              <w:t>Positive</w:t>
            </w:r>
          </w:p>
        </w:tc>
      </w:tr>
      <w:tr w:rsidR="00C37A6F" w:rsidRPr="00D43554" w14:paraId="5E5C8367" w14:textId="77777777" w:rsidTr="00424768">
        <w:trPr>
          <w:trHeight w:val="499"/>
        </w:trPr>
        <w:tc>
          <w:tcPr>
            <w:tcW w:w="689" w:type="dxa"/>
            <w:shd w:val="clear" w:color="auto" w:fill="auto"/>
            <w:vAlign w:val="center"/>
          </w:tcPr>
          <w:p w14:paraId="3FE3D882" w14:textId="21E34AEE" w:rsidR="00C37A6F" w:rsidRDefault="00C37A6F" w:rsidP="00C37A6F">
            <w:pPr>
              <w:jc w:val="center"/>
              <w:rPr>
                <w:bCs/>
                <w:szCs w:val="17"/>
              </w:rPr>
            </w:pPr>
            <w:r>
              <w:rPr>
                <w:bCs/>
                <w:szCs w:val="17"/>
              </w:rPr>
              <w:t>351</w:t>
            </w:r>
          </w:p>
        </w:tc>
        <w:tc>
          <w:tcPr>
            <w:tcW w:w="1909" w:type="dxa"/>
            <w:shd w:val="clear" w:color="auto" w:fill="auto"/>
            <w:vAlign w:val="center"/>
          </w:tcPr>
          <w:p w14:paraId="028D2961" w14:textId="2C0977B3" w:rsidR="00C37A6F" w:rsidRPr="00E76E73" w:rsidRDefault="00C37A6F" w:rsidP="0084620E">
            <w:pPr>
              <w:jc w:val="center"/>
              <w:rPr>
                <w:szCs w:val="17"/>
              </w:rPr>
            </w:pPr>
            <w:r w:rsidRPr="00D43554">
              <w:rPr>
                <w:rStyle w:val="HideTWBExt"/>
                <w:rFonts w:ascii="Verdana" w:hAnsi="Verdana"/>
                <w:sz w:val="17"/>
                <w:szCs w:val="17"/>
                <w:specVanish w:val="0"/>
              </w:rPr>
              <w:t>&lt;Article2&gt;</w:t>
            </w:r>
            <w:r w:rsidRPr="00E76E73">
              <w:rPr>
                <w:szCs w:val="17"/>
              </w:rPr>
              <w:t>Article 27 a (new)</w:t>
            </w:r>
            <w:r w:rsidRPr="00D43554">
              <w:rPr>
                <w:rStyle w:val="HideTWBExt"/>
                <w:rFonts w:ascii="Verdana" w:hAnsi="Verdana"/>
                <w:sz w:val="17"/>
                <w:szCs w:val="17"/>
                <w:specVanish w:val="0"/>
              </w:rPr>
              <w:t>&lt;/Article2&gt;</w:t>
            </w:r>
          </w:p>
          <w:p w14:paraId="22F5DBC1" w14:textId="77777777" w:rsidR="00C37A6F" w:rsidRPr="00E76E73" w:rsidRDefault="00C37A6F" w:rsidP="0084620E">
            <w:pPr>
              <w:jc w:val="center"/>
              <w:rPr>
                <w:rStyle w:val="HideTWBExt"/>
                <w:rFonts w:ascii="Verdana" w:hAnsi="Verdana"/>
                <w:sz w:val="17"/>
                <w:szCs w:val="17"/>
              </w:rPr>
            </w:pPr>
          </w:p>
        </w:tc>
        <w:tc>
          <w:tcPr>
            <w:tcW w:w="6116" w:type="dxa"/>
            <w:shd w:val="clear" w:color="auto" w:fill="auto"/>
          </w:tcPr>
          <w:p w14:paraId="4CFC3D80" w14:textId="0E526A57" w:rsidR="00C37A6F" w:rsidRDefault="00C37A6F" w:rsidP="00C37A6F">
            <w:pPr>
              <w:jc w:val="left"/>
              <w:rPr>
                <w:bCs/>
                <w:szCs w:val="17"/>
              </w:rPr>
            </w:pPr>
            <w:r>
              <w:rPr>
                <w:bCs/>
                <w:szCs w:val="17"/>
              </w:rPr>
              <w:t>Regarding objectives of supervision, NSAs shall also consider the potential impact of their decisions on international competitiveness, stability of financial systems and take into account procyclical effect of their actions</w:t>
            </w:r>
          </w:p>
        </w:tc>
        <w:tc>
          <w:tcPr>
            <w:tcW w:w="1909" w:type="dxa"/>
            <w:shd w:val="clear" w:color="auto" w:fill="auto"/>
            <w:vAlign w:val="center"/>
          </w:tcPr>
          <w:p w14:paraId="03D02ECC" w14:textId="3C2DA6B1" w:rsidR="00C37A6F" w:rsidRPr="000D4029" w:rsidRDefault="00C37A6F" w:rsidP="0084620E">
            <w:pPr>
              <w:pStyle w:val="NormalBold"/>
              <w:jc w:val="center"/>
              <w:rPr>
                <w:rFonts w:ascii="Verdana" w:eastAsia="Times New Roman" w:hAnsi="Verdana" w:cs="Times New Roman"/>
                <w:b w:val="0"/>
                <w:sz w:val="17"/>
                <w:szCs w:val="17"/>
                <w:lang w:val="en-GB"/>
              </w:rPr>
            </w:pPr>
            <w:r w:rsidRPr="000D4029">
              <w:rPr>
                <w:rFonts w:ascii="Verdana" w:eastAsia="Times New Roman" w:hAnsi="Verdana" w:cs="Times New Roman"/>
                <w:b w:val="0"/>
                <w:sz w:val="17"/>
                <w:szCs w:val="17"/>
                <w:lang w:val="en-GB"/>
              </w:rPr>
              <w:t>Fitzgerald</w:t>
            </w:r>
          </w:p>
        </w:tc>
        <w:tc>
          <w:tcPr>
            <w:tcW w:w="2543" w:type="dxa"/>
            <w:shd w:val="clear" w:color="auto" w:fill="auto"/>
            <w:vAlign w:val="center"/>
          </w:tcPr>
          <w:p w14:paraId="649FECAC" w14:textId="6DF01A4D" w:rsidR="00C37A6F" w:rsidRDefault="00C37A6F" w:rsidP="00C37A6F">
            <w:pPr>
              <w:jc w:val="center"/>
              <w:rPr>
                <w:bCs/>
                <w:szCs w:val="17"/>
              </w:rPr>
            </w:pPr>
            <w:r>
              <w:rPr>
                <w:bCs/>
                <w:szCs w:val="17"/>
              </w:rPr>
              <w:t>Objectives of supervision</w:t>
            </w:r>
          </w:p>
        </w:tc>
        <w:tc>
          <w:tcPr>
            <w:tcW w:w="1293" w:type="dxa"/>
            <w:shd w:val="clear" w:color="auto" w:fill="auto"/>
            <w:vAlign w:val="center"/>
          </w:tcPr>
          <w:p w14:paraId="664774E6" w14:textId="22E624F4" w:rsidR="00C37A6F" w:rsidRPr="001542F8" w:rsidRDefault="002A109E" w:rsidP="00C37A6F">
            <w:pPr>
              <w:jc w:val="center"/>
              <w:rPr>
                <w:bCs/>
                <w:szCs w:val="17"/>
                <w:highlight w:val="yellow"/>
              </w:rPr>
            </w:pPr>
            <w:r w:rsidRPr="0091409F">
              <w:rPr>
                <w:b/>
                <w:color w:val="00B050"/>
                <w:szCs w:val="17"/>
              </w:rPr>
              <w:t>Positive</w:t>
            </w:r>
          </w:p>
        </w:tc>
      </w:tr>
      <w:tr w:rsidR="00C37A6F" w:rsidRPr="00D43554" w14:paraId="6A787185" w14:textId="77777777" w:rsidTr="00424768">
        <w:trPr>
          <w:trHeight w:val="499"/>
        </w:trPr>
        <w:tc>
          <w:tcPr>
            <w:tcW w:w="689" w:type="dxa"/>
            <w:shd w:val="clear" w:color="auto" w:fill="auto"/>
            <w:vAlign w:val="center"/>
          </w:tcPr>
          <w:p w14:paraId="3FCBDCF0" w14:textId="4C0A64E3" w:rsidR="00C37A6F" w:rsidRDefault="00C37A6F" w:rsidP="00C37A6F">
            <w:pPr>
              <w:jc w:val="center"/>
              <w:rPr>
                <w:bCs/>
                <w:szCs w:val="17"/>
              </w:rPr>
            </w:pPr>
            <w:r>
              <w:rPr>
                <w:bCs/>
                <w:szCs w:val="17"/>
              </w:rPr>
              <w:t>352</w:t>
            </w:r>
          </w:p>
        </w:tc>
        <w:tc>
          <w:tcPr>
            <w:tcW w:w="1909" w:type="dxa"/>
            <w:shd w:val="clear" w:color="auto" w:fill="auto"/>
            <w:vAlign w:val="center"/>
          </w:tcPr>
          <w:p w14:paraId="0AE7AC19" w14:textId="74105792" w:rsidR="00C37A6F" w:rsidRPr="00E76E73" w:rsidRDefault="00C37A6F" w:rsidP="0084620E">
            <w:pPr>
              <w:jc w:val="center"/>
              <w:rPr>
                <w:rStyle w:val="HideTWBExt"/>
                <w:rFonts w:ascii="Verdana" w:hAnsi="Verdana"/>
                <w:sz w:val="17"/>
                <w:szCs w:val="17"/>
              </w:rPr>
            </w:pPr>
            <w:r w:rsidRPr="00E76E73">
              <w:rPr>
                <w:szCs w:val="17"/>
              </w:rPr>
              <w:t>Article 29 – paragraph 6</w:t>
            </w:r>
          </w:p>
        </w:tc>
        <w:tc>
          <w:tcPr>
            <w:tcW w:w="6116" w:type="dxa"/>
            <w:shd w:val="clear" w:color="auto" w:fill="auto"/>
          </w:tcPr>
          <w:p w14:paraId="74C1E471" w14:textId="5866A305" w:rsidR="00C37A6F" w:rsidRDefault="00C37A6F" w:rsidP="00C37A6F">
            <w:pPr>
              <w:jc w:val="left"/>
              <w:rPr>
                <w:bCs/>
                <w:szCs w:val="17"/>
              </w:rPr>
            </w:pPr>
            <w:r>
              <w:rPr>
                <w:bCs/>
                <w:szCs w:val="17"/>
              </w:rPr>
              <w:t>Added that EIOPA proportionality guidelines (to be developed) are to be updated every two years.</w:t>
            </w:r>
          </w:p>
        </w:tc>
        <w:tc>
          <w:tcPr>
            <w:tcW w:w="1909" w:type="dxa"/>
            <w:shd w:val="clear" w:color="auto" w:fill="auto"/>
            <w:vAlign w:val="center"/>
          </w:tcPr>
          <w:p w14:paraId="49F0B3E5" w14:textId="77777777" w:rsidR="00C37A6F" w:rsidRPr="000D4029" w:rsidRDefault="00C37A6F" w:rsidP="0084620E">
            <w:pPr>
              <w:pStyle w:val="NormalBold"/>
              <w:jc w:val="center"/>
              <w:rPr>
                <w:rFonts w:ascii="Verdana" w:eastAsia="Times New Roman" w:hAnsi="Verdana" w:cs="Times New Roman"/>
                <w:b w:val="0"/>
                <w:sz w:val="17"/>
                <w:szCs w:val="17"/>
                <w:lang w:val="en-GB"/>
              </w:rPr>
            </w:pPr>
            <w:r w:rsidRPr="00D43554">
              <w:rPr>
                <w:rStyle w:val="HideTWBExt"/>
                <w:rFonts w:ascii="Verdana" w:hAnsi="Verdana"/>
                <w:b w:val="0"/>
                <w:sz w:val="17"/>
                <w:szCs w:val="17"/>
                <w:lang w:val="en-GB"/>
                <w:specVanish w:val="0"/>
              </w:rPr>
              <w:t>&lt;RepeatBlock-By&gt;&lt;Members&gt;</w:t>
            </w:r>
            <w:proofErr w:type="spellStart"/>
            <w:r w:rsidRPr="000D4029">
              <w:rPr>
                <w:rFonts w:ascii="Verdana" w:eastAsia="Times New Roman" w:hAnsi="Verdana" w:cs="Times New Roman"/>
                <w:b w:val="0"/>
                <w:sz w:val="17"/>
                <w:szCs w:val="17"/>
                <w:lang w:val="en-GB"/>
              </w:rPr>
              <w:t>Heinäluoma</w:t>
            </w:r>
            <w:proofErr w:type="spellEnd"/>
            <w:r w:rsidRPr="000D4029">
              <w:rPr>
                <w:rFonts w:ascii="Verdana" w:eastAsia="Times New Roman" w:hAnsi="Verdana" w:cs="Times New Roman"/>
                <w:b w:val="0"/>
                <w:sz w:val="17"/>
                <w:szCs w:val="17"/>
                <w:lang w:val="en-GB"/>
              </w:rPr>
              <w:t xml:space="preserve">, </w:t>
            </w:r>
            <w:proofErr w:type="spellStart"/>
            <w:r w:rsidRPr="000D4029">
              <w:rPr>
                <w:rFonts w:ascii="Verdana" w:eastAsia="Times New Roman" w:hAnsi="Verdana" w:cs="Times New Roman"/>
                <w:b w:val="0"/>
                <w:sz w:val="17"/>
                <w:szCs w:val="17"/>
                <w:lang w:val="en-GB"/>
              </w:rPr>
              <w:t>Lalucq</w:t>
            </w:r>
            <w:proofErr w:type="spellEnd"/>
            <w:r w:rsidRPr="00D43554">
              <w:rPr>
                <w:rStyle w:val="HideTWBExt"/>
                <w:rFonts w:ascii="Verdana" w:hAnsi="Verdana"/>
                <w:b w:val="0"/>
                <w:sz w:val="17"/>
                <w:szCs w:val="17"/>
                <w:lang w:val="en-GB"/>
                <w:specVanish w:val="0"/>
              </w:rPr>
              <w:t>&lt;/Members&gt;</w:t>
            </w:r>
          </w:p>
          <w:p w14:paraId="4D65A714" w14:textId="77777777" w:rsidR="00C37A6F" w:rsidRPr="000D4029" w:rsidRDefault="00C37A6F" w:rsidP="0084620E">
            <w:pPr>
              <w:pStyle w:val="NormalBold"/>
              <w:jc w:val="center"/>
              <w:rPr>
                <w:rFonts w:ascii="Verdana" w:eastAsia="Times New Roman" w:hAnsi="Verdana" w:cs="Times New Roman"/>
                <w:b w:val="0"/>
                <w:sz w:val="17"/>
                <w:szCs w:val="17"/>
                <w:lang w:val="en-GB"/>
              </w:rPr>
            </w:pPr>
          </w:p>
        </w:tc>
        <w:tc>
          <w:tcPr>
            <w:tcW w:w="2543" w:type="dxa"/>
            <w:shd w:val="clear" w:color="auto" w:fill="auto"/>
            <w:vAlign w:val="center"/>
          </w:tcPr>
          <w:p w14:paraId="4FC796FC" w14:textId="7488E435" w:rsidR="00C37A6F" w:rsidRDefault="00C37A6F" w:rsidP="00C37A6F">
            <w:pPr>
              <w:jc w:val="center"/>
              <w:rPr>
                <w:bCs/>
                <w:szCs w:val="17"/>
              </w:rPr>
            </w:pPr>
            <w:r>
              <w:rPr>
                <w:bCs/>
                <w:szCs w:val="17"/>
              </w:rPr>
              <w:t>EIOPA</w:t>
            </w:r>
          </w:p>
        </w:tc>
        <w:tc>
          <w:tcPr>
            <w:tcW w:w="1293" w:type="dxa"/>
            <w:shd w:val="clear" w:color="auto" w:fill="auto"/>
            <w:vAlign w:val="center"/>
          </w:tcPr>
          <w:p w14:paraId="36F830E4" w14:textId="7B6E8EE9" w:rsidR="00C37A6F" w:rsidRPr="001542F8" w:rsidRDefault="00C37A6F" w:rsidP="00C37A6F">
            <w:pPr>
              <w:jc w:val="center"/>
              <w:rPr>
                <w:bCs/>
                <w:szCs w:val="17"/>
                <w:highlight w:val="yellow"/>
              </w:rPr>
            </w:pPr>
            <w:r w:rsidRPr="00CF149B">
              <w:rPr>
                <w:b/>
                <w:color w:val="808080" w:themeColor="background1" w:themeShade="80"/>
                <w:szCs w:val="17"/>
              </w:rPr>
              <w:t>Neutral</w:t>
            </w:r>
          </w:p>
        </w:tc>
      </w:tr>
      <w:tr w:rsidR="00C37A6F" w:rsidRPr="00D43554" w14:paraId="76629472" w14:textId="77777777" w:rsidTr="00424768">
        <w:trPr>
          <w:trHeight w:val="499"/>
        </w:trPr>
        <w:tc>
          <w:tcPr>
            <w:tcW w:w="689" w:type="dxa"/>
            <w:shd w:val="clear" w:color="auto" w:fill="auto"/>
            <w:vAlign w:val="center"/>
          </w:tcPr>
          <w:p w14:paraId="0BC2B9A5" w14:textId="20374EA4" w:rsidR="00C37A6F" w:rsidRDefault="00C37A6F" w:rsidP="00C37A6F">
            <w:pPr>
              <w:jc w:val="center"/>
              <w:rPr>
                <w:bCs/>
                <w:szCs w:val="17"/>
              </w:rPr>
            </w:pPr>
            <w:r>
              <w:rPr>
                <w:bCs/>
                <w:szCs w:val="17"/>
              </w:rPr>
              <w:t>353</w:t>
            </w:r>
          </w:p>
        </w:tc>
        <w:tc>
          <w:tcPr>
            <w:tcW w:w="1909" w:type="dxa"/>
            <w:shd w:val="clear" w:color="auto" w:fill="auto"/>
            <w:vAlign w:val="center"/>
          </w:tcPr>
          <w:p w14:paraId="0914C485" w14:textId="77777777" w:rsidR="00C37A6F" w:rsidRPr="00E76E73" w:rsidRDefault="00C37A6F" w:rsidP="0084620E">
            <w:pPr>
              <w:jc w:val="center"/>
              <w:rPr>
                <w:szCs w:val="17"/>
              </w:rPr>
            </w:pPr>
            <w:r w:rsidRPr="00D43554">
              <w:rPr>
                <w:rStyle w:val="HideTWBExt"/>
                <w:rFonts w:ascii="Verdana" w:hAnsi="Verdana"/>
                <w:sz w:val="17"/>
                <w:szCs w:val="17"/>
                <w:specVanish w:val="0"/>
              </w:rPr>
              <w:t>&lt;Article2&gt;</w:t>
            </w:r>
            <w:r w:rsidRPr="00E76E73">
              <w:rPr>
                <w:szCs w:val="17"/>
              </w:rPr>
              <w:t>Article 29a</w:t>
            </w:r>
            <w:r w:rsidRPr="00D43554">
              <w:rPr>
                <w:rStyle w:val="HideTWBExt"/>
                <w:rFonts w:ascii="Verdana" w:hAnsi="Verdana"/>
                <w:sz w:val="17"/>
                <w:szCs w:val="17"/>
                <w:specVanish w:val="0"/>
              </w:rPr>
              <w:t>&lt;/Article2&gt;</w:t>
            </w:r>
          </w:p>
          <w:p w14:paraId="4858A6EA" w14:textId="77777777" w:rsidR="00C37A6F" w:rsidRPr="00E76E73" w:rsidRDefault="00C37A6F" w:rsidP="0084620E">
            <w:pPr>
              <w:jc w:val="center"/>
              <w:rPr>
                <w:szCs w:val="17"/>
              </w:rPr>
            </w:pPr>
          </w:p>
        </w:tc>
        <w:tc>
          <w:tcPr>
            <w:tcW w:w="6116" w:type="dxa"/>
            <w:shd w:val="clear" w:color="auto" w:fill="auto"/>
          </w:tcPr>
          <w:p w14:paraId="37ABF8D6" w14:textId="42A7CCF3" w:rsidR="00C37A6F" w:rsidRDefault="00C37A6F" w:rsidP="00C37A6F">
            <w:pPr>
              <w:jc w:val="left"/>
              <w:rPr>
                <w:bCs/>
                <w:szCs w:val="17"/>
              </w:rPr>
            </w:pPr>
            <w:r>
              <w:rPr>
                <w:bCs/>
                <w:szCs w:val="17"/>
              </w:rPr>
              <w:t xml:space="preserve">Seven proportionality criteria have to be met (in the </w:t>
            </w:r>
            <w:r w:rsidRPr="005651A0">
              <w:rPr>
                <w:bCs/>
                <w:i/>
                <w:iCs/>
                <w:szCs w:val="17"/>
              </w:rPr>
              <w:t>last</w:t>
            </w:r>
            <w:r>
              <w:rPr>
                <w:bCs/>
                <w:szCs w:val="17"/>
              </w:rPr>
              <w:t xml:space="preserve"> two financial years).</w:t>
            </w:r>
          </w:p>
          <w:p w14:paraId="36E80B47" w14:textId="329E175E" w:rsidR="00C37A6F" w:rsidRPr="000F08AC" w:rsidRDefault="00C37A6F" w:rsidP="00C37A6F">
            <w:pPr>
              <w:pStyle w:val="Odsekzoznamu"/>
              <w:numPr>
                <w:ilvl w:val="0"/>
                <w:numId w:val="4"/>
              </w:numPr>
              <w:jc w:val="left"/>
              <w:rPr>
                <w:bCs/>
                <w:szCs w:val="17"/>
              </w:rPr>
            </w:pPr>
            <w:r w:rsidRPr="000F08AC">
              <w:rPr>
                <w:bCs/>
                <w:szCs w:val="17"/>
              </w:rPr>
              <w:t>IRR SCR &lt; 5% for life/non-life business</w:t>
            </w:r>
          </w:p>
          <w:p w14:paraId="46E76C89" w14:textId="3A6E5E52" w:rsidR="00C37A6F" w:rsidRPr="000F08AC" w:rsidRDefault="00C37A6F" w:rsidP="00C37A6F">
            <w:pPr>
              <w:pStyle w:val="Odsekzoznamu"/>
              <w:numPr>
                <w:ilvl w:val="0"/>
                <w:numId w:val="4"/>
              </w:numPr>
              <w:jc w:val="left"/>
              <w:rPr>
                <w:bCs/>
                <w:szCs w:val="17"/>
              </w:rPr>
            </w:pPr>
            <w:r w:rsidRPr="000F08AC">
              <w:rPr>
                <w:bCs/>
                <w:szCs w:val="17"/>
              </w:rPr>
              <w:t xml:space="preserve">Life insurer with investment return &gt; average guaranteed rate and </w:t>
            </w:r>
            <w:proofErr w:type="gramStart"/>
            <w:r w:rsidRPr="000F08AC">
              <w:rPr>
                <w:bCs/>
                <w:szCs w:val="17"/>
              </w:rPr>
              <w:t>Non-life</w:t>
            </w:r>
            <w:proofErr w:type="gramEnd"/>
            <w:r w:rsidRPr="000F08AC">
              <w:rPr>
                <w:bCs/>
                <w:szCs w:val="17"/>
              </w:rPr>
              <w:t xml:space="preserve"> insurer with combined ratio &lt; 100%, composites to fulfil both criteria, unless business is immaterial.</w:t>
            </w:r>
          </w:p>
          <w:p w14:paraId="386F815B" w14:textId="09CB3137" w:rsidR="00C37A6F" w:rsidRDefault="00C37A6F" w:rsidP="00C37A6F">
            <w:pPr>
              <w:pStyle w:val="Odsekzoznamu"/>
              <w:numPr>
                <w:ilvl w:val="0"/>
                <w:numId w:val="4"/>
              </w:numPr>
              <w:jc w:val="left"/>
              <w:rPr>
                <w:bCs/>
                <w:szCs w:val="17"/>
              </w:rPr>
            </w:pPr>
            <w:r w:rsidRPr="000F08AC">
              <w:rPr>
                <w:bCs/>
                <w:szCs w:val="17"/>
              </w:rPr>
              <w:t>Cross border GWP &lt; 5% of total annual GWP</w:t>
            </w:r>
          </w:p>
          <w:p w14:paraId="06D8FE89" w14:textId="54165951" w:rsidR="00C37A6F" w:rsidRDefault="00C37A6F" w:rsidP="00C37A6F">
            <w:pPr>
              <w:pStyle w:val="Odsekzoznamu"/>
              <w:numPr>
                <w:ilvl w:val="0"/>
                <w:numId w:val="4"/>
              </w:numPr>
              <w:jc w:val="left"/>
              <w:rPr>
                <w:bCs/>
                <w:szCs w:val="17"/>
              </w:rPr>
            </w:pPr>
            <w:r>
              <w:rPr>
                <w:bCs/>
                <w:szCs w:val="17"/>
              </w:rPr>
              <w:t xml:space="preserve">Life TP &lt; 1bn; </w:t>
            </w:r>
            <w:proofErr w:type="spellStart"/>
            <w:r>
              <w:rPr>
                <w:bCs/>
                <w:szCs w:val="17"/>
              </w:rPr>
              <w:t>Non life</w:t>
            </w:r>
            <w:proofErr w:type="spellEnd"/>
            <w:r>
              <w:rPr>
                <w:bCs/>
                <w:szCs w:val="17"/>
              </w:rPr>
              <w:t xml:space="preserve"> GWP &lt; 100Mio; composites both</w:t>
            </w:r>
          </w:p>
          <w:p w14:paraId="14FF8C1F" w14:textId="372533AD" w:rsidR="00C37A6F" w:rsidRDefault="00C37A6F" w:rsidP="00C37A6F">
            <w:pPr>
              <w:pStyle w:val="Odsekzoznamu"/>
              <w:numPr>
                <w:ilvl w:val="0"/>
                <w:numId w:val="4"/>
              </w:numPr>
              <w:jc w:val="left"/>
              <w:rPr>
                <w:bCs/>
                <w:szCs w:val="17"/>
              </w:rPr>
            </w:pPr>
            <w:r>
              <w:rPr>
                <w:bCs/>
                <w:szCs w:val="17"/>
              </w:rPr>
              <w:t xml:space="preserve">Non-life and composite underwriting GWP in marine/aviation/transport or credit and suretyship </w:t>
            </w:r>
            <w:proofErr w:type="spellStart"/>
            <w:r>
              <w:rPr>
                <w:bCs/>
                <w:szCs w:val="17"/>
              </w:rPr>
              <w:t>LoBs</w:t>
            </w:r>
            <w:proofErr w:type="spellEnd"/>
            <w:r>
              <w:rPr>
                <w:bCs/>
                <w:szCs w:val="17"/>
              </w:rPr>
              <w:t xml:space="preserve"> &lt; 30% of annual GWP</w:t>
            </w:r>
          </w:p>
          <w:p w14:paraId="071CB3DA" w14:textId="5AFE4E20" w:rsidR="00C37A6F" w:rsidRDefault="00C37A6F" w:rsidP="00C37A6F">
            <w:pPr>
              <w:pStyle w:val="Odsekzoznamu"/>
              <w:numPr>
                <w:ilvl w:val="0"/>
                <w:numId w:val="4"/>
              </w:numPr>
              <w:jc w:val="left"/>
              <w:rPr>
                <w:bCs/>
                <w:szCs w:val="17"/>
              </w:rPr>
            </w:pPr>
            <w:proofErr w:type="gramStart"/>
            <w:r>
              <w:rPr>
                <w:bCs/>
                <w:szCs w:val="17"/>
              </w:rPr>
              <w:t>Non Trad</w:t>
            </w:r>
            <w:proofErr w:type="gramEnd"/>
            <w:r>
              <w:rPr>
                <w:bCs/>
                <w:szCs w:val="17"/>
              </w:rPr>
              <w:t xml:space="preserve"> investments &lt; 20% of total investments (</w:t>
            </w:r>
            <w:r w:rsidRPr="005E1436">
              <w:rPr>
                <w:bCs/>
                <w:szCs w:val="17"/>
              </w:rPr>
              <w:t xml:space="preserve">traditional investments </w:t>
            </w:r>
            <w:r>
              <w:rPr>
                <w:bCs/>
                <w:szCs w:val="17"/>
              </w:rPr>
              <w:t>=</w:t>
            </w:r>
            <w:r w:rsidRPr="005E1436">
              <w:rPr>
                <w:bCs/>
                <w:szCs w:val="17"/>
              </w:rPr>
              <w:t xml:space="preserve"> bonds, equities, cash and cash equivalents and deposits and total investments </w:t>
            </w:r>
            <w:r>
              <w:rPr>
                <w:bCs/>
                <w:szCs w:val="17"/>
              </w:rPr>
              <w:t>=</w:t>
            </w:r>
            <w:r w:rsidRPr="005E1436">
              <w:rPr>
                <w:bCs/>
                <w:szCs w:val="17"/>
              </w:rPr>
              <w:t xml:space="preserve"> considered all </w:t>
            </w:r>
            <w:r>
              <w:rPr>
                <w:bCs/>
                <w:szCs w:val="17"/>
              </w:rPr>
              <w:t>i</w:t>
            </w:r>
            <w:r w:rsidRPr="005E1436">
              <w:rPr>
                <w:bCs/>
                <w:szCs w:val="17"/>
              </w:rPr>
              <w:t xml:space="preserve">nvestments </w:t>
            </w:r>
            <w:proofErr w:type="spellStart"/>
            <w:r>
              <w:rPr>
                <w:bCs/>
                <w:szCs w:val="17"/>
              </w:rPr>
              <w:t>excl</w:t>
            </w:r>
            <w:proofErr w:type="spellEnd"/>
            <w:r>
              <w:rPr>
                <w:bCs/>
                <w:szCs w:val="17"/>
              </w:rPr>
              <w:t xml:space="preserve"> </w:t>
            </w:r>
            <w:proofErr w:type="spellStart"/>
            <w:r>
              <w:rPr>
                <w:bCs/>
                <w:szCs w:val="17"/>
              </w:rPr>
              <w:t>investm</w:t>
            </w:r>
            <w:proofErr w:type="spellEnd"/>
            <w:r w:rsidRPr="005E1436">
              <w:rPr>
                <w:bCs/>
                <w:szCs w:val="17"/>
              </w:rPr>
              <w:t xml:space="preserve"> covering unit-index </w:t>
            </w:r>
            <w:r w:rsidRPr="005E1436">
              <w:rPr>
                <w:bCs/>
                <w:szCs w:val="17"/>
              </w:rPr>
              <w:lastRenderedPageBreak/>
              <w:t xml:space="preserve">linked contracts, Property (for own use), </w:t>
            </w:r>
            <w:r>
              <w:rPr>
                <w:bCs/>
                <w:szCs w:val="17"/>
              </w:rPr>
              <w:t>p</w:t>
            </w:r>
            <w:r w:rsidRPr="005E1436">
              <w:rPr>
                <w:bCs/>
                <w:szCs w:val="17"/>
              </w:rPr>
              <w:t>lant and equipment (for own use)</w:t>
            </w:r>
            <w:r>
              <w:rPr>
                <w:bCs/>
                <w:szCs w:val="17"/>
              </w:rPr>
              <w:t>,</w:t>
            </w:r>
            <w:r w:rsidRPr="005E1436">
              <w:rPr>
                <w:bCs/>
                <w:szCs w:val="17"/>
              </w:rPr>
              <w:t xml:space="preserve"> Property (under construction for own use) and including derivatives;</w:t>
            </w:r>
          </w:p>
          <w:p w14:paraId="594570C4" w14:textId="60347051" w:rsidR="00C37A6F" w:rsidRPr="00C73462" w:rsidRDefault="00C37A6F" w:rsidP="00C37A6F">
            <w:pPr>
              <w:pStyle w:val="Odsekzoznamu"/>
              <w:numPr>
                <w:ilvl w:val="0"/>
                <w:numId w:val="4"/>
              </w:numPr>
              <w:jc w:val="left"/>
              <w:rPr>
                <w:bCs/>
                <w:szCs w:val="17"/>
              </w:rPr>
            </w:pPr>
            <w:r w:rsidRPr="00C73462">
              <w:rPr>
                <w:bCs/>
                <w:szCs w:val="17"/>
              </w:rPr>
              <w:t>Accepted reinsurance &lt;= 50% measured by GWP</w:t>
            </w:r>
          </w:p>
          <w:p w14:paraId="0C082CC9" w14:textId="6DB80011" w:rsidR="00C37A6F" w:rsidRDefault="00C37A6F" w:rsidP="00C37A6F">
            <w:pPr>
              <w:jc w:val="left"/>
              <w:rPr>
                <w:bCs/>
                <w:szCs w:val="17"/>
              </w:rPr>
            </w:pPr>
          </w:p>
        </w:tc>
        <w:tc>
          <w:tcPr>
            <w:tcW w:w="1909" w:type="dxa"/>
            <w:shd w:val="clear" w:color="auto" w:fill="auto"/>
            <w:vAlign w:val="center"/>
          </w:tcPr>
          <w:p w14:paraId="754FBD29" w14:textId="77777777" w:rsidR="00C37A6F" w:rsidRPr="000D4029" w:rsidRDefault="00C37A6F" w:rsidP="0084620E">
            <w:pPr>
              <w:pStyle w:val="NormalBold"/>
              <w:jc w:val="center"/>
              <w:rPr>
                <w:rFonts w:ascii="Verdana" w:eastAsia="Times New Roman" w:hAnsi="Verdana" w:cs="Times New Roman"/>
                <w:b w:val="0"/>
                <w:sz w:val="17"/>
                <w:szCs w:val="17"/>
                <w:lang w:val="en-GB"/>
              </w:rPr>
            </w:pPr>
            <w:r w:rsidRPr="00D43554">
              <w:rPr>
                <w:rStyle w:val="HideTWBExt"/>
                <w:rFonts w:ascii="Verdana" w:hAnsi="Verdana"/>
                <w:b w:val="0"/>
                <w:sz w:val="17"/>
                <w:szCs w:val="17"/>
                <w:lang w:val="en-GB"/>
                <w:specVanish w:val="0"/>
              </w:rPr>
              <w:lastRenderedPageBreak/>
              <w:t>&lt;RepeatBlock-By&gt;&lt;Members&gt;</w:t>
            </w:r>
            <w:proofErr w:type="spellStart"/>
            <w:r w:rsidRPr="000D4029">
              <w:rPr>
                <w:rFonts w:ascii="Verdana" w:eastAsia="Times New Roman" w:hAnsi="Verdana" w:cs="Times New Roman"/>
                <w:b w:val="0"/>
                <w:sz w:val="17"/>
                <w:szCs w:val="17"/>
                <w:lang w:val="en-GB"/>
              </w:rPr>
              <w:t>Heinäluoma</w:t>
            </w:r>
            <w:proofErr w:type="spellEnd"/>
            <w:r w:rsidRPr="000D4029">
              <w:rPr>
                <w:rFonts w:ascii="Verdana" w:eastAsia="Times New Roman" w:hAnsi="Verdana" w:cs="Times New Roman"/>
                <w:b w:val="0"/>
                <w:sz w:val="17"/>
                <w:szCs w:val="17"/>
                <w:lang w:val="en-GB"/>
              </w:rPr>
              <w:t xml:space="preserve">, </w:t>
            </w:r>
            <w:proofErr w:type="spellStart"/>
            <w:r w:rsidRPr="000D4029">
              <w:rPr>
                <w:rFonts w:ascii="Verdana" w:eastAsia="Times New Roman" w:hAnsi="Verdana" w:cs="Times New Roman"/>
                <w:b w:val="0"/>
                <w:sz w:val="17"/>
                <w:szCs w:val="17"/>
                <w:lang w:val="en-GB"/>
              </w:rPr>
              <w:t>Lalucq</w:t>
            </w:r>
            <w:proofErr w:type="spellEnd"/>
            <w:r w:rsidRPr="00D43554">
              <w:rPr>
                <w:rStyle w:val="HideTWBExt"/>
                <w:rFonts w:ascii="Verdana" w:hAnsi="Verdana"/>
                <w:b w:val="0"/>
                <w:sz w:val="17"/>
                <w:szCs w:val="17"/>
                <w:lang w:val="en-GB"/>
                <w:specVanish w:val="0"/>
              </w:rPr>
              <w:t>&lt;/Members&gt;</w:t>
            </w:r>
          </w:p>
          <w:p w14:paraId="30AAE354" w14:textId="77777777" w:rsidR="00C37A6F" w:rsidRPr="00E76E73" w:rsidRDefault="00C37A6F" w:rsidP="0084620E">
            <w:pPr>
              <w:pStyle w:val="NormalBold"/>
              <w:jc w:val="center"/>
              <w:rPr>
                <w:rStyle w:val="HideTWBExt"/>
                <w:rFonts w:ascii="Verdana" w:hAnsi="Verdana"/>
                <w:b w:val="0"/>
                <w:sz w:val="17"/>
                <w:szCs w:val="17"/>
                <w:lang w:val="en-GB"/>
              </w:rPr>
            </w:pPr>
          </w:p>
        </w:tc>
        <w:tc>
          <w:tcPr>
            <w:tcW w:w="2543" w:type="dxa"/>
            <w:shd w:val="clear" w:color="auto" w:fill="auto"/>
            <w:vAlign w:val="center"/>
          </w:tcPr>
          <w:p w14:paraId="26DFCBDC" w14:textId="7EF130A4" w:rsidR="00C37A6F" w:rsidRDefault="00C37A6F" w:rsidP="00C37A6F">
            <w:pPr>
              <w:jc w:val="center"/>
              <w:rPr>
                <w:bCs/>
                <w:szCs w:val="17"/>
              </w:rPr>
            </w:pPr>
            <w:r>
              <w:rPr>
                <w:bCs/>
                <w:szCs w:val="17"/>
              </w:rPr>
              <w:t>Proportionality criteria</w:t>
            </w:r>
          </w:p>
        </w:tc>
        <w:tc>
          <w:tcPr>
            <w:tcW w:w="1293" w:type="dxa"/>
            <w:shd w:val="clear" w:color="auto" w:fill="auto"/>
            <w:vAlign w:val="center"/>
          </w:tcPr>
          <w:p w14:paraId="729C6F31" w14:textId="0CFA03F7" w:rsidR="00C37A6F" w:rsidRDefault="00C37A6F" w:rsidP="00C37A6F">
            <w:pPr>
              <w:jc w:val="center"/>
              <w:rPr>
                <w:bCs/>
                <w:szCs w:val="17"/>
                <w:highlight w:val="yellow"/>
              </w:rPr>
            </w:pPr>
            <w:r w:rsidRPr="000D4029">
              <w:rPr>
                <w:bCs/>
                <w:color w:val="FF0000"/>
                <w:szCs w:val="17"/>
              </w:rPr>
              <w:t>Negative</w:t>
            </w:r>
          </w:p>
        </w:tc>
      </w:tr>
      <w:tr w:rsidR="00C37A6F" w:rsidRPr="00D43554" w14:paraId="0555507A" w14:textId="77777777" w:rsidTr="00424768">
        <w:trPr>
          <w:trHeight w:val="499"/>
        </w:trPr>
        <w:tc>
          <w:tcPr>
            <w:tcW w:w="689" w:type="dxa"/>
            <w:shd w:val="clear" w:color="auto" w:fill="auto"/>
            <w:vAlign w:val="center"/>
          </w:tcPr>
          <w:p w14:paraId="37EF0F09" w14:textId="79D19F2F" w:rsidR="00C37A6F" w:rsidRDefault="00C37A6F" w:rsidP="00C37A6F">
            <w:pPr>
              <w:jc w:val="center"/>
              <w:rPr>
                <w:bCs/>
                <w:szCs w:val="17"/>
              </w:rPr>
            </w:pPr>
            <w:r>
              <w:rPr>
                <w:bCs/>
                <w:szCs w:val="17"/>
              </w:rPr>
              <w:t>354</w:t>
            </w:r>
          </w:p>
        </w:tc>
        <w:tc>
          <w:tcPr>
            <w:tcW w:w="1909" w:type="dxa"/>
            <w:shd w:val="clear" w:color="auto" w:fill="auto"/>
            <w:vAlign w:val="center"/>
          </w:tcPr>
          <w:p w14:paraId="6920940C" w14:textId="6AD3779D" w:rsidR="00C37A6F" w:rsidRPr="00E76E73" w:rsidRDefault="00C37A6F" w:rsidP="0084620E">
            <w:pPr>
              <w:jc w:val="center"/>
              <w:rPr>
                <w:vanish/>
                <w:szCs w:val="17"/>
              </w:rPr>
            </w:pPr>
            <w:r w:rsidRPr="00E76E73">
              <w:rPr>
                <w:szCs w:val="17"/>
              </w:rPr>
              <w:t>Article 29a – paragraph 1 – subparagraph 1 – introductory part</w:t>
            </w:r>
          </w:p>
        </w:tc>
        <w:tc>
          <w:tcPr>
            <w:tcW w:w="6116" w:type="dxa"/>
            <w:shd w:val="clear" w:color="auto" w:fill="auto"/>
          </w:tcPr>
          <w:p w14:paraId="21DC9103" w14:textId="750517D0" w:rsidR="00C37A6F" w:rsidRPr="00E76E73" w:rsidRDefault="00C37A6F" w:rsidP="00C37A6F">
            <w:pPr>
              <w:jc w:val="left"/>
              <w:rPr>
                <w:szCs w:val="17"/>
              </w:rPr>
            </w:pPr>
            <w:r w:rsidRPr="00E76E73">
              <w:rPr>
                <w:szCs w:val="17"/>
                <w:u w:val="single"/>
              </w:rPr>
              <w:t xml:space="preserve">All </w:t>
            </w:r>
            <w:r w:rsidRPr="00E76E73">
              <w:rPr>
                <w:szCs w:val="17"/>
              </w:rPr>
              <w:t>the proportionality criteria have to be met</w:t>
            </w:r>
          </w:p>
        </w:tc>
        <w:tc>
          <w:tcPr>
            <w:tcW w:w="1909" w:type="dxa"/>
            <w:shd w:val="clear" w:color="auto" w:fill="auto"/>
            <w:vAlign w:val="center"/>
          </w:tcPr>
          <w:p w14:paraId="25B3F536" w14:textId="6E808526" w:rsidR="00C37A6F" w:rsidRPr="00E76E73" w:rsidRDefault="00C37A6F" w:rsidP="0084620E">
            <w:pPr>
              <w:pStyle w:val="NormalBold"/>
              <w:jc w:val="center"/>
              <w:rPr>
                <w:rFonts w:ascii="Verdana" w:eastAsia="Times New Roman" w:hAnsi="Verdana" w:cs="Times New Roman"/>
                <w:b w:val="0"/>
                <w:vanish/>
                <w:sz w:val="17"/>
                <w:szCs w:val="17"/>
                <w:lang w:val="en-GB"/>
              </w:rPr>
            </w:pPr>
            <w:r w:rsidRPr="00E76E73">
              <w:rPr>
                <w:rFonts w:ascii="Verdana" w:eastAsia="Times New Roman" w:hAnsi="Verdana" w:cs="Times New Roman"/>
                <w:b w:val="0"/>
                <w:sz w:val="17"/>
                <w:szCs w:val="17"/>
                <w:lang w:val="en-GB"/>
              </w:rPr>
              <w:t>Hahn</w:t>
            </w:r>
          </w:p>
        </w:tc>
        <w:tc>
          <w:tcPr>
            <w:tcW w:w="2543" w:type="dxa"/>
            <w:shd w:val="clear" w:color="auto" w:fill="auto"/>
            <w:vAlign w:val="center"/>
          </w:tcPr>
          <w:p w14:paraId="03D2D949" w14:textId="172977CE" w:rsidR="00C37A6F" w:rsidRPr="00E76E73" w:rsidRDefault="00C37A6F" w:rsidP="00C37A6F">
            <w:pPr>
              <w:jc w:val="center"/>
              <w:rPr>
                <w:szCs w:val="17"/>
              </w:rPr>
            </w:pPr>
            <w:r>
              <w:rPr>
                <w:bCs/>
                <w:szCs w:val="17"/>
              </w:rPr>
              <w:t>Proportionality criteria</w:t>
            </w:r>
          </w:p>
        </w:tc>
        <w:tc>
          <w:tcPr>
            <w:tcW w:w="1293" w:type="dxa"/>
            <w:shd w:val="clear" w:color="auto" w:fill="auto"/>
            <w:vAlign w:val="center"/>
          </w:tcPr>
          <w:p w14:paraId="4AE66FA1" w14:textId="78F05613" w:rsidR="00C37A6F" w:rsidRPr="00E76E73" w:rsidRDefault="00BA218E" w:rsidP="00C37A6F">
            <w:pPr>
              <w:jc w:val="center"/>
              <w:rPr>
                <w:szCs w:val="17"/>
              </w:rPr>
            </w:pPr>
            <w:r w:rsidRPr="00976882">
              <w:rPr>
                <w:b/>
                <w:color w:val="808080" w:themeColor="background1" w:themeShade="80"/>
                <w:szCs w:val="17"/>
              </w:rPr>
              <w:t>Neutral</w:t>
            </w:r>
          </w:p>
        </w:tc>
      </w:tr>
      <w:tr w:rsidR="00C37A6F" w:rsidRPr="00D43554" w14:paraId="7108C9D1" w14:textId="77777777" w:rsidTr="00424768">
        <w:trPr>
          <w:trHeight w:val="499"/>
        </w:trPr>
        <w:tc>
          <w:tcPr>
            <w:tcW w:w="689" w:type="dxa"/>
            <w:shd w:val="clear" w:color="auto" w:fill="auto"/>
            <w:vAlign w:val="center"/>
          </w:tcPr>
          <w:p w14:paraId="38FDF1DA" w14:textId="74EFDF2A" w:rsidR="00C37A6F" w:rsidRDefault="00C37A6F" w:rsidP="00C37A6F">
            <w:pPr>
              <w:jc w:val="center"/>
              <w:rPr>
                <w:bCs/>
                <w:szCs w:val="17"/>
              </w:rPr>
            </w:pPr>
            <w:r>
              <w:rPr>
                <w:bCs/>
                <w:szCs w:val="17"/>
              </w:rPr>
              <w:t>355, 362, 370</w:t>
            </w:r>
          </w:p>
        </w:tc>
        <w:tc>
          <w:tcPr>
            <w:tcW w:w="1909" w:type="dxa"/>
            <w:shd w:val="clear" w:color="auto" w:fill="auto"/>
            <w:vAlign w:val="center"/>
          </w:tcPr>
          <w:p w14:paraId="2F407BE0" w14:textId="43B4BF59" w:rsidR="00C37A6F" w:rsidRPr="00424768" w:rsidRDefault="00C37A6F" w:rsidP="0084620E">
            <w:pPr>
              <w:jc w:val="center"/>
              <w:rPr>
                <w:szCs w:val="17"/>
                <w:lang w:val="fr-BE"/>
              </w:rPr>
            </w:pPr>
            <w:r w:rsidRPr="00424768">
              <w:rPr>
                <w:szCs w:val="17"/>
                <w:lang w:val="fr-BE"/>
              </w:rPr>
              <w:t>Article 29a – paragraph 1 – subparagraph 1 – point a – subparagraph 1 – point ii/Point b - subparagraph 1 – point ii/Point c - subparagraph 1 – point v</w:t>
            </w:r>
          </w:p>
          <w:p w14:paraId="01340EAB" w14:textId="6D1DE754" w:rsidR="00C37A6F" w:rsidRPr="00424768" w:rsidRDefault="00C37A6F" w:rsidP="0084620E">
            <w:pPr>
              <w:jc w:val="center"/>
              <w:rPr>
                <w:rStyle w:val="HideTWBExt"/>
                <w:rFonts w:ascii="Verdana" w:hAnsi="Verdana"/>
                <w:sz w:val="17"/>
                <w:szCs w:val="17"/>
                <w:lang w:val="fr-BE"/>
              </w:rPr>
            </w:pPr>
          </w:p>
        </w:tc>
        <w:tc>
          <w:tcPr>
            <w:tcW w:w="6116" w:type="dxa"/>
            <w:shd w:val="clear" w:color="auto" w:fill="auto"/>
          </w:tcPr>
          <w:p w14:paraId="45235AC3" w14:textId="293C3D0E" w:rsidR="00C37A6F" w:rsidRDefault="00C37A6F" w:rsidP="00C37A6F">
            <w:pPr>
              <w:jc w:val="left"/>
              <w:rPr>
                <w:bCs/>
                <w:szCs w:val="17"/>
              </w:rPr>
            </w:pPr>
            <w:r>
              <w:rPr>
                <w:bCs/>
                <w:szCs w:val="17"/>
              </w:rPr>
              <w:t>5% Cross border criterion deleted from proportionality criteria</w:t>
            </w:r>
          </w:p>
        </w:tc>
        <w:tc>
          <w:tcPr>
            <w:tcW w:w="1909" w:type="dxa"/>
            <w:shd w:val="clear" w:color="auto" w:fill="auto"/>
            <w:vAlign w:val="center"/>
          </w:tcPr>
          <w:p w14:paraId="785DBDDC" w14:textId="44EADB69" w:rsidR="00C37A6F" w:rsidRPr="00E76E73" w:rsidRDefault="00C37A6F" w:rsidP="0084620E">
            <w:pPr>
              <w:jc w:val="center"/>
              <w:rPr>
                <w:rStyle w:val="HideTWBExt"/>
                <w:rFonts w:ascii="Verdana" w:hAnsi="Verdana"/>
                <w:b/>
                <w:sz w:val="17"/>
                <w:szCs w:val="17"/>
              </w:rPr>
            </w:pPr>
            <w:r w:rsidRPr="00E76E73">
              <w:rPr>
                <w:szCs w:val="17"/>
              </w:rPr>
              <w:t>Fitzgerald</w:t>
            </w:r>
          </w:p>
        </w:tc>
        <w:tc>
          <w:tcPr>
            <w:tcW w:w="2543" w:type="dxa"/>
            <w:shd w:val="clear" w:color="auto" w:fill="auto"/>
            <w:vAlign w:val="center"/>
          </w:tcPr>
          <w:p w14:paraId="3F49901E" w14:textId="3517A119" w:rsidR="00C37A6F" w:rsidRDefault="00C37A6F" w:rsidP="00C37A6F">
            <w:pPr>
              <w:jc w:val="center"/>
              <w:rPr>
                <w:bCs/>
                <w:szCs w:val="17"/>
              </w:rPr>
            </w:pPr>
            <w:r>
              <w:rPr>
                <w:bCs/>
                <w:szCs w:val="17"/>
              </w:rPr>
              <w:t>Proportionality criteria</w:t>
            </w:r>
          </w:p>
        </w:tc>
        <w:tc>
          <w:tcPr>
            <w:tcW w:w="1293" w:type="dxa"/>
            <w:shd w:val="clear" w:color="auto" w:fill="auto"/>
            <w:vAlign w:val="center"/>
          </w:tcPr>
          <w:p w14:paraId="042A97A8" w14:textId="49B7925D" w:rsidR="00C37A6F" w:rsidRDefault="00C37A6F" w:rsidP="00C37A6F">
            <w:pPr>
              <w:jc w:val="center"/>
              <w:rPr>
                <w:bCs/>
                <w:szCs w:val="17"/>
                <w:highlight w:val="yellow"/>
              </w:rPr>
            </w:pPr>
            <w:r w:rsidRPr="00F63B3C">
              <w:rPr>
                <w:b/>
                <w:color w:val="00B050"/>
                <w:szCs w:val="17"/>
              </w:rPr>
              <w:t>Positive</w:t>
            </w:r>
          </w:p>
        </w:tc>
      </w:tr>
      <w:tr w:rsidR="00C37A6F" w:rsidRPr="00D43554" w14:paraId="49DF62A7" w14:textId="77777777" w:rsidTr="00424768">
        <w:trPr>
          <w:trHeight w:val="499"/>
        </w:trPr>
        <w:tc>
          <w:tcPr>
            <w:tcW w:w="689" w:type="dxa"/>
            <w:shd w:val="clear" w:color="auto" w:fill="auto"/>
            <w:vAlign w:val="center"/>
          </w:tcPr>
          <w:p w14:paraId="5D6ECDB9" w14:textId="7F566BC9" w:rsidR="00C37A6F" w:rsidRDefault="00C37A6F" w:rsidP="00C37A6F">
            <w:pPr>
              <w:jc w:val="center"/>
              <w:rPr>
                <w:bCs/>
                <w:szCs w:val="17"/>
              </w:rPr>
            </w:pPr>
            <w:r>
              <w:rPr>
                <w:bCs/>
                <w:szCs w:val="17"/>
              </w:rPr>
              <w:t>356, 363, 371</w:t>
            </w:r>
          </w:p>
        </w:tc>
        <w:tc>
          <w:tcPr>
            <w:tcW w:w="1909" w:type="dxa"/>
            <w:shd w:val="clear" w:color="auto" w:fill="auto"/>
            <w:vAlign w:val="center"/>
          </w:tcPr>
          <w:p w14:paraId="7ED72704" w14:textId="24DCE742" w:rsidR="00C37A6F" w:rsidRPr="00424768" w:rsidRDefault="00C37A6F" w:rsidP="0084620E">
            <w:pPr>
              <w:jc w:val="center"/>
              <w:rPr>
                <w:rStyle w:val="HideTWBExt"/>
                <w:rFonts w:ascii="Verdana" w:hAnsi="Verdana"/>
                <w:sz w:val="17"/>
                <w:szCs w:val="17"/>
                <w:lang w:val="fr-BE"/>
              </w:rPr>
            </w:pPr>
            <w:r w:rsidRPr="00424768">
              <w:rPr>
                <w:szCs w:val="17"/>
                <w:lang w:val="fr-BE"/>
              </w:rPr>
              <w:t>Article 29a – paragraph 1 – subparagraph 1 – point a – subparagraph 1 – point ii/point b - subparagraph 1 – point ii//point c - subparagraph 1 – point v</w:t>
            </w:r>
          </w:p>
        </w:tc>
        <w:tc>
          <w:tcPr>
            <w:tcW w:w="6116" w:type="dxa"/>
            <w:shd w:val="clear" w:color="auto" w:fill="auto"/>
          </w:tcPr>
          <w:p w14:paraId="1F00CB7A" w14:textId="2E9A851F" w:rsidR="00C37A6F" w:rsidRDefault="00C37A6F" w:rsidP="00C37A6F">
            <w:pPr>
              <w:jc w:val="left"/>
              <w:rPr>
                <w:bCs/>
                <w:szCs w:val="17"/>
              </w:rPr>
            </w:pPr>
            <w:r>
              <w:rPr>
                <w:bCs/>
                <w:szCs w:val="17"/>
              </w:rPr>
              <w:t>Cross border is lower than at least 15Mio or 5% of annual GWP</w:t>
            </w:r>
          </w:p>
        </w:tc>
        <w:tc>
          <w:tcPr>
            <w:tcW w:w="1909" w:type="dxa"/>
            <w:shd w:val="clear" w:color="auto" w:fill="auto"/>
            <w:vAlign w:val="center"/>
          </w:tcPr>
          <w:p w14:paraId="7C8AC715" w14:textId="3AE8DB70" w:rsidR="00C37A6F" w:rsidRPr="00E76E73" w:rsidRDefault="00C37A6F" w:rsidP="0084620E">
            <w:pPr>
              <w:jc w:val="center"/>
              <w:rPr>
                <w:rStyle w:val="HideTWBExt"/>
                <w:rFonts w:ascii="Verdana" w:hAnsi="Verdana"/>
                <w:b/>
                <w:sz w:val="17"/>
                <w:szCs w:val="17"/>
              </w:rPr>
            </w:pPr>
            <w:r w:rsidRPr="00E76E73">
              <w:rPr>
                <w:szCs w:val="17"/>
              </w:rPr>
              <w:t>Yon-Courtin, Boyer</w:t>
            </w:r>
          </w:p>
        </w:tc>
        <w:tc>
          <w:tcPr>
            <w:tcW w:w="2543" w:type="dxa"/>
            <w:shd w:val="clear" w:color="auto" w:fill="auto"/>
            <w:vAlign w:val="center"/>
          </w:tcPr>
          <w:p w14:paraId="73046092" w14:textId="6C794D44" w:rsidR="00C37A6F" w:rsidRDefault="00C37A6F" w:rsidP="00C37A6F">
            <w:pPr>
              <w:jc w:val="center"/>
              <w:rPr>
                <w:bCs/>
                <w:szCs w:val="17"/>
              </w:rPr>
            </w:pPr>
            <w:r>
              <w:rPr>
                <w:bCs/>
                <w:szCs w:val="17"/>
              </w:rPr>
              <w:t>Proportionality criteria</w:t>
            </w:r>
          </w:p>
        </w:tc>
        <w:tc>
          <w:tcPr>
            <w:tcW w:w="1293" w:type="dxa"/>
            <w:shd w:val="clear" w:color="auto" w:fill="auto"/>
            <w:vAlign w:val="center"/>
          </w:tcPr>
          <w:p w14:paraId="09F9A945" w14:textId="372308DF" w:rsidR="00C37A6F" w:rsidRDefault="00BA218E" w:rsidP="00C37A6F">
            <w:pPr>
              <w:jc w:val="center"/>
              <w:rPr>
                <w:bCs/>
                <w:szCs w:val="17"/>
                <w:highlight w:val="yellow"/>
              </w:rPr>
            </w:pPr>
            <w:r w:rsidRPr="00976882">
              <w:rPr>
                <w:b/>
                <w:color w:val="808080" w:themeColor="background1" w:themeShade="80"/>
                <w:szCs w:val="17"/>
              </w:rPr>
              <w:t>Neutral</w:t>
            </w:r>
          </w:p>
        </w:tc>
      </w:tr>
      <w:tr w:rsidR="00C37A6F" w:rsidRPr="00D43554" w14:paraId="20599B71" w14:textId="77777777" w:rsidTr="00424768">
        <w:trPr>
          <w:trHeight w:val="499"/>
        </w:trPr>
        <w:tc>
          <w:tcPr>
            <w:tcW w:w="689" w:type="dxa"/>
            <w:shd w:val="clear" w:color="auto" w:fill="auto"/>
            <w:vAlign w:val="center"/>
          </w:tcPr>
          <w:p w14:paraId="463CA66A" w14:textId="3DF17697" w:rsidR="00C37A6F" w:rsidRDefault="00C37A6F" w:rsidP="00C37A6F">
            <w:pPr>
              <w:jc w:val="center"/>
              <w:rPr>
                <w:bCs/>
                <w:szCs w:val="17"/>
              </w:rPr>
            </w:pPr>
            <w:r>
              <w:rPr>
                <w:bCs/>
                <w:szCs w:val="17"/>
              </w:rPr>
              <w:t>357, 367, 374</w:t>
            </w:r>
          </w:p>
        </w:tc>
        <w:tc>
          <w:tcPr>
            <w:tcW w:w="1909" w:type="dxa"/>
            <w:shd w:val="clear" w:color="auto" w:fill="auto"/>
            <w:vAlign w:val="center"/>
          </w:tcPr>
          <w:p w14:paraId="1FC8FBD0" w14:textId="70C53D8A" w:rsidR="00C37A6F" w:rsidRPr="00424768" w:rsidRDefault="00C37A6F" w:rsidP="0084620E">
            <w:pPr>
              <w:jc w:val="center"/>
              <w:rPr>
                <w:rStyle w:val="HideTWBExt"/>
                <w:rFonts w:ascii="Verdana" w:hAnsi="Verdana"/>
                <w:sz w:val="17"/>
                <w:szCs w:val="17"/>
                <w:lang w:val="fr-BE"/>
              </w:rPr>
            </w:pPr>
            <w:r w:rsidRPr="00424768">
              <w:rPr>
                <w:szCs w:val="17"/>
                <w:lang w:val="fr-BE"/>
              </w:rPr>
              <w:t xml:space="preserve">Article 29a – paragraph 1 – subparagraph 1– point a – </w:t>
            </w:r>
            <w:r w:rsidRPr="00424768">
              <w:rPr>
                <w:szCs w:val="17"/>
                <w:lang w:val="fr-BE"/>
              </w:rPr>
              <w:lastRenderedPageBreak/>
              <w:t>subparagraph 1– point iv/ point b – subparagraph 1– point v/ point c – subparagraph 1– point vii</w:t>
            </w:r>
          </w:p>
        </w:tc>
        <w:tc>
          <w:tcPr>
            <w:tcW w:w="6116" w:type="dxa"/>
            <w:shd w:val="clear" w:color="auto" w:fill="auto"/>
          </w:tcPr>
          <w:p w14:paraId="7C712317" w14:textId="22FF6A7E" w:rsidR="00C37A6F" w:rsidRDefault="00C37A6F" w:rsidP="00C37A6F">
            <w:pPr>
              <w:jc w:val="left"/>
              <w:rPr>
                <w:bCs/>
                <w:szCs w:val="17"/>
              </w:rPr>
            </w:pPr>
            <w:r>
              <w:rPr>
                <w:bCs/>
                <w:szCs w:val="17"/>
              </w:rPr>
              <w:lastRenderedPageBreak/>
              <w:t>Non-traditional investments criterion replaced with gross market risk module &lt; 15% of total investments</w:t>
            </w:r>
          </w:p>
        </w:tc>
        <w:tc>
          <w:tcPr>
            <w:tcW w:w="1909" w:type="dxa"/>
            <w:shd w:val="clear" w:color="auto" w:fill="auto"/>
            <w:vAlign w:val="center"/>
          </w:tcPr>
          <w:p w14:paraId="1B5C22F7" w14:textId="06450FC4" w:rsidR="00C37A6F" w:rsidRPr="00E76E73" w:rsidRDefault="00C37A6F" w:rsidP="0084620E">
            <w:pPr>
              <w:pStyle w:val="NormalBold"/>
              <w:jc w:val="center"/>
              <w:rPr>
                <w:rStyle w:val="HideTWBExt"/>
                <w:rFonts w:ascii="Verdana" w:hAnsi="Verdana"/>
                <w:b w:val="0"/>
                <w:sz w:val="17"/>
                <w:szCs w:val="17"/>
                <w:lang w:val="en-GB"/>
              </w:rPr>
            </w:pPr>
            <w:r w:rsidRPr="00E76E73">
              <w:rPr>
                <w:rFonts w:ascii="Verdana" w:hAnsi="Verdana" w:cs="Times New Roman"/>
                <w:b w:val="0"/>
                <w:sz w:val="17"/>
                <w:szCs w:val="17"/>
                <w:lang w:val="en-GB"/>
              </w:rPr>
              <w:t>Yon-Courtin</w:t>
            </w:r>
            <w:r w:rsidRPr="00E76E73">
              <w:rPr>
                <w:rFonts w:ascii="Verdana" w:hAnsi="Verdana"/>
                <w:b w:val="0"/>
                <w:sz w:val="17"/>
                <w:szCs w:val="17"/>
                <w:lang w:val="en-GB"/>
              </w:rPr>
              <w:t xml:space="preserve">, </w:t>
            </w:r>
            <w:r w:rsidRPr="00E76E73">
              <w:rPr>
                <w:rFonts w:ascii="Verdana" w:hAnsi="Verdana" w:cs="Times New Roman"/>
                <w:b w:val="0"/>
                <w:sz w:val="17"/>
                <w:szCs w:val="17"/>
                <w:lang w:val="en-GB"/>
              </w:rPr>
              <w:t>Boyer</w:t>
            </w:r>
          </w:p>
        </w:tc>
        <w:tc>
          <w:tcPr>
            <w:tcW w:w="2543" w:type="dxa"/>
            <w:shd w:val="clear" w:color="auto" w:fill="auto"/>
            <w:vAlign w:val="center"/>
          </w:tcPr>
          <w:p w14:paraId="38B63014" w14:textId="35D6432B" w:rsidR="00C37A6F" w:rsidRDefault="00C37A6F" w:rsidP="00C37A6F">
            <w:pPr>
              <w:jc w:val="center"/>
              <w:rPr>
                <w:bCs/>
                <w:szCs w:val="17"/>
              </w:rPr>
            </w:pPr>
            <w:r>
              <w:rPr>
                <w:bCs/>
                <w:szCs w:val="17"/>
              </w:rPr>
              <w:t>Proportionality criteria</w:t>
            </w:r>
          </w:p>
        </w:tc>
        <w:tc>
          <w:tcPr>
            <w:tcW w:w="1293" w:type="dxa"/>
            <w:shd w:val="clear" w:color="auto" w:fill="auto"/>
            <w:vAlign w:val="center"/>
          </w:tcPr>
          <w:p w14:paraId="405F3AA5" w14:textId="7CFA6A23" w:rsidR="00C37A6F" w:rsidRDefault="00C37A6F" w:rsidP="00C37A6F">
            <w:pPr>
              <w:jc w:val="center"/>
              <w:rPr>
                <w:bCs/>
                <w:szCs w:val="17"/>
                <w:highlight w:val="yellow"/>
              </w:rPr>
            </w:pPr>
            <w:r>
              <w:rPr>
                <w:b/>
                <w:color w:val="F79646" w:themeColor="accent6"/>
                <w:szCs w:val="17"/>
              </w:rPr>
              <w:t>Mixed</w:t>
            </w:r>
          </w:p>
        </w:tc>
      </w:tr>
      <w:tr w:rsidR="00C37A6F" w:rsidRPr="00D43554" w14:paraId="6E23E68A" w14:textId="77777777" w:rsidTr="00424768">
        <w:trPr>
          <w:trHeight w:val="499"/>
        </w:trPr>
        <w:tc>
          <w:tcPr>
            <w:tcW w:w="689" w:type="dxa"/>
            <w:shd w:val="clear" w:color="auto" w:fill="auto"/>
            <w:vAlign w:val="center"/>
          </w:tcPr>
          <w:p w14:paraId="781D41D4" w14:textId="42C3CB05"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358, 366, 373</w:t>
            </w:r>
          </w:p>
        </w:tc>
        <w:tc>
          <w:tcPr>
            <w:tcW w:w="1909" w:type="dxa"/>
            <w:shd w:val="clear" w:color="auto" w:fill="auto"/>
            <w:vAlign w:val="center"/>
          </w:tcPr>
          <w:p w14:paraId="15734EBD" w14:textId="53150A24" w:rsidR="00C37A6F" w:rsidRPr="00424768" w:rsidRDefault="00C37A6F" w:rsidP="0084620E">
            <w:pPr>
              <w:jc w:val="center"/>
              <w:rPr>
                <w:b/>
                <w:vanish/>
                <w:szCs w:val="17"/>
                <w:lang w:val="fr-BE"/>
              </w:rPr>
            </w:pPr>
            <w:r w:rsidRPr="00424768">
              <w:rPr>
                <w:szCs w:val="17"/>
                <w:lang w:val="fr-BE"/>
              </w:rPr>
              <w:t>Article 29a – paragraph 1 – subparagraph 1 – point a – subparagraph 1 – point iv/ point b – subparagraph 1 – point v/ point c – subparagraph 1 – point vii</w:t>
            </w:r>
          </w:p>
        </w:tc>
        <w:tc>
          <w:tcPr>
            <w:tcW w:w="6116" w:type="dxa"/>
            <w:shd w:val="clear" w:color="auto" w:fill="auto"/>
          </w:tcPr>
          <w:p w14:paraId="03A071B8" w14:textId="7A7264D3" w:rsidR="00C37A6F" w:rsidRPr="00E76E73" w:rsidRDefault="00C37A6F" w:rsidP="00C37A6F">
            <w:pPr>
              <w:pStyle w:val="NormalBold"/>
              <w:rPr>
                <w:rFonts w:ascii="Verdana" w:hAnsi="Verdana" w:cs="Times New Roman"/>
                <w:b w:val="0"/>
                <w:sz w:val="17"/>
                <w:szCs w:val="17"/>
                <w:lang w:val="en-GB"/>
              </w:rPr>
            </w:pPr>
            <w:r w:rsidRPr="00E76E73">
              <w:rPr>
                <w:rFonts w:ascii="Verdana" w:hAnsi="Verdana" w:cs="Times New Roman"/>
                <w:b w:val="0"/>
                <w:sz w:val="17"/>
                <w:szCs w:val="17"/>
                <w:lang w:val="en-GB"/>
              </w:rPr>
              <w:t>Non-traditional investments criterion is &lt; 10% (not 20%)</w:t>
            </w:r>
          </w:p>
        </w:tc>
        <w:tc>
          <w:tcPr>
            <w:tcW w:w="1909" w:type="dxa"/>
            <w:shd w:val="clear" w:color="auto" w:fill="auto"/>
            <w:vAlign w:val="center"/>
          </w:tcPr>
          <w:p w14:paraId="3D375724" w14:textId="1A84BFD3" w:rsidR="00C37A6F" w:rsidRPr="00E76E73" w:rsidRDefault="00C37A6F" w:rsidP="0084620E">
            <w:pPr>
              <w:pStyle w:val="NormalBold"/>
              <w:jc w:val="center"/>
              <w:rPr>
                <w:rFonts w:ascii="Verdana" w:hAnsi="Verdana" w:cs="Times New Roman"/>
                <w:vanish/>
                <w:sz w:val="17"/>
                <w:szCs w:val="17"/>
                <w:lang w:val="en-GB"/>
              </w:rPr>
            </w:pPr>
            <w:r w:rsidRPr="00E76E73">
              <w:rPr>
                <w:rFonts w:ascii="Verdana" w:eastAsia="Times New Roman" w:hAnsi="Verdana" w:cs="Times New Roman"/>
                <w:b w:val="0"/>
                <w:sz w:val="17"/>
                <w:szCs w:val="17"/>
                <w:lang w:val="en-GB"/>
              </w:rPr>
              <w:t>Hahn</w:t>
            </w:r>
          </w:p>
        </w:tc>
        <w:tc>
          <w:tcPr>
            <w:tcW w:w="2543" w:type="dxa"/>
            <w:shd w:val="clear" w:color="auto" w:fill="auto"/>
            <w:vAlign w:val="center"/>
          </w:tcPr>
          <w:p w14:paraId="0F16DBDE" w14:textId="3A9778DD"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Proportionality criteria</w:t>
            </w:r>
          </w:p>
        </w:tc>
        <w:tc>
          <w:tcPr>
            <w:tcW w:w="1293" w:type="dxa"/>
            <w:shd w:val="clear" w:color="auto" w:fill="auto"/>
            <w:vAlign w:val="center"/>
          </w:tcPr>
          <w:p w14:paraId="7AFD9AAD" w14:textId="4F2072C8" w:rsidR="00C37A6F" w:rsidRPr="00E76E73" w:rsidRDefault="00C37A6F" w:rsidP="0084620E">
            <w:pPr>
              <w:pStyle w:val="NormalBold"/>
              <w:jc w:val="center"/>
              <w:rPr>
                <w:rFonts w:ascii="Verdana" w:hAnsi="Verdana" w:cs="Times New Roman"/>
                <w:b w:val="0"/>
                <w:sz w:val="17"/>
                <w:szCs w:val="17"/>
                <w:lang w:val="en-GB"/>
              </w:rPr>
            </w:pPr>
            <w:r w:rsidRPr="00D43554">
              <w:rPr>
                <w:rFonts w:ascii="Verdana" w:hAnsi="Verdana"/>
                <w:color w:val="FF0000"/>
                <w:sz w:val="17"/>
                <w:szCs w:val="17"/>
                <w:lang w:val="en-GB"/>
              </w:rPr>
              <w:t>Negative</w:t>
            </w:r>
          </w:p>
        </w:tc>
      </w:tr>
      <w:tr w:rsidR="00C37A6F" w:rsidRPr="00D43554" w14:paraId="1BC0EA45" w14:textId="77777777" w:rsidTr="00424768">
        <w:trPr>
          <w:trHeight w:val="499"/>
        </w:trPr>
        <w:tc>
          <w:tcPr>
            <w:tcW w:w="689" w:type="dxa"/>
            <w:shd w:val="clear" w:color="auto" w:fill="auto"/>
            <w:vAlign w:val="center"/>
          </w:tcPr>
          <w:p w14:paraId="0D7947C5" w14:textId="4B349B85"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359, 365, 372</w:t>
            </w:r>
          </w:p>
        </w:tc>
        <w:tc>
          <w:tcPr>
            <w:tcW w:w="1909" w:type="dxa"/>
            <w:shd w:val="clear" w:color="auto" w:fill="auto"/>
            <w:vAlign w:val="center"/>
          </w:tcPr>
          <w:p w14:paraId="00C30E9C" w14:textId="013F5424" w:rsidR="00C37A6F" w:rsidRPr="00424768" w:rsidRDefault="00C37A6F" w:rsidP="0084620E">
            <w:pPr>
              <w:pStyle w:val="NormalBold"/>
              <w:jc w:val="center"/>
              <w:rPr>
                <w:rFonts w:ascii="Verdana" w:hAnsi="Verdana" w:cs="Times New Roman"/>
                <w:b w:val="0"/>
                <w:vanish/>
                <w:sz w:val="17"/>
                <w:szCs w:val="17"/>
              </w:rPr>
            </w:pPr>
            <w:r w:rsidRPr="00424768">
              <w:rPr>
                <w:rFonts w:ascii="Verdana" w:hAnsi="Verdana" w:cs="Times New Roman"/>
                <w:b w:val="0"/>
                <w:sz w:val="17"/>
                <w:szCs w:val="17"/>
              </w:rPr>
              <w:t>Article 29a – paragraph 1 – subparagraph 1 – point a – subparagraph 1 – point iv/Point b - subparagraph 1 – point v/Point c- subparagraph 1 – point vii</w:t>
            </w:r>
          </w:p>
        </w:tc>
        <w:tc>
          <w:tcPr>
            <w:tcW w:w="6116" w:type="dxa"/>
            <w:shd w:val="clear" w:color="auto" w:fill="auto"/>
          </w:tcPr>
          <w:p w14:paraId="5614396F" w14:textId="0C4281C7" w:rsidR="00C37A6F" w:rsidRPr="00E76E73" w:rsidRDefault="00C37A6F" w:rsidP="00C37A6F">
            <w:pPr>
              <w:pStyle w:val="NormalBold"/>
              <w:rPr>
                <w:rFonts w:ascii="Verdana" w:hAnsi="Verdana" w:cs="Times New Roman"/>
                <w:b w:val="0"/>
                <w:sz w:val="17"/>
                <w:szCs w:val="17"/>
                <w:lang w:val="en-GB"/>
              </w:rPr>
            </w:pPr>
            <w:r w:rsidRPr="00E76E73">
              <w:rPr>
                <w:rFonts w:ascii="Verdana" w:hAnsi="Verdana" w:cs="Times New Roman"/>
                <w:b w:val="0"/>
                <w:sz w:val="17"/>
                <w:szCs w:val="17"/>
                <w:lang w:val="en-GB"/>
              </w:rPr>
              <w:t>Non-traditional investments criterion is &lt; 30% (not 20%)</w:t>
            </w:r>
          </w:p>
        </w:tc>
        <w:tc>
          <w:tcPr>
            <w:tcW w:w="1909" w:type="dxa"/>
            <w:shd w:val="clear" w:color="auto" w:fill="auto"/>
            <w:vAlign w:val="center"/>
          </w:tcPr>
          <w:p w14:paraId="60EC2B18" w14:textId="0760BAB2" w:rsidR="00C37A6F" w:rsidRPr="00E76E73" w:rsidRDefault="00C37A6F" w:rsidP="0084620E">
            <w:pPr>
              <w:pStyle w:val="NormalBold"/>
              <w:jc w:val="center"/>
              <w:rPr>
                <w:rFonts w:ascii="Verdana" w:hAnsi="Verdana" w:cs="Times New Roman"/>
                <w:b w:val="0"/>
                <w:vanish/>
                <w:sz w:val="17"/>
                <w:szCs w:val="17"/>
                <w:lang w:val="en-GB"/>
              </w:rPr>
            </w:pPr>
            <w:proofErr w:type="spellStart"/>
            <w:r w:rsidRPr="00E76E73">
              <w:rPr>
                <w:rFonts w:ascii="Verdana" w:hAnsi="Verdana" w:cs="Times New Roman"/>
                <w:b w:val="0"/>
                <w:sz w:val="17"/>
                <w:szCs w:val="17"/>
                <w:lang w:val="en-GB"/>
              </w:rPr>
              <w:t>Zanni</w:t>
            </w:r>
            <w:proofErr w:type="spellEnd"/>
            <w:r w:rsidRPr="00E76E73">
              <w:rPr>
                <w:rFonts w:ascii="Verdana" w:hAnsi="Verdana" w:cs="Times New Roman"/>
                <w:b w:val="0"/>
                <w:sz w:val="17"/>
                <w:szCs w:val="17"/>
                <w:lang w:val="en-GB"/>
              </w:rPr>
              <w:t>, Grant, Rinaldi</w:t>
            </w:r>
          </w:p>
        </w:tc>
        <w:tc>
          <w:tcPr>
            <w:tcW w:w="2543" w:type="dxa"/>
            <w:shd w:val="clear" w:color="auto" w:fill="auto"/>
            <w:vAlign w:val="center"/>
          </w:tcPr>
          <w:p w14:paraId="5F3E1FDE" w14:textId="702009A9"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Proportionality criteria</w:t>
            </w:r>
          </w:p>
        </w:tc>
        <w:tc>
          <w:tcPr>
            <w:tcW w:w="1293" w:type="dxa"/>
            <w:shd w:val="clear" w:color="auto" w:fill="auto"/>
            <w:vAlign w:val="center"/>
          </w:tcPr>
          <w:p w14:paraId="6D5973EB" w14:textId="5F87A922" w:rsidR="00C37A6F" w:rsidRPr="00E76E73" w:rsidRDefault="00C37A6F" w:rsidP="0084620E">
            <w:pPr>
              <w:pStyle w:val="NormalBold"/>
              <w:jc w:val="center"/>
              <w:rPr>
                <w:rFonts w:ascii="Verdana" w:hAnsi="Verdana" w:cs="Times New Roman"/>
                <w:b w:val="0"/>
                <w:sz w:val="17"/>
                <w:szCs w:val="17"/>
                <w:lang w:val="en-GB"/>
              </w:rPr>
            </w:pPr>
            <w:r w:rsidRPr="00D43554">
              <w:rPr>
                <w:rFonts w:ascii="Verdana" w:hAnsi="Verdana"/>
                <w:color w:val="00B050"/>
                <w:sz w:val="17"/>
                <w:szCs w:val="17"/>
                <w:lang w:val="en-GB"/>
              </w:rPr>
              <w:t>Positive</w:t>
            </w:r>
          </w:p>
        </w:tc>
      </w:tr>
      <w:tr w:rsidR="00C37A6F" w:rsidRPr="00D43554" w14:paraId="6D2844EB" w14:textId="77777777" w:rsidTr="00424768">
        <w:trPr>
          <w:trHeight w:val="499"/>
        </w:trPr>
        <w:tc>
          <w:tcPr>
            <w:tcW w:w="689" w:type="dxa"/>
            <w:shd w:val="clear" w:color="auto" w:fill="auto"/>
            <w:vAlign w:val="center"/>
          </w:tcPr>
          <w:p w14:paraId="3FB5A7BD" w14:textId="262C1FED"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360, 368, 375</w:t>
            </w:r>
          </w:p>
        </w:tc>
        <w:tc>
          <w:tcPr>
            <w:tcW w:w="1909" w:type="dxa"/>
            <w:shd w:val="clear" w:color="auto" w:fill="auto"/>
            <w:vAlign w:val="center"/>
          </w:tcPr>
          <w:p w14:paraId="36F0DB2C" w14:textId="34FA1FA7" w:rsidR="00C37A6F" w:rsidRPr="00E76E73" w:rsidRDefault="00C37A6F" w:rsidP="0084620E">
            <w:pPr>
              <w:pStyle w:val="NormalBold"/>
              <w:jc w:val="center"/>
              <w:rPr>
                <w:rFonts w:ascii="Verdana" w:hAnsi="Verdana" w:cs="Times New Roman"/>
                <w:b w:val="0"/>
                <w:vanish/>
                <w:sz w:val="17"/>
                <w:szCs w:val="17"/>
                <w:lang w:val="en-GB"/>
              </w:rPr>
            </w:pPr>
            <w:r w:rsidRPr="00E76E73">
              <w:rPr>
                <w:rFonts w:ascii="Verdana" w:hAnsi="Verdana" w:cs="Times New Roman"/>
                <w:b w:val="0"/>
                <w:sz w:val="17"/>
                <w:szCs w:val="17"/>
                <w:lang w:val="en-GB"/>
              </w:rPr>
              <w:t xml:space="preserve">Article 29a – paragraph 1 – subparagraph 1 – point a – </w:t>
            </w:r>
            <w:proofErr w:type="spellStart"/>
            <w:r w:rsidRPr="00E76E73">
              <w:rPr>
                <w:rFonts w:ascii="Verdana" w:hAnsi="Verdana" w:cs="Times New Roman"/>
                <w:b w:val="0"/>
                <w:sz w:val="17"/>
                <w:szCs w:val="17"/>
                <w:lang w:val="en-GB"/>
              </w:rPr>
              <w:t>subpargraph</w:t>
            </w:r>
            <w:proofErr w:type="spellEnd"/>
            <w:r w:rsidRPr="00E76E73">
              <w:rPr>
                <w:rFonts w:ascii="Verdana" w:hAnsi="Verdana" w:cs="Times New Roman"/>
                <w:b w:val="0"/>
                <w:sz w:val="17"/>
                <w:szCs w:val="17"/>
                <w:lang w:val="en-GB"/>
              </w:rPr>
              <w:t xml:space="preserve"> 1 – point v a/ point b – </w:t>
            </w:r>
            <w:proofErr w:type="spellStart"/>
            <w:r w:rsidRPr="00E76E73">
              <w:rPr>
                <w:rFonts w:ascii="Verdana" w:hAnsi="Verdana" w:cs="Times New Roman"/>
                <w:b w:val="0"/>
                <w:sz w:val="17"/>
                <w:szCs w:val="17"/>
                <w:lang w:val="en-GB"/>
              </w:rPr>
              <w:t>subpargraph</w:t>
            </w:r>
            <w:proofErr w:type="spellEnd"/>
            <w:r w:rsidRPr="00E76E73">
              <w:rPr>
                <w:rFonts w:ascii="Verdana" w:hAnsi="Verdana" w:cs="Times New Roman"/>
                <w:b w:val="0"/>
                <w:sz w:val="17"/>
                <w:szCs w:val="17"/>
                <w:lang w:val="en-GB"/>
              </w:rPr>
              <w:t xml:space="preserve"> 1 – point vi a (new) / point c – </w:t>
            </w:r>
            <w:proofErr w:type="spellStart"/>
            <w:r w:rsidRPr="00E76E73">
              <w:rPr>
                <w:rFonts w:ascii="Verdana" w:hAnsi="Verdana" w:cs="Times New Roman"/>
                <w:b w:val="0"/>
                <w:sz w:val="17"/>
                <w:szCs w:val="17"/>
                <w:lang w:val="en-GB"/>
              </w:rPr>
              <w:t>subpargraph</w:t>
            </w:r>
            <w:proofErr w:type="spellEnd"/>
            <w:r w:rsidRPr="00E76E73">
              <w:rPr>
                <w:rFonts w:ascii="Verdana" w:hAnsi="Verdana" w:cs="Times New Roman"/>
                <w:b w:val="0"/>
                <w:sz w:val="17"/>
                <w:szCs w:val="17"/>
                <w:lang w:val="en-GB"/>
              </w:rPr>
              <w:t xml:space="preserve"> 1 – point viii a (new)</w:t>
            </w:r>
          </w:p>
        </w:tc>
        <w:tc>
          <w:tcPr>
            <w:tcW w:w="6116" w:type="dxa"/>
            <w:shd w:val="clear" w:color="auto" w:fill="auto"/>
          </w:tcPr>
          <w:p w14:paraId="5114F4D6" w14:textId="03D8E4BC" w:rsidR="00C37A6F" w:rsidRPr="00E76E73" w:rsidRDefault="00C37A6F" w:rsidP="00C37A6F">
            <w:pPr>
              <w:pStyle w:val="NormalBold"/>
              <w:rPr>
                <w:rFonts w:ascii="Verdana" w:hAnsi="Verdana" w:cs="Times New Roman"/>
                <w:b w:val="0"/>
                <w:sz w:val="17"/>
                <w:szCs w:val="17"/>
                <w:lang w:val="en-GB"/>
              </w:rPr>
            </w:pPr>
            <w:r w:rsidRPr="00E76E73">
              <w:rPr>
                <w:rFonts w:ascii="Verdana" w:hAnsi="Verdana" w:cs="Times New Roman"/>
                <w:b w:val="0"/>
                <w:sz w:val="17"/>
                <w:szCs w:val="17"/>
                <w:lang w:val="en-GB"/>
              </w:rPr>
              <w:t>Added a criterion that the SCR is complied with and no capital add-on has been set</w:t>
            </w:r>
          </w:p>
        </w:tc>
        <w:tc>
          <w:tcPr>
            <w:tcW w:w="1909" w:type="dxa"/>
            <w:shd w:val="clear" w:color="auto" w:fill="auto"/>
            <w:vAlign w:val="center"/>
          </w:tcPr>
          <w:p w14:paraId="2C018505" w14:textId="40B21D2E" w:rsidR="00C37A6F" w:rsidRPr="00E76E73" w:rsidRDefault="00C37A6F" w:rsidP="0084620E">
            <w:pPr>
              <w:pStyle w:val="NormalBold"/>
              <w:jc w:val="center"/>
              <w:rPr>
                <w:rFonts w:ascii="Verdana" w:hAnsi="Verdana" w:cs="Times New Roman"/>
                <w:vanish/>
                <w:sz w:val="17"/>
                <w:szCs w:val="17"/>
                <w:lang w:val="en-GB"/>
              </w:rPr>
            </w:pPr>
            <w:r w:rsidRPr="00E76E73">
              <w:rPr>
                <w:rFonts w:ascii="Verdana" w:eastAsia="Times New Roman" w:hAnsi="Verdana" w:cs="Times New Roman"/>
                <w:b w:val="0"/>
                <w:sz w:val="17"/>
                <w:szCs w:val="17"/>
                <w:lang w:val="en-GB"/>
              </w:rPr>
              <w:t>Hahn</w:t>
            </w:r>
          </w:p>
        </w:tc>
        <w:tc>
          <w:tcPr>
            <w:tcW w:w="2543" w:type="dxa"/>
            <w:shd w:val="clear" w:color="auto" w:fill="auto"/>
            <w:vAlign w:val="center"/>
          </w:tcPr>
          <w:p w14:paraId="5158CB09" w14:textId="48FC4449"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Proportionality criteria</w:t>
            </w:r>
          </w:p>
        </w:tc>
        <w:tc>
          <w:tcPr>
            <w:tcW w:w="1293" w:type="dxa"/>
            <w:shd w:val="clear" w:color="auto" w:fill="auto"/>
            <w:vAlign w:val="center"/>
          </w:tcPr>
          <w:p w14:paraId="5671F747" w14:textId="1B3CD667" w:rsidR="00C37A6F" w:rsidRPr="00E76E73" w:rsidRDefault="00C37A6F" w:rsidP="0084620E">
            <w:pPr>
              <w:pStyle w:val="NormalBold"/>
              <w:jc w:val="center"/>
              <w:rPr>
                <w:rFonts w:ascii="Verdana" w:hAnsi="Verdana" w:cs="Times New Roman"/>
                <w:b w:val="0"/>
                <w:sz w:val="17"/>
                <w:szCs w:val="17"/>
                <w:lang w:val="en-GB"/>
              </w:rPr>
            </w:pPr>
            <w:r w:rsidRPr="00D43554">
              <w:rPr>
                <w:rFonts w:ascii="Verdana" w:hAnsi="Verdana"/>
                <w:color w:val="808080" w:themeColor="background1" w:themeShade="80"/>
                <w:sz w:val="17"/>
                <w:szCs w:val="17"/>
                <w:lang w:val="en-GB"/>
              </w:rPr>
              <w:t>Neutral</w:t>
            </w:r>
          </w:p>
        </w:tc>
      </w:tr>
      <w:tr w:rsidR="00C37A6F" w:rsidRPr="00D43554" w14:paraId="781FBDBE" w14:textId="77777777" w:rsidTr="00424768">
        <w:trPr>
          <w:trHeight w:val="499"/>
        </w:trPr>
        <w:tc>
          <w:tcPr>
            <w:tcW w:w="689" w:type="dxa"/>
            <w:shd w:val="clear" w:color="auto" w:fill="auto"/>
            <w:vAlign w:val="center"/>
          </w:tcPr>
          <w:p w14:paraId="5BFC7F62" w14:textId="1B5DB69B"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lastRenderedPageBreak/>
              <w:t>361, 369,376</w:t>
            </w:r>
          </w:p>
        </w:tc>
        <w:tc>
          <w:tcPr>
            <w:tcW w:w="1909" w:type="dxa"/>
            <w:shd w:val="clear" w:color="auto" w:fill="auto"/>
            <w:vAlign w:val="center"/>
          </w:tcPr>
          <w:p w14:paraId="00AFC087" w14:textId="769BB74A" w:rsidR="00C37A6F" w:rsidRPr="00E76E73" w:rsidRDefault="00C37A6F" w:rsidP="0084620E">
            <w:pPr>
              <w:pStyle w:val="NormalBold"/>
              <w:jc w:val="center"/>
              <w:rPr>
                <w:rFonts w:ascii="Verdana" w:hAnsi="Verdana" w:cs="Times New Roman"/>
                <w:b w:val="0"/>
                <w:vanish/>
                <w:sz w:val="17"/>
                <w:szCs w:val="17"/>
                <w:lang w:val="en-GB"/>
              </w:rPr>
            </w:pPr>
            <w:r w:rsidRPr="00E76E73">
              <w:rPr>
                <w:rFonts w:ascii="Verdana" w:hAnsi="Verdana" w:cs="Times New Roman"/>
                <w:b w:val="0"/>
                <w:sz w:val="17"/>
                <w:szCs w:val="17"/>
                <w:lang w:val="en-GB"/>
              </w:rPr>
              <w:t xml:space="preserve">Article 29a – paragraph 1 – </w:t>
            </w:r>
            <w:proofErr w:type="spellStart"/>
            <w:r w:rsidRPr="00E76E73">
              <w:rPr>
                <w:rFonts w:ascii="Verdana" w:hAnsi="Verdana" w:cs="Times New Roman"/>
                <w:b w:val="0"/>
                <w:sz w:val="17"/>
                <w:szCs w:val="17"/>
                <w:lang w:val="en-GB"/>
              </w:rPr>
              <w:t>subpargraph</w:t>
            </w:r>
            <w:proofErr w:type="spellEnd"/>
            <w:r w:rsidRPr="00E76E73">
              <w:rPr>
                <w:rFonts w:ascii="Verdana" w:hAnsi="Verdana" w:cs="Times New Roman"/>
                <w:b w:val="0"/>
                <w:sz w:val="17"/>
                <w:szCs w:val="17"/>
                <w:lang w:val="en-GB"/>
              </w:rPr>
              <w:t xml:space="preserve"> 1 – point a – subparagraph 1 – point v b/ point b – subparagraph 1 – point vi b (new) / point c – subparagraph 1 – point viii b (new)</w:t>
            </w:r>
          </w:p>
        </w:tc>
        <w:tc>
          <w:tcPr>
            <w:tcW w:w="6116" w:type="dxa"/>
            <w:shd w:val="clear" w:color="auto" w:fill="auto"/>
          </w:tcPr>
          <w:p w14:paraId="71799A10" w14:textId="06FF0753" w:rsidR="00C37A6F" w:rsidRPr="00E76E73" w:rsidRDefault="00C37A6F" w:rsidP="00C37A6F">
            <w:pPr>
              <w:pStyle w:val="NormalBold"/>
              <w:rPr>
                <w:rFonts w:ascii="Verdana" w:hAnsi="Verdana" w:cs="Times New Roman"/>
                <w:b w:val="0"/>
                <w:sz w:val="17"/>
                <w:szCs w:val="17"/>
                <w:lang w:val="en-GB"/>
              </w:rPr>
            </w:pPr>
            <w:r w:rsidRPr="00E76E73">
              <w:rPr>
                <w:rFonts w:ascii="Verdana" w:hAnsi="Verdana" w:cs="Times New Roman"/>
                <w:b w:val="0"/>
                <w:sz w:val="17"/>
                <w:szCs w:val="17"/>
                <w:lang w:val="en-GB"/>
              </w:rPr>
              <w:t>Added a criterion that insurer has not been convicted/under investigation for money laundering or terrorist financing activities</w:t>
            </w:r>
          </w:p>
        </w:tc>
        <w:tc>
          <w:tcPr>
            <w:tcW w:w="1909" w:type="dxa"/>
            <w:shd w:val="clear" w:color="auto" w:fill="auto"/>
            <w:vAlign w:val="center"/>
          </w:tcPr>
          <w:p w14:paraId="6118394B" w14:textId="296AB52E"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Hahn</w:t>
            </w:r>
          </w:p>
        </w:tc>
        <w:tc>
          <w:tcPr>
            <w:tcW w:w="2543" w:type="dxa"/>
            <w:shd w:val="clear" w:color="auto" w:fill="auto"/>
            <w:vAlign w:val="center"/>
          </w:tcPr>
          <w:p w14:paraId="795AE3C2" w14:textId="0D6C33AD"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Proportionality criteria</w:t>
            </w:r>
          </w:p>
        </w:tc>
        <w:tc>
          <w:tcPr>
            <w:tcW w:w="1293" w:type="dxa"/>
            <w:shd w:val="clear" w:color="auto" w:fill="auto"/>
            <w:vAlign w:val="center"/>
          </w:tcPr>
          <w:p w14:paraId="2EE090CC" w14:textId="1BE6ED80" w:rsidR="00C37A6F" w:rsidRPr="00E76E73" w:rsidRDefault="00C37A6F" w:rsidP="0084620E">
            <w:pPr>
              <w:pStyle w:val="NormalBold"/>
              <w:jc w:val="center"/>
              <w:rPr>
                <w:rFonts w:ascii="Verdana" w:hAnsi="Verdana" w:cs="Times New Roman"/>
                <w:b w:val="0"/>
                <w:sz w:val="17"/>
                <w:szCs w:val="17"/>
                <w:lang w:val="en-GB"/>
              </w:rPr>
            </w:pPr>
            <w:r w:rsidRPr="00D43554">
              <w:rPr>
                <w:rFonts w:ascii="Verdana" w:hAnsi="Verdana"/>
                <w:color w:val="808080" w:themeColor="background1" w:themeShade="80"/>
                <w:sz w:val="17"/>
                <w:szCs w:val="17"/>
                <w:lang w:val="en-GB"/>
              </w:rPr>
              <w:t>Neutral</w:t>
            </w:r>
          </w:p>
        </w:tc>
      </w:tr>
      <w:tr w:rsidR="00C37A6F" w:rsidRPr="00D43554" w14:paraId="2C77D1EF" w14:textId="77777777" w:rsidTr="00424768">
        <w:trPr>
          <w:trHeight w:val="499"/>
        </w:trPr>
        <w:tc>
          <w:tcPr>
            <w:tcW w:w="689" w:type="dxa"/>
            <w:shd w:val="clear" w:color="auto" w:fill="auto"/>
            <w:vAlign w:val="center"/>
          </w:tcPr>
          <w:p w14:paraId="158C238C" w14:textId="636F2E83"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364</w:t>
            </w:r>
          </w:p>
        </w:tc>
        <w:tc>
          <w:tcPr>
            <w:tcW w:w="1909" w:type="dxa"/>
            <w:shd w:val="clear" w:color="auto" w:fill="auto"/>
            <w:vAlign w:val="center"/>
          </w:tcPr>
          <w:p w14:paraId="53AD2EE4" w14:textId="77777777" w:rsidR="00C37A6F" w:rsidRPr="00424768" w:rsidRDefault="00C37A6F" w:rsidP="0084620E">
            <w:pPr>
              <w:jc w:val="center"/>
              <w:rPr>
                <w:szCs w:val="17"/>
                <w:lang w:val="fr-BE"/>
              </w:rPr>
            </w:pPr>
            <w:r w:rsidRPr="00424768">
              <w:rPr>
                <w:rStyle w:val="HideTWBExt"/>
                <w:rFonts w:ascii="Verdana" w:hAnsi="Verdana"/>
                <w:sz w:val="17"/>
                <w:szCs w:val="17"/>
                <w:lang w:val="fr-BE"/>
                <w:specVanish w:val="0"/>
              </w:rPr>
              <w:t>&lt;Article2&gt;</w:t>
            </w:r>
            <w:r w:rsidRPr="00424768">
              <w:rPr>
                <w:szCs w:val="17"/>
                <w:lang w:val="fr-BE"/>
              </w:rPr>
              <w:t>Article 29a – paragraph 1 – subparagraph 1 – point b – subparagraph 1 –point iii</w:t>
            </w:r>
            <w:r w:rsidRPr="00424768">
              <w:rPr>
                <w:rStyle w:val="HideTWBExt"/>
                <w:rFonts w:ascii="Verdana" w:hAnsi="Verdana"/>
                <w:sz w:val="17"/>
                <w:szCs w:val="17"/>
                <w:lang w:val="fr-BE"/>
                <w:specVanish w:val="0"/>
              </w:rPr>
              <w:t>&lt;/Article2&gt;</w:t>
            </w:r>
          </w:p>
          <w:p w14:paraId="3C3C5E98" w14:textId="77777777" w:rsidR="00C37A6F" w:rsidRPr="00424768" w:rsidRDefault="00C37A6F" w:rsidP="0084620E">
            <w:pPr>
              <w:pStyle w:val="NormalBold"/>
              <w:jc w:val="center"/>
              <w:rPr>
                <w:rFonts w:ascii="Verdana" w:hAnsi="Verdana" w:cs="Times New Roman"/>
                <w:b w:val="0"/>
                <w:sz w:val="17"/>
                <w:szCs w:val="17"/>
              </w:rPr>
            </w:pPr>
          </w:p>
        </w:tc>
        <w:tc>
          <w:tcPr>
            <w:tcW w:w="6116" w:type="dxa"/>
            <w:shd w:val="clear" w:color="auto" w:fill="auto"/>
          </w:tcPr>
          <w:p w14:paraId="7305B18D" w14:textId="00C8A857" w:rsidR="00C37A6F" w:rsidRPr="00E76E73" w:rsidRDefault="00C37A6F" w:rsidP="00C37A6F">
            <w:pPr>
              <w:pStyle w:val="NormalBold"/>
              <w:rPr>
                <w:rFonts w:ascii="Verdana" w:hAnsi="Verdana" w:cs="Times New Roman"/>
                <w:b w:val="0"/>
                <w:sz w:val="17"/>
                <w:szCs w:val="17"/>
                <w:lang w:val="en-GB"/>
              </w:rPr>
            </w:pPr>
            <w:r w:rsidRPr="00E76E73">
              <w:rPr>
                <w:rFonts w:ascii="Verdana" w:hAnsi="Verdana" w:cs="Times New Roman"/>
                <w:b w:val="0"/>
                <w:sz w:val="17"/>
                <w:szCs w:val="17"/>
                <w:lang w:val="en-GB"/>
              </w:rPr>
              <w:t>Annual GWP is not higher than 100Mio is replaced with the insurer represents less than 10% of the home MS non-life insurance markets</w:t>
            </w:r>
          </w:p>
        </w:tc>
        <w:tc>
          <w:tcPr>
            <w:tcW w:w="1909" w:type="dxa"/>
            <w:shd w:val="clear" w:color="auto" w:fill="auto"/>
            <w:vAlign w:val="center"/>
          </w:tcPr>
          <w:p w14:paraId="3C79613D" w14:textId="2CEEB306"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Ferber</w:t>
            </w:r>
          </w:p>
        </w:tc>
        <w:tc>
          <w:tcPr>
            <w:tcW w:w="2543" w:type="dxa"/>
            <w:shd w:val="clear" w:color="auto" w:fill="auto"/>
            <w:vAlign w:val="center"/>
          </w:tcPr>
          <w:p w14:paraId="1794341C" w14:textId="4EE6CBD0"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Proportionality criteria</w:t>
            </w:r>
          </w:p>
        </w:tc>
        <w:tc>
          <w:tcPr>
            <w:tcW w:w="1293" w:type="dxa"/>
            <w:shd w:val="clear" w:color="auto" w:fill="auto"/>
            <w:vAlign w:val="center"/>
          </w:tcPr>
          <w:p w14:paraId="2B9FCC92" w14:textId="6800D6E1" w:rsidR="00C37A6F" w:rsidRPr="00E76E73" w:rsidRDefault="00BA5A9B" w:rsidP="0084620E">
            <w:pPr>
              <w:pStyle w:val="NormalBold"/>
              <w:jc w:val="center"/>
              <w:rPr>
                <w:rFonts w:ascii="Verdana" w:hAnsi="Verdana" w:cs="Times New Roman"/>
                <w:b w:val="0"/>
                <w:sz w:val="17"/>
                <w:szCs w:val="17"/>
                <w:lang w:val="en-GB"/>
              </w:rPr>
            </w:pPr>
            <w:r w:rsidRPr="00D43554">
              <w:rPr>
                <w:rFonts w:ascii="Verdana" w:hAnsi="Verdana"/>
                <w:color w:val="808080" w:themeColor="background1" w:themeShade="80"/>
                <w:sz w:val="17"/>
                <w:szCs w:val="17"/>
                <w:lang w:val="en-GB"/>
              </w:rPr>
              <w:t>Neutral</w:t>
            </w:r>
          </w:p>
        </w:tc>
      </w:tr>
      <w:tr w:rsidR="00C37A6F" w:rsidRPr="00D43554" w14:paraId="7709C467" w14:textId="77777777" w:rsidTr="00424768">
        <w:trPr>
          <w:trHeight w:val="499"/>
        </w:trPr>
        <w:tc>
          <w:tcPr>
            <w:tcW w:w="689" w:type="dxa"/>
            <w:shd w:val="clear" w:color="auto" w:fill="auto"/>
            <w:vAlign w:val="center"/>
          </w:tcPr>
          <w:p w14:paraId="1E1CE3F1" w14:textId="745DC66C"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377</w:t>
            </w:r>
          </w:p>
        </w:tc>
        <w:tc>
          <w:tcPr>
            <w:tcW w:w="1909" w:type="dxa"/>
            <w:shd w:val="clear" w:color="auto" w:fill="auto"/>
            <w:vAlign w:val="center"/>
          </w:tcPr>
          <w:p w14:paraId="3A0EBDD8" w14:textId="77777777" w:rsidR="00C37A6F" w:rsidRPr="00E76E73" w:rsidRDefault="00C37A6F" w:rsidP="0084620E">
            <w:pPr>
              <w:jc w:val="center"/>
              <w:rPr>
                <w:szCs w:val="17"/>
              </w:rPr>
            </w:pPr>
            <w:r w:rsidRPr="00D43554">
              <w:rPr>
                <w:rStyle w:val="HideTWBExt"/>
                <w:rFonts w:ascii="Verdana" w:hAnsi="Verdana"/>
                <w:sz w:val="17"/>
                <w:szCs w:val="17"/>
                <w:specVanish w:val="0"/>
              </w:rPr>
              <w:t>&lt;Article2&gt;</w:t>
            </w:r>
            <w:r w:rsidRPr="00E76E73">
              <w:rPr>
                <w:szCs w:val="17"/>
              </w:rPr>
              <w:t>Article 29a – paragraph 1 – subparagraph 2</w:t>
            </w:r>
            <w:r w:rsidRPr="00D43554">
              <w:rPr>
                <w:rStyle w:val="HideTWBExt"/>
                <w:rFonts w:ascii="Verdana" w:hAnsi="Verdana"/>
                <w:sz w:val="17"/>
                <w:szCs w:val="17"/>
                <w:specVanish w:val="0"/>
              </w:rPr>
              <w:t>&lt;/Article2&gt;</w:t>
            </w:r>
          </w:p>
          <w:p w14:paraId="55614CE5" w14:textId="77777777" w:rsidR="00C37A6F" w:rsidRPr="00E76E73" w:rsidRDefault="00C37A6F" w:rsidP="0084620E">
            <w:pPr>
              <w:pStyle w:val="NormalBold"/>
              <w:jc w:val="center"/>
              <w:rPr>
                <w:rFonts w:ascii="Verdana" w:hAnsi="Verdana" w:cs="Times New Roman"/>
                <w:b w:val="0"/>
                <w:sz w:val="17"/>
                <w:szCs w:val="17"/>
                <w:lang w:val="en-GB"/>
              </w:rPr>
            </w:pPr>
          </w:p>
        </w:tc>
        <w:tc>
          <w:tcPr>
            <w:tcW w:w="6116" w:type="dxa"/>
            <w:shd w:val="clear" w:color="auto" w:fill="auto"/>
          </w:tcPr>
          <w:p w14:paraId="10CFDDD0" w14:textId="5C56C778" w:rsidR="00C37A6F" w:rsidRPr="00E76E73" w:rsidRDefault="00C37A6F" w:rsidP="00C37A6F">
            <w:pPr>
              <w:pStyle w:val="NormalBold"/>
              <w:rPr>
                <w:rFonts w:ascii="Verdana" w:hAnsi="Verdana" w:cs="Times New Roman"/>
                <w:b w:val="0"/>
                <w:sz w:val="17"/>
                <w:szCs w:val="17"/>
                <w:lang w:val="en-GB"/>
              </w:rPr>
            </w:pPr>
            <w:r w:rsidRPr="00E76E73">
              <w:rPr>
                <w:rFonts w:ascii="Verdana" w:hAnsi="Verdana" w:cs="Times New Roman"/>
                <w:b w:val="0"/>
                <w:sz w:val="17"/>
                <w:szCs w:val="17"/>
                <w:lang w:val="en-GB"/>
              </w:rPr>
              <w:t>Deleted definition of traditional investments</w:t>
            </w:r>
          </w:p>
        </w:tc>
        <w:tc>
          <w:tcPr>
            <w:tcW w:w="1909" w:type="dxa"/>
            <w:shd w:val="clear" w:color="auto" w:fill="auto"/>
            <w:vAlign w:val="center"/>
          </w:tcPr>
          <w:p w14:paraId="117D2844" w14:textId="376BCDF4"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Yon-Courtin</w:t>
            </w:r>
            <w:r w:rsidRPr="00E76E73">
              <w:rPr>
                <w:rFonts w:ascii="Verdana" w:hAnsi="Verdana"/>
                <w:b w:val="0"/>
                <w:sz w:val="17"/>
                <w:szCs w:val="17"/>
                <w:lang w:val="en-GB"/>
              </w:rPr>
              <w:t xml:space="preserve">, </w:t>
            </w:r>
            <w:r w:rsidRPr="00E76E73">
              <w:rPr>
                <w:rFonts w:ascii="Verdana" w:hAnsi="Verdana" w:cs="Times New Roman"/>
                <w:b w:val="0"/>
                <w:sz w:val="17"/>
                <w:szCs w:val="17"/>
                <w:lang w:val="en-GB"/>
              </w:rPr>
              <w:t>Boyer</w:t>
            </w:r>
          </w:p>
        </w:tc>
        <w:tc>
          <w:tcPr>
            <w:tcW w:w="2543" w:type="dxa"/>
            <w:shd w:val="clear" w:color="auto" w:fill="auto"/>
            <w:vAlign w:val="center"/>
          </w:tcPr>
          <w:p w14:paraId="097E78EC" w14:textId="1E0890FA"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Proportionality criteria</w:t>
            </w:r>
          </w:p>
        </w:tc>
        <w:tc>
          <w:tcPr>
            <w:tcW w:w="1293" w:type="dxa"/>
            <w:shd w:val="clear" w:color="auto" w:fill="auto"/>
            <w:vAlign w:val="center"/>
          </w:tcPr>
          <w:p w14:paraId="53F19C66" w14:textId="2BF4CB04" w:rsidR="00C37A6F" w:rsidRPr="00E76E73" w:rsidRDefault="00C37A6F" w:rsidP="0084620E">
            <w:pPr>
              <w:pStyle w:val="NormalBold"/>
              <w:jc w:val="center"/>
              <w:rPr>
                <w:rFonts w:ascii="Verdana" w:hAnsi="Verdana" w:cs="Times New Roman"/>
                <w:b w:val="0"/>
                <w:sz w:val="17"/>
                <w:szCs w:val="17"/>
                <w:lang w:val="en-GB"/>
              </w:rPr>
            </w:pPr>
            <w:r w:rsidRPr="00D43554">
              <w:rPr>
                <w:rFonts w:ascii="Verdana" w:hAnsi="Verdana"/>
                <w:color w:val="F79646" w:themeColor="accent6"/>
                <w:sz w:val="17"/>
                <w:szCs w:val="17"/>
                <w:lang w:val="en-GB"/>
              </w:rPr>
              <w:t>Mixed</w:t>
            </w:r>
          </w:p>
        </w:tc>
      </w:tr>
      <w:tr w:rsidR="00C37A6F" w:rsidRPr="00D43554" w14:paraId="5831C311" w14:textId="77777777" w:rsidTr="00424768">
        <w:trPr>
          <w:trHeight w:val="499"/>
        </w:trPr>
        <w:tc>
          <w:tcPr>
            <w:tcW w:w="689" w:type="dxa"/>
            <w:shd w:val="clear" w:color="auto" w:fill="auto"/>
            <w:vAlign w:val="center"/>
          </w:tcPr>
          <w:p w14:paraId="3E89AAFC" w14:textId="096AB733"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378</w:t>
            </w:r>
          </w:p>
        </w:tc>
        <w:tc>
          <w:tcPr>
            <w:tcW w:w="1909" w:type="dxa"/>
            <w:shd w:val="clear" w:color="auto" w:fill="auto"/>
            <w:vAlign w:val="center"/>
          </w:tcPr>
          <w:p w14:paraId="36AFE358" w14:textId="77777777" w:rsidR="00C37A6F" w:rsidRPr="00E76E73" w:rsidRDefault="00C37A6F" w:rsidP="0084620E">
            <w:pPr>
              <w:jc w:val="center"/>
              <w:rPr>
                <w:szCs w:val="17"/>
              </w:rPr>
            </w:pPr>
            <w:r w:rsidRPr="00D43554">
              <w:rPr>
                <w:rStyle w:val="HideTWBExt"/>
                <w:rFonts w:ascii="Verdana" w:hAnsi="Verdana"/>
                <w:sz w:val="17"/>
                <w:szCs w:val="17"/>
                <w:specVanish w:val="0"/>
              </w:rPr>
              <w:t>&lt;Article2&gt;</w:t>
            </w:r>
            <w:r w:rsidRPr="00E76E73">
              <w:rPr>
                <w:szCs w:val="17"/>
              </w:rPr>
              <w:t>Article 29a – paragraph 1 – subparagraph 2</w:t>
            </w:r>
            <w:r w:rsidRPr="00D43554">
              <w:rPr>
                <w:rStyle w:val="HideTWBExt"/>
                <w:rFonts w:ascii="Verdana" w:hAnsi="Verdana"/>
                <w:sz w:val="17"/>
                <w:szCs w:val="17"/>
                <w:specVanish w:val="0"/>
              </w:rPr>
              <w:t>&lt;/Article2&gt;</w:t>
            </w:r>
          </w:p>
          <w:p w14:paraId="427167EE" w14:textId="77777777" w:rsidR="00C37A6F" w:rsidRPr="00E76E73" w:rsidRDefault="00C37A6F" w:rsidP="0084620E">
            <w:pPr>
              <w:pStyle w:val="NormalBold"/>
              <w:jc w:val="center"/>
              <w:rPr>
                <w:rFonts w:ascii="Verdana" w:hAnsi="Verdana" w:cs="Times New Roman"/>
                <w:b w:val="0"/>
                <w:sz w:val="17"/>
                <w:szCs w:val="17"/>
                <w:lang w:val="en-GB"/>
              </w:rPr>
            </w:pPr>
          </w:p>
        </w:tc>
        <w:tc>
          <w:tcPr>
            <w:tcW w:w="6116" w:type="dxa"/>
            <w:shd w:val="clear" w:color="auto" w:fill="auto"/>
          </w:tcPr>
          <w:p w14:paraId="13ACDBE6" w14:textId="22488C43" w:rsidR="00C37A6F" w:rsidRPr="00E76E73" w:rsidRDefault="00C37A6F" w:rsidP="00C37A6F">
            <w:pPr>
              <w:pStyle w:val="NormalBold"/>
              <w:rPr>
                <w:rFonts w:ascii="Verdana" w:hAnsi="Verdana" w:cs="Times New Roman"/>
                <w:b w:val="0"/>
                <w:sz w:val="17"/>
                <w:szCs w:val="17"/>
                <w:lang w:val="en-GB"/>
              </w:rPr>
            </w:pPr>
            <w:r w:rsidRPr="00E76E73">
              <w:rPr>
                <w:rFonts w:ascii="Verdana" w:hAnsi="Verdana" w:cs="Times New Roman"/>
                <w:b w:val="0"/>
                <w:sz w:val="17"/>
                <w:szCs w:val="17"/>
                <w:lang w:val="en-GB"/>
              </w:rPr>
              <w:t>Traditional investments also include real estate, loans including private loans, promissory notes and mortgages</w:t>
            </w:r>
          </w:p>
        </w:tc>
        <w:tc>
          <w:tcPr>
            <w:tcW w:w="1909" w:type="dxa"/>
            <w:shd w:val="clear" w:color="auto" w:fill="auto"/>
            <w:vAlign w:val="center"/>
          </w:tcPr>
          <w:p w14:paraId="697CB023" w14:textId="6974642D" w:rsidR="00C37A6F" w:rsidRPr="00E76E73" w:rsidRDefault="00C37A6F" w:rsidP="0084620E">
            <w:pPr>
              <w:pStyle w:val="NormalBold"/>
              <w:jc w:val="center"/>
              <w:rPr>
                <w:rFonts w:ascii="Verdana" w:hAnsi="Verdana" w:cs="Times New Roman"/>
                <w:b w:val="0"/>
                <w:sz w:val="17"/>
                <w:szCs w:val="17"/>
                <w:lang w:val="en-GB"/>
              </w:rPr>
            </w:pPr>
            <w:proofErr w:type="spellStart"/>
            <w:r w:rsidRPr="00E76E73">
              <w:rPr>
                <w:rFonts w:ascii="Verdana" w:hAnsi="Verdana" w:cs="Times New Roman"/>
                <w:b w:val="0"/>
                <w:sz w:val="17"/>
                <w:szCs w:val="17"/>
                <w:lang w:val="en-GB"/>
              </w:rPr>
              <w:t>Zanni</w:t>
            </w:r>
            <w:proofErr w:type="spellEnd"/>
            <w:r w:rsidRPr="00E76E73">
              <w:rPr>
                <w:rFonts w:ascii="Verdana" w:hAnsi="Verdana" w:cs="Times New Roman"/>
                <w:b w:val="0"/>
                <w:sz w:val="17"/>
                <w:szCs w:val="17"/>
                <w:lang w:val="en-GB"/>
              </w:rPr>
              <w:t>, Grant, Rinaldi</w:t>
            </w:r>
          </w:p>
        </w:tc>
        <w:tc>
          <w:tcPr>
            <w:tcW w:w="2543" w:type="dxa"/>
            <w:shd w:val="clear" w:color="auto" w:fill="auto"/>
            <w:vAlign w:val="center"/>
          </w:tcPr>
          <w:p w14:paraId="6F7E27A6" w14:textId="42D42152"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Proportionality criteria</w:t>
            </w:r>
          </w:p>
        </w:tc>
        <w:tc>
          <w:tcPr>
            <w:tcW w:w="1293" w:type="dxa"/>
            <w:shd w:val="clear" w:color="auto" w:fill="auto"/>
            <w:vAlign w:val="center"/>
          </w:tcPr>
          <w:p w14:paraId="55C3EB96" w14:textId="3298F99C" w:rsidR="00C37A6F" w:rsidRPr="00E76E73" w:rsidRDefault="00C37A6F" w:rsidP="0084620E">
            <w:pPr>
              <w:pStyle w:val="NormalBold"/>
              <w:jc w:val="center"/>
              <w:rPr>
                <w:rFonts w:ascii="Verdana" w:hAnsi="Verdana" w:cs="Times New Roman"/>
                <w:b w:val="0"/>
                <w:sz w:val="17"/>
                <w:szCs w:val="17"/>
                <w:lang w:val="en-GB"/>
              </w:rPr>
            </w:pPr>
            <w:r w:rsidRPr="00D43554">
              <w:rPr>
                <w:rFonts w:ascii="Verdana" w:hAnsi="Verdana"/>
                <w:color w:val="00B050"/>
                <w:sz w:val="17"/>
                <w:szCs w:val="17"/>
                <w:lang w:val="en-GB"/>
              </w:rPr>
              <w:t>Positive</w:t>
            </w:r>
          </w:p>
        </w:tc>
      </w:tr>
      <w:tr w:rsidR="00C37A6F" w:rsidRPr="00D43554" w14:paraId="541980C2" w14:textId="77777777" w:rsidTr="00424768">
        <w:trPr>
          <w:trHeight w:val="499"/>
        </w:trPr>
        <w:tc>
          <w:tcPr>
            <w:tcW w:w="689" w:type="dxa"/>
            <w:shd w:val="clear" w:color="auto" w:fill="auto"/>
            <w:vAlign w:val="center"/>
          </w:tcPr>
          <w:p w14:paraId="22AF27BE" w14:textId="44147CCF"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379</w:t>
            </w:r>
          </w:p>
        </w:tc>
        <w:tc>
          <w:tcPr>
            <w:tcW w:w="1909" w:type="dxa"/>
            <w:shd w:val="clear" w:color="auto" w:fill="auto"/>
            <w:vAlign w:val="center"/>
          </w:tcPr>
          <w:p w14:paraId="34947A0B" w14:textId="31A09A0A" w:rsidR="00C37A6F" w:rsidRPr="00424768" w:rsidRDefault="00C37A6F" w:rsidP="0084620E">
            <w:pPr>
              <w:pStyle w:val="NormalBold"/>
              <w:jc w:val="center"/>
              <w:rPr>
                <w:rFonts w:ascii="Verdana" w:hAnsi="Verdana" w:cs="Times New Roman"/>
                <w:b w:val="0"/>
                <w:sz w:val="17"/>
                <w:szCs w:val="17"/>
              </w:rPr>
            </w:pPr>
            <w:r w:rsidRPr="00424768">
              <w:rPr>
                <w:rFonts w:ascii="Verdana" w:hAnsi="Verdana" w:cs="Times New Roman"/>
                <w:b w:val="0"/>
                <w:sz w:val="17"/>
                <w:szCs w:val="17"/>
              </w:rPr>
              <w:t>Article 29a – paragraph 3 – point a</w:t>
            </w:r>
          </w:p>
        </w:tc>
        <w:tc>
          <w:tcPr>
            <w:tcW w:w="6116" w:type="dxa"/>
            <w:shd w:val="clear" w:color="auto" w:fill="auto"/>
          </w:tcPr>
          <w:p w14:paraId="3F1ABF8E" w14:textId="01AF01FA" w:rsidR="00C37A6F" w:rsidRPr="00E76E73" w:rsidRDefault="00C37A6F" w:rsidP="00C37A6F">
            <w:pPr>
              <w:pStyle w:val="NormalBold"/>
              <w:rPr>
                <w:rFonts w:ascii="Verdana" w:hAnsi="Verdana" w:cs="Times New Roman"/>
                <w:b w:val="0"/>
                <w:sz w:val="17"/>
                <w:szCs w:val="17"/>
                <w:lang w:val="en-GB"/>
              </w:rPr>
            </w:pPr>
            <w:r w:rsidRPr="00E76E73">
              <w:rPr>
                <w:rFonts w:ascii="Verdana" w:hAnsi="Verdana" w:cs="Times New Roman"/>
                <w:b w:val="0"/>
                <w:sz w:val="17"/>
                <w:szCs w:val="17"/>
                <w:lang w:val="en-GB"/>
              </w:rPr>
              <w:t>IM and PIM users can be eligible for LRPU status</w:t>
            </w:r>
          </w:p>
        </w:tc>
        <w:tc>
          <w:tcPr>
            <w:tcW w:w="1909" w:type="dxa"/>
            <w:shd w:val="clear" w:color="auto" w:fill="auto"/>
            <w:vAlign w:val="center"/>
          </w:tcPr>
          <w:p w14:paraId="00336FF9" w14:textId="0D4FD0D8"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Fitzgerald</w:t>
            </w:r>
          </w:p>
        </w:tc>
        <w:tc>
          <w:tcPr>
            <w:tcW w:w="2543" w:type="dxa"/>
            <w:shd w:val="clear" w:color="auto" w:fill="auto"/>
            <w:vAlign w:val="center"/>
          </w:tcPr>
          <w:p w14:paraId="505B5E93" w14:textId="1EBD07BC"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Proportionality criteria</w:t>
            </w:r>
          </w:p>
        </w:tc>
        <w:tc>
          <w:tcPr>
            <w:tcW w:w="1293" w:type="dxa"/>
            <w:shd w:val="clear" w:color="auto" w:fill="auto"/>
            <w:vAlign w:val="center"/>
          </w:tcPr>
          <w:p w14:paraId="5C48134E" w14:textId="6B084591" w:rsidR="00C37A6F" w:rsidRPr="00E76E73" w:rsidRDefault="00C37A6F" w:rsidP="0084620E">
            <w:pPr>
              <w:pStyle w:val="NormalBold"/>
              <w:jc w:val="center"/>
              <w:rPr>
                <w:rFonts w:ascii="Verdana" w:hAnsi="Verdana" w:cs="Times New Roman"/>
                <w:b w:val="0"/>
                <w:sz w:val="17"/>
                <w:szCs w:val="17"/>
                <w:lang w:val="en-GB"/>
              </w:rPr>
            </w:pPr>
            <w:r w:rsidRPr="00D43554">
              <w:rPr>
                <w:rFonts w:ascii="Verdana" w:hAnsi="Verdana"/>
                <w:color w:val="00B050"/>
                <w:sz w:val="17"/>
                <w:szCs w:val="17"/>
                <w:lang w:val="en-GB"/>
              </w:rPr>
              <w:t>Positive</w:t>
            </w:r>
          </w:p>
        </w:tc>
      </w:tr>
      <w:tr w:rsidR="00C37A6F" w:rsidRPr="00D43554" w14:paraId="70B55CDA" w14:textId="77777777" w:rsidTr="00424768">
        <w:trPr>
          <w:trHeight w:val="499"/>
        </w:trPr>
        <w:tc>
          <w:tcPr>
            <w:tcW w:w="689" w:type="dxa"/>
            <w:shd w:val="clear" w:color="auto" w:fill="auto"/>
            <w:vAlign w:val="center"/>
          </w:tcPr>
          <w:p w14:paraId="7B93702D" w14:textId="7D7C4D6A"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380</w:t>
            </w:r>
          </w:p>
        </w:tc>
        <w:tc>
          <w:tcPr>
            <w:tcW w:w="1909" w:type="dxa"/>
            <w:shd w:val="clear" w:color="auto" w:fill="auto"/>
            <w:vAlign w:val="center"/>
          </w:tcPr>
          <w:p w14:paraId="0193CD3A" w14:textId="77777777" w:rsidR="00C37A6F" w:rsidRPr="00E76E73" w:rsidRDefault="00C37A6F" w:rsidP="0084620E">
            <w:pPr>
              <w:jc w:val="center"/>
              <w:rPr>
                <w:szCs w:val="17"/>
              </w:rPr>
            </w:pPr>
            <w:r w:rsidRPr="00D43554">
              <w:rPr>
                <w:rStyle w:val="HideTWBExt"/>
                <w:rFonts w:ascii="Verdana" w:hAnsi="Verdana"/>
                <w:sz w:val="17"/>
                <w:szCs w:val="17"/>
                <w:specVanish w:val="0"/>
              </w:rPr>
              <w:t>&lt;Article2&gt;</w:t>
            </w:r>
            <w:r w:rsidRPr="00E76E73">
              <w:rPr>
                <w:szCs w:val="17"/>
              </w:rPr>
              <w:t>Article 29b – paragraph 1</w:t>
            </w:r>
            <w:r w:rsidRPr="00D43554">
              <w:rPr>
                <w:rStyle w:val="HideTWBExt"/>
                <w:rFonts w:ascii="Verdana" w:hAnsi="Verdana"/>
                <w:sz w:val="17"/>
                <w:szCs w:val="17"/>
                <w:specVanish w:val="0"/>
              </w:rPr>
              <w:t>&lt;/Article2&gt;</w:t>
            </w:r>
          </w:p>
          <w:p w14:paraId="6243687B" w14:textId="77777777" w:rsidR="00C37A6F" w:rsidRPr="00E76E73" w:rsidRDefault="00C37A6F" w:rsidP="0084620E">
            <w:pPr>
              <w:pStyle w:val="NormalBold"/>
              <w:jc w:val="center"/>
              <w:rPr>
                <w:rFonts w:ascii="Verdana" w:hAnsi="Verdana" w:cs="Times New Roman"/>
                <w:b w:val="0"/>
                <w:sz w:val="17"/>
                <w:szCs w:val="17"/>
                <w:lang w:val="en-GB"/>
              </w:rPr>
            </w:pPr>
          </w:p>
        </w:tc>
        <w:tc>
          <w:tcPr>
            <w:tcW w:w="6116" w:type="dxa"/>
            <w:shd w:val="clear" w:color="auto" w:fill="auto"/>
          </w:tcPr>
          <w:p w14:paraId="4F0C1385" w14:textId="082F2738" w:rsidR="00C37A6F" w:rsidRPr="00E76E73" w:rsidRDefault="00C37A6F" w:rsidP="00C37A6F">
            <w:pPr>
              <w:pStyle w:val="NormalBold"/>
              <w:rPr>
                <w:rFonts w:ascii="Verdana" w:hAnsi="Verdana" w:cs="Times New Roman"/>
                <w:b w:val="0"/>
                <w:sz w:val="17"/>
                <w:szCs w:val="17"/>
                <w:lang w:val="en-GB"/>
              </w:rPr>
            </w:pPr>
            <w:r w:rsidRPr="00E76E73">
              <w:rPr>
                <w:rFonts w:ascii="Verdana" w:hAnsi="Verdana" w:cs="Times New Roman"/>
                <w:b w:val="0"/>
                <w:sz w:val="17"/>
                <w:szCs w:val="17"/>
                <w:lang w:val="en-GB"/>
              </w:rPr>
              <w:t>With a view to be classified as LRPU replaced with ‘and classification’</w:t>
            </w:r>
          </w:p>
        </w:tc>
        <w:tc>
          <w:tcPr>
            <w:tcW w:w="1909" w:type="dxa"/>
            <w:shd w:val="clear" w:color="auto" w:fill="auto"/>
            <w:vAlign w:val="center"/>
          </w:tcPr>
          <w:p w14:paraId="1D55B12E" w14:textId="34811BA8"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Fitzgerald</w:t>
            </w:r>
          </w:p>
        </w:tc>
        <w:tc>
          <w:tcPr>
            <w:tcW w:w="2543" w:type="dxa"/>
            <w:shd w:val="clear" w:color="auto" w:fill="auto"/>
            <w:vAlign w:val="center"/>
          </w:tcPr>
          <w:p w14:paraId="7B7AFFB5" w14:textId="14003842"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Proportionality</w:t>
            </w:r>
          </w:p>
        </w:tc>
        <w:tc>
          <w:tcPr>
            <w:tcW w:w="1293" w:type="dxa"/>
            <w:shd w:val="clear" w:color="auto" w:fill="auto"/>
            <w:vAlign w:val="center"/>
          </w:tcPr>
          <w:p w14:paraId="38B0C654" w14:textId="0FD41248" w:rsidR="00C37A6F" w:rsidRPr="00E76E73" w:rsidRDefault="00C37A6F" w:rsidP="0084620E">
            <w:pPr>
              <w:pStyle w:val="NormalBold"/>
              <w:jc w:val="center"/>
              <w:rPr>
                <w:rFonts w:ascii="Verdana" w:hAnsi="Verdana" w:cs="Times New Roman"/>
                <w:b w:val="0"/>
                <w:sz w:val="17"/>
                <w:szCs w:val="17"/>
                <w:lang w:val="en-GB"/>
              </w:rPr>
            </w:pPr>
            <w:r w:rsidRPr="00D43554">
              <w:rPr>
                <w:rFonts w:ascii="Verdana" w:hAnsi="Verdana"/>
                <w:color w:val="00B050"/>
                <w:sz w:val="17"/>
                <w:szCs w:val="17"/>
                <w:lang w:val="en-GB"/>
              </w:rPr>
              <w:t>Positive</w:t>
            </w:r>
          </w:p>
        </w:tc>
      </w:tr>
      <w:tr w:rsidR="00C37A6F" w:rsidRPr="00D43554" w14:paraId="42212E42" w14:textId="77777777" w:rsidTr="00424768">
        <w:trPr>
          <w:trHeight w:val="499"/>
        </w:trPr>
        <w:tc>
          <w:tcPr>
            <w:tcW w:w="689" w:type="dxa"/>
            <w:shd w:val="clear" w:color="auto" w:fill="auto"/>
            <w:vAlign w:val="center"/>
          </w:tcPr>
          <w:p w14:paraId="6EE1A575" w14:textId="6D924191"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381</w:t>
            </w:r>
          </w:p>
        </w:tc>
        <w:tc>
          <w:tcPr>
            <w:tcW w:w="1909" w:type="dxa"/>
            <w:shd w:val="clear" w:color="auto" w:fill="auto"/>
            <w:vAlign w:val="center"/>
          </w:tcPr>
          <w:p w14:paraId="7B361A34" w14:textId="77777777" w:rsidR="00C37A6F" w:rsidRPr="00424768" w:rsidRDefault="00C37A6F" w:rsidP="00542DCE">
            <w:pPr>
              <w:jc w:val="center"/>
              <w:rPr>
                <w:szCs w:val="17"/>
                <w:lang w:val="fr-BE"/>
              </w:rPr>
            </w:pPr>
            <w:r w:rsidRPr="00424768">
              <w:rPr>
                <w:rStyle w:val="HideTWBExt"/>
                <w:rFonts w:ascii="Verdana" w:hAnsi="Verdana"/>
                <w:sz w:val="17"/>
                <w:szCs w:val="17"/>
                <w:lang w:val="fr-BE"/>
                <w:specVanish w:val="0"/>
              </w:rPr>
              <w:t>&lt;Article2&gt;</w:t>
            </w:r>
            <w:r w:rsidRPr="00424768">
              <w:rPr>
                <w:szCs w:val="17"/>
                <w:lang w:val="fr-BE"/>
              </w:rPr>
              <w:t>Article 29b – paragraph 2 – point b</w:t>
            </w:r>
            <w:r w:rsidRPr="00424768">
              <w:rPr>
                <w:rStyle w:val="HideTWBExt"/>
                <w:rFonts w:ascii="Verdana" w:hAnsi="Verdana"/>
                <w:sz w:val="17"/>
                <w:szCs w:val="17"/>
                <w:lang w:val="fr-BE"/>
                <w:specVanish w:val="0"/>
              </w:rPr>
              <w:t>&lt;/Article2&gt;</w:t>
            </w:r>
          </w:p>
          <w:p w14:paraId="61956553" w14:textId="77777777" w:rsidR="00C37A6F" w:rsidRPr="00424768" w:rsidRDefault="00C37A6F" w:rsidP="00542DCE">
            <w:pPr>
              <w:pStyle w:val="NormalBold"/>
              <w:jc w:val="center"/>
              <w:rPr>
                <w:rFonts w:ascii="Verdana" w:hAnsi="Verdana" w:cs="Times New Roman"/>
                <w:b w:val="0"/>
                <w:sz w:val="17"/>
                <w:szCs w:val="17"/>
              </w:rPr>
            </w:pPr>
          </w:p>
        </w:tc>
        <w:tc>
          <w:tcPr>
            <w:tcW w:w="6116" w:type="dxa"/>
            <w:shd w:val="clear" w:color="auto" w:fill="auto"/>
          </w:tcPr>
          <w:p w14:paraId="3B5D09AE" w14:textId="6D6EDB75" w:rsidR="00C37A6F" w:rsidRPr="00E76E73" w:rsidRDefault="00C37A6F" w:rsidP="00C37A6F">
            <w:pPr>
              <w:pStyle w:val="NormalBold"/>
              <w:rPr>
                <w:rFonts w:ascii="Verdana" w:hAnsi="Verdana" w:cs="Times New Roman"/>
                <w:b w:val="0"/>
                <w:sz w:val="17"/>
                <w:szCs w:val="17"/>
                <w:lang w:val="en-GB"/>
              </w:rPr>
            </w:pPr>
            <w:r w:rsidRPr="00E76E73">
              <w:rPr>
                <w:rFonts w:ascii="Verdana" w:hAnsi="Verdana" w:cs="Times New Roman"/>
                <w:b w:val="0"/>
                <w:sz w:val="17"/>
                <w:szCs w:val="17"/>
                <w:lang w:val="en-GB"/>
              </w:rPr>
              <w:t>Deletion of requirement to have a declaration that no strategic change is planned within the next three years</w:t>
            </w:r>
          </w:p>
        </w:tc>
        <w:tc>
          <w:tcPr>
            <w:tcW w:w="1909" w:type="dxa"/>
            <w:shd w:val="clear" w:color="auto" w:fill="auto"/>
            <w:vAlign w:val="center"/>
          </w:tcPr>
          <w:p w14:paraId="7B491A98" w14:textId="070A583C"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Fitzgerald</w:t>
            </w:r>
          </w:p>
        </w:tc>
        <w:tc>
          <w:tcPr>
            <w:tcW w:w="2543" w:type="dxa"/>
            <w:shd w:val="clear" w:color="auto" w:fill="auto"/>
            <w:vAlign w:val="center"/>
          </w:tcPr>
          <w:p w14:paraId="3E8E36E0" w14:textId="772444CC"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Proportionality</w:t>
            </w:r>
          </w:p>
        </w:tc>
        <w:tc>
          <w:tcPr>
            <w:tcW w:w="1293" w:type="dxa"/>
            <w:shd w:val="clear" w:color="auto" w:fill="auto"/>
            <w:vAlign w:val="center"/>
          </w:tcPr>
          <w:p w14:paraId="70DBFA60" w14:textId="7C8BBC28" w:rsidR="00C37A6F" w:rsidRPr="00E76E73" w:rsidRDefault="00C37A6F" w:rsidP="0084620E">
            <w:pPr>
              <w:pStyle w:val="NormalBold"/>
              <w:jc w:val="center"/>
              <w:rPr>
                <w:rFonts w:ascii="Verdana" w:hAnsi="Verdana" w:cs="Times New Roman"/>
                <w:b w:val="0"/>
                <w:sz w:val="17"/>
                <w:szCs w:val="17"/>
                <w:lang w:val="en-GB"/>
              </w:rPr>
            </w:pPr>
            <w:r w:rsidRPr="00D43554">
              <w:rPr>
                <w:rFonts w:ascii="Verdana" w:hAnsi="Verdana"/>
                <w:color w:val="00B050"/>
                <w:sz w:val="17"/>
                <w:szCs w:val="17"/>
                <w:lang w:val="en-GB"/>
              </w:rPr>
              <w:t>Positive</w:t>
            </w:r>
          </w:p>
        </w:tc>
      </w:tr>
      <w:tr w:rsidR="00C37A6F" w:rsidRPr="00D43554" w14:paraId="0F87D9E4" w14:textId="77777777" w:rsidTr="00424768">
        <w:trPr>
          <w:trHeight w:val="499"/>
        </w:trPr>
        <w:tc>
          <w:tcPr>
            <w:tcW w:w="689" w:type="dxa"/>
            <w:shd w:val="clear" w:color="auto" w:fill="auto"/>
            <w:vAlign w:val="center"/>
          </w:tcPr>
          <w:p w14:paraId="62DAF20E" w14:textId="6E018215"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lastRenderedPageBreak/>
              <w:t>382</w:t>
            </w:r>
          </w:p>
        </w:tc>
        <w:tc>
          <w:tcPr>
            <w:tcW w:w="1909" w:type="dxa"/>
            <w:shd w:val="clear" w:color="auto" w:fill="auto"/>
            <w:vAlign w:val="center"/>
          </w:tcPr>
          <w:p w14:paraId="3EB41845" w14:textId="1D59CEC9" w:rsidR="00C37A6F" w:rsidRPr="00424768" w:rsidRDefault="00C37A6F" w:rsidP="0084620E">
            <w:pPr>
              <w:jc w:val="center"/>
              <w:rPr>
                <w:szCs w:val="17"/>
                <w:lang w:val="fr-BE"/>
              </w:rPr>
            </w:pPr>
            <w:r w:rsidRPr="00424768">
              <w:rPr>
                <w:rStyle w:val="HideTWBExt"/>
                <w:rFonts w:ascii="Verdana" w:hAnsi="Verdana"/>
                <w:sz w:val="17"/>
                <w:szCs w:val="17"/>
                <w:lang w:val="fr-BE"/>
                <w:specVanish w:val="0"/>
              </w:rPr>
              <w:t>&lt;Article2&gt;</w:t>
            </w:r>
            <w:r w:rsidRPr="00424768">
              <w:rPr>
                <w:szCs w:val="17"/>
                <w:lang w:val="fr-BE"/>
              </w:rPr>
              <w:t>Article 29b – paragraph 2 – point b</w:t>
            </w:r>
            <w:r w:rsidRPr="00424768">
              <w:rPr>
                <w:rStyle w:val="HideTWBExt"/>
                <w:rFonts w:ascii="Verdana" w:hAnsi="Verdana"/>
                <w:sz w:val="17"/>
                <w:szCs w:val="17"/>
                <w:lang w:val="fr-BE"/>
                <w:specVanish w:val="0"/>
              </w:rPr>
              <w:t>&lt;/Article2&gt;</w:t>
            </w:r>
          </w:p>
          <w:p w14:paraId="0484FD4C" w14:textId="77777777" w:rsidR="00C37A6F" w:rsidRPr="00424768" w:rsidRDefault="00C37A6F" w:rsidP="0084620E">
            <w:pPr>
              <w:pStyle w:val="NormalBold"/>
              <w:jc w:val="center"/>
              <w:rPr>
                <w:rFonts w:ascii="Verdana" w:hAnsi="Verdana" w:cs="Times New Roman"/>
                <w:b w:val="0"/>
                <w:sz w:val="17"/>
                <w:szCs w:val="17"/>
              </w:rPr>
            </w:pPr>
          </w:p>
        </w:tc>
        <w:tc>
          <w:tcPr>
            <w:tcW w:w="6116" w:type="dxa"/>
            <w:shd w:val="clear" w:color="auto" w:fill="auto"/>
          </w:tcPr>
          <w:p w14:paraId="7CF609E6" w14:textId="03856C83" w:rsidR="00C37A6F" w:rsidRPr="00E76E73" w:rsidRDefault="00C37A6F" w:rsidP="00C37A6F">
            <w:pPr>
              <w:pStyle w:val="NormalBold"/>
              <w:rPr>
                <w:rFonts w:ascii="Verdana" w:hAnsi="Verdana" w:cs="Times New Roman"/>
                <w:b w:val="0"/>
                <w:sz w:val="17"/>
                <w:szCs w:val="17"/>
                <w:lang w:val="en-GB"/>
              </w:rPr>
            </w:pPr>
            <w:r w:rsidRPr="00E76E73">
              <w:rPr>
                <w:rFonts w:ascii="Verdana" w:hAnsi="Verdana" w:cs="Times New Roman"/>
                <w:b w:val="0"/>
                <w:sz w:val="17"/>
                <w:szCs w:val="17"/>
                <w:lang w:val="en-GB"/>
              </w:rPr>
              <w:t xml:space="preserve">requirement to have a declaration that no strategic change is planned within the next </w:t>
            </w:r>
            <w:r w:rsidRPr="000D4029">
              <w:rPr>
                <w:rFonts w:ascii="Verdana" w:hAnsi="Verdana" w:cs="Times New Roman"/>
                <w:b w:val="0"/>
                <w:sz w:val="17"/>
                <w:szCs w:val="17"/>
                <w:lang w:val="en-GB"/>
              </w:rPr>
              <w:t>five</w:t>
            </w:r>
            <w:r w:rsidRPr="00E76E73">
              <w:rPr>
                <w:rFonts w:ascii="Verdana" w:hAnsi="Verdana" w:cs="Times New Roman"/>
                <w:b w:val="0"/>
                <w:sz w:val="17"/>
                <w:szCs w:val="17"/>
                <w:lang w:val="en-GB"/>
              </w:rPr>
              <w:t xml:space="preserve"> years (instead of 3)</w:t>
            </w:r>
          </w:p>
        </w:tc>
        <w:tc>
          <w:tcPr>
            <w:tcW w:w="1909" w:type="dxa"/>
            <w:shd w:val="clear" w:color="auto" w:fill="auto"/>
            <w:vAlign w:val="center"/>
          </w:tcPr>
          <w:p w14:paraId="05E6ACBA" w14:textId="70DFE9BB" w:rsidR="00C37A6F" w:rsidRPr="00E76E73" w:rsidRDefault="00C37A6F" w:rsidP="0084620E">
            <w:pPr>
              <w:pStyle w:val="NormalBold"/>
              <w:jc w:val="center"/>
              <w:rPr>
                <w:rFonts w:ascii="Verdana" w:hAnsi="Verdana" w:cs="Times New Roman"/>
                <w:b w:val="0"/>
                <w:sz w:val="17"/>
                <w:szCs w:val="17"/>
                <w:lang w:val="en-GB"/>
              </w:rPr>
            </w:pPr>
            <w:proofErr w:type="spellStart"/>
            <w:r w:rsidRPr="000D4029">
              <w:rPr>
                <w:rFonts w:ascii="Verdana" w:hAnsi="Verdana" w:cs="Times New Roman"/>
                <w:b w:val="0"/>
                <w:sz w:val="17"/>
                <w:szCs w:val="17"/>
                <w:lang w:val="en-GB"/>
              </w:rPr>
              <w:t>Heinäluoma</w:t>
            </w:r>
            <w:proofErr w:type="spellEnd"/>
            <w:r w:rsidRPr="000D4029">
              <w:rPr>
                <w:rFonts w:ascii="Verdana" w:hAnsi="Verdana" w:cs="Times New Roman"/>
                <w:b w:val="0"/>
                <w:sz w:val="17"/>
                <w:szCs w:val="17"/>
                <w:lang w:val="en-GB"/>
              </w:rPr>
              <w:t xml:space="preserve">, </w:t>
            </w:r>
            <w:proofErr w:type="spellStart"/>
            <w:r w:rsidRPr="000D4029">
              <w:rPr>
                <w:rFonts w:ascii="Verdana" w:hAnsi="Verdana" w:cs="Times New Roman"/>
                <w:b w:val="0"/>
                <w:sz w:val="17"/>
                <w:szCs w:val="17"/>
                <w:lang w:val="en-GB"/>
              </w:rPr>
              <w:t>Lalucq</w:t>
            </w:r>
            <w:proofErr w:type="spellEnd"/>
          </w:p>
        </w:tc>
        <w:tc>
          <w:tcPr>
            <w:tcW w:w="2543" w:type="dxa"/>
            <w:shd w:val="clear" w:color="auto" w:fill="auto"/>
            <w:vAlign w:val="center"/>
          </w:tcPr>
          <w:p w14:paraId="7D7D0BE5" w14:textId="6B9A7CB6"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Proportionality</w:t>
            </w:r>
          </w:p>
        </w:tc>
        <w:tc>
          <w:tcPr>
            <w:tcW w:w="1293" w:type="dxa"/>
            <w:shd w:val="clear" w:color="auto" w:fill="auto"/>
            <w:vAlign w:val="center"/>
          </w:tcPr>
          <w:p w14:paraId="413E5677" w14:textId="156E58CD" w:rsidR="00C37A6F" w:rsidRPr="00E76E73" w:rsidRDefault="00C37A6F" w:rsidP="0084620E">
            <w:pPr>
              <w:pStyle w:val="NormalBold"/>
              <w:jc w:val="center"/>
              <w:rPr>
                <w:rFonts w:ascii="Verdana" w:hAnsi="Verdana" w:cs="Times New Roman"/>
                <w:b w:val="0"/>
                <w:sz w:val="17"/>
                <w:szCs w:val="17"/>
                <w:lang w:val="en-GB"/>
              </w:rPr>
            </w:pPr>
            <w:r w:rsidRPr="00D43554">
              <w:rPr>
                <w:rFonts w:ascii="Verdana" w:hAnsi="Verdana"/>
                <w:color w:val="FF0000"/>
                <w:sz w:val="17"/>
                <w:szCs w:val="17"/>
                <w:lang w:val="en-GB"/>
              </w:rPr>
              <w:t>Negative</w:t>
            </w:r>
          </w:p>
        </w:tc>
      </w:tr>
      <w:tr w:rsidR="00C37A6F" w:rsidRPr="00D43554" w14:paraId="7D0D4638" w14:textId="77777777" w:rsidTr="00424768">
        <w:trPr>
          <w:trHeight w:val="499"/>
        </w:trPr>
        <w:tc>
          <w:tcPr>
            <w:tcW w:w="689" w:type="dxa"/>
            <w:shd w:val="clear" w:color="auto" w:fill="auto"/>
            <w:vAlign w:val="center"/>
          </w:tcPr>
          <w:p w14:paraId="04B80D37" w14:textId="7F7A17C2"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383</w:t>
            </w:r>
          </w:p>
        </w:tc>
        <w:tc>
          <w:tcPr>
            <w:tcW w:w="1909" w:type="dxa"/>
            <w:shd w:val="clear" w:color="auto" w:fill="auto"/>
            <w:vAlign w:val="center"/>
          </w:tcPr>
          <w:p w14:paraId="41BF4C79" w14:textId="77777777" w:rsidR="00C37A6F" w:rsidRPr="00E76E73" w:rsidRDefault="00C37A6F" w:rsidP="0084620E">
            <w:pPr>
              <w:jc w:val="center"/>
              <w:rPr>
                <w:szCs w:val="17"/>
              </w:rPr>
            </w:pPr>
            <w:r w:rsidRPr="00D43554">
              <w:rPr>
                <w:rStyle w:val="HideTWBExt"/>
                <w:rFonts w:ascii="Verdana" w:hAnsi="Verdana"/>
                <w:sz w:val="17"/>
                <w:szCs w:val="17"/>
                <w:specVanish w:val="0"/>
              </w:rPr>
              <w:t>&lt;Article2&gt;</w:t>
            </w:r>
            <w:r w:rsidRPr="00E76E73">
              <w:rPr>
                <w:szCs w:val="17"/>
              </w:rPr>
              <w:t>Article 29b – paragraph 3</w:t>
            </w:r>
            <w:r w:rsidRPr="00D43554">
              <w:rPr>
                <w:rStyle w:val="HideTWBExt"/>
                <w:rFonts w:ascii="Verdana" w:hAnsi="Verdana"/>
                <w:sz w:val="17"/>
                <w:szCs w:val="17"/>
                <w:specVanish w:val="0"/>
              </w:rPr>
              <w:t>&lt;/Article2&gt;</w:t>
            </w:r>
          </w:p>
          <w:p w14:paraId="23DFB4F3" w14:textId="77777777" w:rsidR="00C37A6F" w:rsidRPr="00E76E73" w:rsidRDefault="00C37A6F" w:rsidP="0084620E">
            <w:pPr>
              <w:pStyle w:val="NormalBold"/>
              <w:jc w:val="center"/>
              <w:rPr>
                <w:rFonts w:ascii="Verdana" w:hAnsi="Verdana" w:cs="Times New Roman"/>
                <w:b w:val="0"/>
                <w:sz w:val="17"/>
                <w:szCs w:val="17"/>
                <w:lang w:val="en-GB"/>
              </w:rPr>
            </w:pPr>
          </w:p>
        </w:tc>
        <w:tc>
          <w:tcPr>
            <w:tcW w:w="6116" w:type="dxa"/>
            <w:shd w:val="clear" w:color="auto" w:fill="auto"/>
          </w:tcPr>
          <w:p w14:paraId="582D8A12" w14:textId="4313530A" w:rsidR="00C37A6F" w:rsidRPr="00E76E73" w:rsidRDefault="00C37A6F" w:rsidP="00C37A6F">
            <w:pPr>
              <w:pStyle w:val="NormalBold"/>
              <w:rPr>
                <w:rFonts w:ascii="Verdana" w:hAnsi="Verdana" w:cs="Times New Roman"/>
                <w:b w:val="0"/>
                <w:sz w:val="17"/>
                <w:szCs w:val="17"/>
                <w:lang w:val="en-GB"/>
              </w:rPr>
            </w:pPr>
            <w:r w:rsidRPr="00E76E73">
              <w:rPr>
                <w:rFonts w:ascii="Verdana" w:hAnsi="Verdana" w:cs="Times New Roman"/>
                <w:b w:val="0"/>
                <w:sz w:val="17"/>
                <w:szCs w:val="17"/>
                <w:lang w:val="en-GB"/>
              </w:rPr>
              <w:t>NSA may oppose LRPU status, but the absence of a decision within one month should not be treated as a positive decision</w:t>
            </w:r>
          </w:p>
        </w:tc>
        <w:tc>
          <w:tcPr>
            <w:tcW w:w="1909" w:type="dxa"/>
            <w:shd w:val="clear" w:color="auto" w:fill="auto"/>
            <w:vAlign w:val="center"/>
          </w:tcPr>
          <w:p w14:paraId="6616AC6E" w14:textId="615B916D"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MacManus</w:t>
            </w:r>
          </w:p>
        </w:tc>
        <w:tc>
          <w:tcPr>
            <w:tcW w:w="2543" w:type="dxa"/>
            <w:shd w:val="clear" w:color="auto" w:fill="auto"/>
            <w:vAlign w:val="center"/>
          </w:tcPr>
          <w:p w14:paraId="0EE1D447" w14:textId="6B6EBA18"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Proportionality</w:t>
            </w:r>
          </w:p>
        </w:tc>
        <w:tc>
          <w:tcPr>
            <w:tcW w:w="1293" w:type="dxa"/>
            <w:shd w:val="clear" w:color="auto" w:fill="auto"/>
            <w:vAlign w:val="center"/>
          </w:tcPr>
          <w:p w14:paraId="089952E1" w14:textId="74FDED84" w:rsidR="00C37A6F" w:rsidRPr="00E76E73" w:rsidRDefault="00DF392E" w:rsidP="0084620E">
            <w:pPr>
              <w:pStyle w:val="NormalBold"/>
              <w:jc w:val="center"/>
              <w:rPr>
                <w:rFonts w:ascii="Verdana" w:hAnsi="Verdana" w:cs="Times New Roman"/>
                <w:b w:val="0"/>
                <w:sz w:val="17"/>
                <w:szCs w:val="17"/>
                <w:lang w:val="en-GB"/>
              </w:rPr>
            </w:pPr>
            <w:r w:rsidRPr="00D43554">
              <w:rPr>
                <w:rFonts w:ascii="Verdana" w:hAnsi="Verdana"/>
                <w:color w:val="808080" w:themeColor="background1" w:themeShade="80"/>
                <w:sz w:val="17"/>
                <w:szCs w:val="17"/>
                <w:lang w:val="en-GB"/>
              </w:rPr>
              <w:t>Neutral</w:t>
            </w:r>
          </w:p>
        </w:tc>
      </w:tr>
      <w:tr w:rsidR="00C37A6F" w:rsidRPr="00D43554" w14:paraId="7A1D8155" w14:textId="77777777" w:rsidTr="00424768">
        <w:trPr>
          <w:trHeight w:val="499"/>
        </w:trPr>
        <w:tc>
          <w:tcPr>
            <w:tcW w:w="689" w:type="dxa"/>
            <w:shd w:val="clear" w:color="auto" w:fill="auto"/>
            <w:vAlign w:val="center"/>
          </w:tcPr>
          <w:p w14:paraId="272DBFC5" w14:textId="46C17D44"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384</w:t>
            </w:r>
          </w:p>
        </w:tc>
        <w:tc>
          <w:tcPr>
            <w:tcW w:w="1909" w:type="dxa"/>
            <w:shd w:val="clear" w:color="auto" w:fill="auto"/>
            <w:vAlign w:val="center"/>
          </w:tcPr>
          <w:p w14:paraId="470EEEE8" w14:textId="77777777" w:rsidR="00C37A6F" w:rsidRPr="00E76E73" w:rsidRDefault="00C37A6F" w:rsidP="0084620E">
            <w:pPr>
              <w:jc w:val="center"/>
              <w:rPr>
                <w:szCs w:val="17"/>
              </w:rPr>
            </w:pPr>
            <w:r w:rsidRPr="00D43554">
              <w:rPr>
                <w:rStyle w:val="HideTWBExt"/>
                <w:rFonts w:ascii="Verdana" w:hAnsi="Verdana"/>
                <w:sz w:val="17"/>
                <w:szCs w:val="17"/>
                <w:specVanish w:val="0"/>
              </w:rPr>
              <w:t>&lt;Article2&gt;</w:t>
            </w:r>
            <w:r w:rsidRPr="00E76E73">
              <w:rPr>
                <w:szCs w:val="17"/>
              </w:rPr>
              <w:t>Article 29b – paragraph 3</w:t>
            </w:r>
            <w:r w:rsidRPr="00D43554">
              <w:rPr>
                <w:rStyle w:val="HideTWBExt"/>
                <w:rFonts w:ascii="Verdana" w:hAnsi="Verdana"/>
                <w:sz w:val="17"/>
                <w:szCs w:val="17"/>
                <w:specVanish w:val="0"/>
              </w:rPr>
              <w:t>&lt;/Article2&gt;</w:t>
            </w:r>
          </w:p>
          <w:p w14:paraId="2122B18C" w14:textId="77777777" w:rsidR="00C37A6F" w:rsidRPr="00E76E73" w:rsidRDefault="00C37A6F" w:rsidP="0084620E">
            <w:pPr>
              <w:pStyle w:val="NormalBold"/>
              <w:jc w:val="center"/>
              <w:rPr>
                <w:rFonts w:ascii="Verdana" w:hAnsi="Verdana" w:cs="Times New Roman"/>
                <w:b w:val="0"/>
                <w:sz w:val="17"/>
                <w:szCs w:val="17"/>
                <w:lang w:val="en-GB"/>
              </w:rPr>
            </w:pPr>
          </w:p>
        </w:tc>
        <w:tc>
          <w:tcPr>
            <w:tcW w:w="6116" w:type="dxa"/>
            <w:shd w:val="clear" w:color="auto" w:fill="auto"/>
          </w:tcPr>
          <w:p w14:paraId="4B021E8D" w14:textId="3F6EE4CE" w:rsidR="00C37A6F" w:rsidRPr="00E76E73" w:rsidRDefault="00C37A6F" w:rsidP="00C37A6F">
            <w:pPr>
              <w:pStyle w:val="NormalBold"/>
              <w:rPr>
                <w:rFonts w:ascii="Verdana" w:hAnsi="Verdana" w:cs="Times New Roman"/>
                <w:b w:val="0"/>
                <w:sz w:val="17"/>
                <w:szCs w:val="17"/>
                <w:lang w:val="en-GB"/>
              </w:rPr>
            </w:pPr>
            <w:r w:rsidRPr="00E76E73">
              <w:rPr>
                <w:rFonts w:ascii="Verdana" w:hAnsi="Verdana" w:cs="Times New Roman"/>
                <w:b w:val="0"/>
                <w:sz w:val="17"/>
                <w:szCs w:val="17"/>
                <w:lang w:val="en-GB"/>
              </w:rPr>
              <w:t>Broadens the scope to oppose LRPU status by NSAs removed ‘</w:t>
            </w:r>
            <w:r w:rsidRPr="00E76E73">
              <w:rPr>
                <w:rFonts w:ascii="Verdana" w:hAnsi="Verdana" w:cs="Times New Roman"/>
                <w:b w:val="0"/>
                <w:i/>
                <w:sz w:val="17"/>
                <w:szCs w:val="17"/>
                <w:lang w:val="en-GB"/>
              </w:rPr>
              <w:t>on grounds related exclusively to the non-compliance with the conditions foreseen under Article 29a.</w:t>
            </w:r>
            <w:r w:rsidRPr="00E76E73">
              <w:rPr>
                <w:rFonts w:ascii="Verdana" w:hAnsi="Verdana" w:cs="Times New Roman"/>
                <w:b w:val="0"/>
                <w:sz w:val="17"/>
                <w:szCs w:val="17"/>
                <w:lang w:val="en-GB"/>
              </w:rPr>
              <w:t>’</w:t>
            </w:r>
          </w:p>
        </w:tc>
        <w:tc>
          <w:tcPr>
            <w:tcW w:w="1909" w:type="dxa"/>
            <w:shd w:val="clear" w:color="auto" w:fill="auto"/>
            <w:vAlign w:val="center"/>
          </w:tcPr>
          <w:p w14:paraId="2B5AE722" w14:textId="0DDDA973"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Hahn</w:t>
            </w:r>
          </w:p>
        </w:tc>
        <w:tc>
          <w:tcPr>
            <w:tcW w:w="2543" w:type="dxa"/>
            <w:shd w:val="clear" w:color="auto" w:fill="auto"/>
            <w:vAlign w:val="center"/>
          </w:tcPr>
          <w:p w14:paraId="5961CA02" w14:textId="0450A988"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Proportionality</w:t>
            </w:r>
          </w:p>
        </w:tc>
        <w:tc>
          <w:tcPr>
            <w:tcW w:w="1293" w:type="dxa"/>
            <w:shd w:val="clear" w:color="auto" w:fill="auto"/>
            <w:vAlign w:val="center"/>
          </w:tcPr>
          <w:p w14:paraId="178F9395" w14:textId="36EF61E4" w:rsidR="00C37A6F" w:rsidRPr="00E76E73" w:rsidRDefault="00C37A6F" w:rsidP="0084620E">
            <w:pPr>
              <w:pStyle w:val="NormalBold"/>
              <w:jc w:val="center"/>
              <w:rPr>
                <w:rFonts w:ascii="Verdana" w:hAnsi="Verdana" w:cs="Times New Roman"/>
                <w:b w:val="0"/>
                <w:sz w:val="17"/>
                <w:szCs w:val="17"/>
                <w:lang w:val="en-GB"/>
              </w:rPr>
            </w:pPr>
            <w:r w:rsidRPr="00D43554">
              <w:rPr>
                <w:rFonts w:ascii="Verdana" w:hAnsi="Verdana"/>
                <w:color w:val="FF0000"/>
                <w:sz w:val="17"/>
                <w:szCs w:val="17"/>
                <w:lang w:val="en-GB"/>
              </w:rPr>
              <w:t>Negative</w:t>
            </w:r>
          </w:p>
        </w:tc>
      </w:tr>
      <w:tr w:rsidR="00C37A6F" w:rsidRPr="00D43554" w14:paraId="25A43082" w14:textId="77777777" w:rsidTr="00424768">
        <w:trPr>
          <w:trHeight w:val="1223"/>
        </w:trPr>
        <w:tc>
          <w:tcPr>
            <w:tcW w:w="689" w:type="dxa"/>
            <w:shd w:val="clear" w:color="auto" w:fill="auto"/>
            <w:vAlign w:val="center"/>
          </w:tcPr>
          <w:p w14:paraId="673C6D10" w14:textId="07C78F2F"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385</w:t>
            </w:r>
          </w:p>
        </w:tc>
        <w:tc>
          <w:tcPr>
            <w:tcW w:w="1909" w:type="dxa"/>
            <w:shd w:val="clear" w:color="auto" w:fill="auto"/>
            <w:vAlign w:val="center"/>
          </w:tcPr>
          <w:p w14:paraId="7CD0AEF1" w14:textId="42B66461" w:rsidR="00C37A6F" w:rsidRPr="00E76E73" w:rsidRDefault="00C37A6F" w:rsidP="0084620E">
            <w:pPr>
              <w:jc w:val="center"/>
              <w:rPr>
                <w:szCs w:val="17"/>
              </w:rPr>
            </w:pPr>
            <w:r w:rsidRPr="00D43554">
              <w:rPr>
                <w:rStyle w:val="HideTWBExt"/>
                <w:rFonts w:ascii="Verdana" w:hAnsi="Verdana"/>
                <w:sz w:val="17"/>
                <w:szCs w:val="17"/>
                <w:specVanish w:val="0"/>
              </w:rPr>
              <w:t>&lt;Article2&gt;</w:t>
            </w:r>
            <w:r w:rsidRPr="00E76E73">
              <w:rPr>
                <w:szCs w:val="17"/>
              </w:rPr>
              <w:t>Article 29b – paragraph 5 – subparagraphs 1 a (new) and 1 b (new)</w:t>
            </w:r>
            <w:r w:rsidRPr="00D43554">
              <w:rPr>
                <w:rStyle w:val="HideTWBExt"/>
                <w:rFonts w:ascii="Verdana" w:hAnsi="Verdana"/>
                <w:sz w:val="17"/>
                <w:szCs w:val="17"/>
                <w:specVanish w:val="0"/>
              </w:rPr>
              <w:t>&lt;/Article2&gt;</w:t>
            </w:r>
          </w:p>
          <w:p w14:paraId="1430EF0F" w14:textId="77777777" w:rsidR="00C37A6F" w:rsidRPr="00E76E73" w:rsidRDefault="00C37A6F" w:rsidP="0084620E">
            <w:pPr>
              <w:pStyle w:val="NormalBold"/>
              <w:jc w:val="center"/>
              <w:rPr>
                <w:rFonts w:ascii="Verdana" w:hAnsi="Verdana" w:cs="Times New Roman"/>
                <w:b w:val="0"/>
                <w:sz w:val="17"/>
                <w:szCs w:val="17"/>
                <w:lang w:val="en-GB"/>
              </w:rPr>
            </w:pPr>
          </w:p>
        </w:tc>
        <w:tc>
          <w:tcPr>
            <w:tcW w:w="6116" w:type="dxa"/>
            <w:shd w:val="clear" w:color="auto" w:fill="auto"/>
          </w:tcPr>
          <w:p w14:paraId="344FC9AC" w14:textId="32691AB2" w:rsidR="00C37A6F" w:rsidRPr="00E76E73" w:rsidRDefault="00C37A6F" w:rsidP="00C37A6F">
            <w:pPr>
              <w:pStyle w:val="NormalBold"/>
              <w:rPr>
                <w:rFonts w:ascii="Verdana" w:hAnsi="Verdana" w:cs="Times New Roman"/>
                <w:b w:val="0"/>
                <w:sz w:val="17"/>
                <w:szCs w:val="17"/>
                <w:lang w:val="en-GB"/>
              </w:rPr>
            </w:pPr>
            <w:r w:rsidRPr="00E76E73">
              <w:rPr>
                <w:rFonts w:ascii="Verdana" w:hAnsi="Verdana" w:cs="Times New Roman"/>
                <w:b w:val="0"/>
                <w:sz w:val="17"/>
                <w:szCs w:val="17"/>
                <w:lang w:val="en-GB"/>
              </w:rPr>
              <w:t xml:space="preserve">When an LRPU has no sufficient own funds (with/without </w:t>
            </w:r>
            <w:proofErr w:type="spellStart"/>
            <w:r w:rsidRPr="00E76E73">
              <w:rPr>
                <w:rFonts w:ascii="Verdana" w:hAnsi="Verdana" w:cs="Times New Roman"/>
                <w:b w:val="0"/>
                <w:sz w:val="17"/>
                <w:szCs w:val="17"/>
                <w:lang w:val="en-GB"/>
              </w:rPr>
              <w:t>transitionals</w:t>
            </w:r>
            <w:proofErr w:type="spellEnd"/>
            <w:r w:rsidRPr="00E76E73">
              <w:rPr>
                <w:rFonts w:ascii="Verdana" w:hAnsi="Verdana" w:cs="Times New Roman"/>
                <w:b w:val="0"/>
                <w:sz w:val="17"/>
                <w:szCs w:val="17"/>
                <w:lang w:val="en-GB"/>
              </w:rPr>
              <w:t>) it shall no longer be an LRPU</w:t>
            </w:r>
          </w:p>
        </w:tc>
        <w:tc>
          <w:tcPr>
            <w:tcW w:w="1909" w:type="dxa"/>
            <w:shd w:val="clear" w:color="auto" w:fill="auto"/>
            <w:vAlign w:val="center"/>
          </w:tcPr>
          <w:p w14:paraId="73F8A04D" w14:textId="27B7BDD8"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Hahn</w:t>
            </w:r>
          </w:p>
        </w:tc>
        <w:tc>
          <w:tcPr>
            <w:tcW w:w="2543" w:type="dxa"/>
            <w:shd w:val="clear" w:color="auto" w:fill="auto"/>
            <w:vAlign w:val="center"/>
          </w:tcPr>
          <w:p w14:paraId="242A9B7E" w14:textId="4EFAC163"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Proportionality</w:t>
            </w:r>
          </w:p>
        </w:tc>
        <w:tc>
          <w:tcPr>
            <w:tcW w:w="1293" w:type="dxa"/>
            <w:shd w:val="clear" w:color="auto" w:fill="auto"/>
            <w:vAlign w:val="center"/>
          </w:tcPr>
          <w:p w14:paraId="119BEB72" w14:textId="04D9DC78" w:rsidR="00C37A6F" w:rsidRPr="00E76E73" w:rsidRDefault="00C37A6F" w:rsidP="0084620E">
            <w:pPr>
              <w:pStyle w:val="NormalBold"/>
              <w:jc w:val="center"/>
              <w:rPr>
                <w:rFonts w:ascii="Verdana" w:hAnsi="Verdana" w:cs="Times New Roman"/>
                <w:b w:val="0"/>
                <w:sz w:val="17"/>
                <w:szCs w:val="17"/>
                <w:lang w:val="en-GB"/>
              </w:rPr>
            </w:pPr>
            <w:r w:rsidRPr="00D43554">
              <w:rPr>
                <w:rFonts w:ascii="Verdana" w:hAnsi="Verdana"/>
                <w:color w:val="FF0000"/>
                <w:sz w:val="17"/>
                <w:szCs w:val="17"/>
                <w:lang w:val="en-GB"/>
              </w:rPr>
              <w:t>Negative</w:t>
            </w:r>
          </w:p>
        </w:tc>
      </w:tr>
      <w:tr w:rsidR="00C37A6F" w:rsidRPr="00D43554" w14:paraId="1E4BD5AB" w14:textId="77777777" w:rsidTr="00424768">
        <w:trPr>
          <w:trHeight w:val="499"/>
        </w:trPr>
        <w:tc>
          <w:tcPr>
            <w:tcW w:w="689" w:type="dxa"/>
            <w:shd w:val="clear" w:color="auto" w:fill="auto"/>
            <w:vAlign w:val="center"/>
          </w:tcPr>
          <w:p w14:paraId="73EC0839" w14:textId="5F4AE332"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386</w:t>
            </w:r>
          </w:p>
        </w:tc>
        <w:tc>
          <w:tcPr>
            <w:tcW w:w="1909" w:type="dxa"/>
            <w:shd w:val="clear" w:color="auto" w:fill="auto"/>
            <w:vAlign w:val="center"/>
          </w:tcPr>
          <w:p w14:paraId="29D87BE7" w14:textId="77777777" w:rsidR="00C37A6F" w:rsidRPr="00E76E73" w:rsidRDefault="00C37A6F" w:rsidP="0084620E">
            <w:pPr>
              <w:jc w:val="center"/>
              <w:rPr>
                <w:szCs w:val="17"/>
              </w:rPr>
            </w:pPr>
            <w:r w:rsidRPr="00D43554">
              <w:rPr>
                <w:rStyle w:val="HideTWBExt"/>
                <w:rFonts w:ascii="Verdana" w:hAnsi="Verdana"/>
                <w:sz w:val="17"/>
                <w:szCs w:val="17"/>
                <w:specVanish w:val="0"/>
              </w:rPr>
              <w:t>&lt;Article2&gt;</w:t>
            </w:r>
            <w:r w:rsidRPr="00E76E73">
              <w:rPr>
                <w:szCs w:val="17"/>
              </w:rPr>
              <w:t>Article 29c – paragraph 1</w:t>
            </w:r>
            <w:r w:rsidRPr="00D43554">
              <w:rPr>
                <w:rStyle w:val="HideTWBExt"/>
                <w:rFonts w:ascii="Verdana" w:hAnsi="Verdana"/>
                <w:sz w:val="17"/>
                <w:szCs w:val="17"/>
                <w:specVanish w:val="0"/>
              </w:rPr>
              <w:t>&lt;/Article2&gt;</w:t>
            </w:r>
          </w:p>
          <w:p w14:paraId="4104736F" w14:textId="77777777" w:rsidR="00C37A6F" w:rsidRPr="00E76E73" w:rsidRDefault="00C37A6F" w:rsidP="0084620E">
            <w:pPr>
              <w:pStyle w:val="NormalBold"/>
              <w:jc w:val="center"/>
              <w:rPr>
                <w:rFonts w:ascii="Verdana" w:hAnsi="Verdana" w:cs="Times New Roman"/>
                <w:b w:val="0"/>
                <w:sz w:val="17"/>
                <w:szCs w:val="17"/>
                <w:lang w:val="en-GB"/>
              </w:rPr>
            </w:pPr>
          </w:p>
        </w:tc>
        <w:tc>
          <w:tcPr>
            <w:tcW w:w="6116" w:type="dxa"/>
            <w:shd w:val="clear" w:color="auto" w:fill="auto"/>
          </w:tcPr>
          <w:p w14:paraId="62CD458F" w14:textId="56181120" w:rsidR="00C37A6F" w:rsidRPr="00E76E73" w:rsidRDefault="00C37A6F" w:rsidP="00C37A6F">
            <w:pPr>
              <w:pStyle w:val="NormalBold"/>
              <w:rPr>
                <w:rFonts w:ascii="Verdana" w:hAnsi="Verdana" w:cs="Times New Roman"/>
                <w:b w:val="0"/>
                <w:sz w:val="17"/>
                <w:szCs w:val="17"/>
                <w:lang w:val="en-GB"/>
              </w:rPr>
            </w:pPr>
            <w:r w:rsidRPr="00E76E73">
              <w:rPr>
                <w:rFonts w:ascii="Verdana" w:hAnsi="Verdana" w:cs="Times New Roman"/>
                <w:b w:val="0"/>
                <w:sz w:val="17"/>
                <w:szCs w:val="17"/>
                <w:lang w:val="en-GB"/>
              </w:rPr>
              <w:t>LRPU can only make use of the specified prop measures, the ‘any prop measure provided for in the DA pursuant to this Dir’ was removed</w:t>
            </w:r>
          </w:p>
        </w:tc>
        <w:tc>
          <w:tcPr>
            <w:tcW w:w="1909" w:type="dxa"/>
            <w:shd w:val="clear" w:color="auto" w:fill="auto"/>
            <w:vAlign w:val="center"/>
          </w:tcPr>
          <w:p w14:paraId="77F26FCA" w14:textId="59CD98FC" w:rsidR="00C37A6F" w:rsidRPr="00E76E73" w:rsidRDefault="00C37A6F" w:rsidP="0084620E">
            <w:pPr>
              <w:pStyle w:val="NormalBold"/>
              <w:jc w:val="center"/>
              <w:rPr>
                <w:rFonts w:ascii="Verdana" w:hAnsi="Verdana" w:cs="Times New Roman"/>
                <w:b w:val="0"/>
                <w:sz w:val="17"/>
                <w:szCs w:val="17"/>
                <w:lang w:val="en-GB"/>
              </w:rPr>
            </w:pPr>
            <w:proofErr w:type="spellStart"/>
            <w:r w:rsidRPr="000D4029">
              <w:rPr>
                <w:rFonts w:ascii="Verdana" w:hAnsi="Verdana" w:cs="Times New Roman"/>
                <w:b w:val="0"/>
                <w:sz w:val="17"/>
                <w:szCs w:val="17"/>
                <w:lang w:val="en-GB"/>
              </w:rPr>
              <w:t>Heinäluoma</w:t>
            </w:r>
            <w:proofErr w:type="spellEnd"/>
            <w:r w:rsidRPr="000D4029">
              <w:rPr>
                <w:rFonts w:ascii="Verdana" w:hAnsi="Verdana" w:cs="Times New Roman"/>
                <w:b w:val="0"/>
                <w:sz w:val="17"/>
                <w:szCs w:val="17"/>
                <w:lang w:val="en-GB"/>
              </w:rPr>
              <w:t xml:space="preserve">, </w:t>
            </w:r>
            <w:proofErr w:type="spellStart"/>
            <w:r w:rsidRPr="000D4029">
              <w:rPr>
                <w:rFonts w:ascii="Verdana" w:hAnsi="Verdana" w:cs="Times New Roman"/>
                <w:b w:val="0"/>
                <w:sz w:val="17"/>
                <w:szCs w:val="17"/>
                <w:lang w:val="en-GB"/>
              </w:rPr>
              <w:t>Lalucq</w:t>
            </w:r>
            <w:proofErr w:type="spellEnd"/>
          </w:p>
        </w:tc>
        <w:tc>
          <w:tcPr>
            <w:tcW w:w="2543" w:type="dxa"/>
            <w:shd w:val="clear" w:color="auto" w:fill="auto"/>
            <w:vAlign w:val="center"/>
          </w:tcPr>
          <w:p w14:paraId="2AB7875A" w14:textId="3F72ED4A"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Proportionality</w:t>
            </w:r>
          </w:p>
        </w:tc>
        <w:tc>
          <w:tcPr>
            <w:tcW w:w="1293" w:type="dxa"/>
            <w:shd w:val="clear" w:color="auto" w:fill="auto"/>
            <w:vAlign w:val="center"/>
          </w:tcPr>
          <w:p w14:paraId="5DD061FB" w14:textId="3705FF62" w:rsidR="00C37A6F" w:rsidRPr="00E76E73" w:rsidRDefault="00C37A6F" w:rsidP="0084620E">
            <w:pPr>
              <w:pStyle w:val="NormalBold"/>
              <w:jc w:val="center"/>
              <w:rPr>
                <w:rFonts w:ascii="Verdana" w:hAnsi="Verdana" w:cs="Times New Roman"/>
                <w:b w:val="0"/>
                <w:sz w:val="17"/>
                <w:szCs w:val="17"/>
                <w:lang w:val="en-GB"/>
              </w:rPr>
            </w:pPr>
            <w:r w:rsidRPr="00D43554">
              <w:rPr>
                <w:rFonts w:ascii="Verdana" w:hAnsi="Verdana"/>
                <w:color w:val="FF0000"/>
                <w:sz w:val="17"/>
                <w:szCs w:val="17"/>
                <w:lang w:val="en-GB"/>
              </w:rPr>
              <w:t>Negative</w:t>
            </w:r>
          </w:p>
        </w:tc>
      </w:tr>
      <w:tr w:rsidR="00C37A6F" w:rsidRPr="00D43554" w14:paraId="4DAEDF93" w14:textId="77777777" w:rsidTr="00424768">
        <w:trPr>
          <w:trHeight w:val="499"/>
        </w:trPr>
        <w:tc>
          <w:tcPr>
            <w:tcW w:w="689" w:type="dxa"/>
            <w:shd w:val="clear" w:color="auto" w:fill="auto"/>
            <w:vAlign w:val="center"/>
          </w:tcPr>
          <w:p w14:paraId="34029323" w14:textId="5B13B987"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387</w:t>
            </w:r>
          </w:p>
        </w:tc>
        <w:tc>
          <w:tcPr>
            <w:tcW w:w="1909" w:type="dxa"/>
            <w:shd w:val="clear" w:color="auto" w:fill="auto"/>
            <w:vAlign w:val="center"/>
          </w:tcPr>
          <w:p w14:paraId="61D36E8B" w14:textId="3E931973"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Article 29c – paragraph 2</w:t>
            </w:r>
          </w:p>
        </w:tc>
        <w:tc>
          <w:tcPr>
            <w:tcW w:w="6116" w:type="dxa"/>
            <w:shd w:val="clear" w:color="auto" w:fill="auto"/>
          </w:tcPr>
          <w:p w14:paraId="0744B99E" w14:textId="7343BB2C" w:rsidR="00C37A6F" w:rsidRPr="00E76E73" w:rsidRDefault="00C37A6F" w:rsidP="00C37A6F">
            <w:pPr>
              <w:pStyle w:val="NormalBold"/>
              <w:rPr>
                <w:rFonts w:ascii="Verdana" w:hAnsi="Verdana" w:cs="Times New Roman"/>
                <w:b w:val="0"/>
                <w:sz w:val="17"/>
                <w:szCs w:val="17"/>
                <w:lang w:val="en-GB"/>
              </w:rPr>
            </w:pPr>
            <w:r w:rsidRPr="00E76E73">
              <w:rPr>
                <w:rFonts w:ascii="Verdana" w:hAnsi="Verdana" w:cs="Times New Roman"/>
                <w:b w:val="0"/>
                <w:sz w:val="17"/>
                <w:szCs w:val="17"/>
                <w:lang w:val="en-GB"/>
              </w:rPr>
              <w:t>Deleted that in case of serious concerns by the NSA on the risk profile of the LRPU, the LRPU can be asked to refrain from using several prop measures</w:t>
            </w:r>
          </w:p>
        </w:tc>
        <w:tc>
          <w:tcPr>
            <w:tcW w:w="1909" w:type="dxa"/>
            <w:shd w:val="clear" w:color="auto" w:fill="auto"/>
            <w:vAlign w:val="center"/>
          </w:tcPr>
          <w:p w14:paraId="7291A42F" w14:textId="3694C49D"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Fitzgerald</w:t>
            </w:r>
          </w:p>
        </w:tc>
        <w:tc>
          <w:tcPr>
            <w:tcW w:w="2543" w:type="dxa"/>
            <w:shd w:val="clear" w:color="auto" w:fill="auto"/>
            <w:vAlign w:val="center"/>
          </w:tcPr>
          <w:p w14:paraId="58548B58" w14:textId="31BDCA17"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Proportionality</w:t>
            </w:r>
          </w:p>
        </w:tc>
        <w:tc>
          <w:tcPr>
            <w:tcW w:w="1293" w:type="dxa"/>
            <w:shd w:val="clear" w:color="auto" w:fill="auto"/>
            <w:vAlign w:val="center"/>
          </w:tcPr>
          <w:p w14:paraId="3E729AF1" w14:textId="58FE94F1" w:rsidR="00C37A6F" w:rsidRPr="00E76E73" w:rsidRDefault="00C37A6F" w:rsidP="0084620E">
            <w:pPr>
              <w:pStyle w:val="NormalBold"/>
              <w:jc w:val="center"/>
              <w:rPr>
                <w:rFonts w:ascii="Verdana" w:hAnsi="Verdana" w:cs="Times New Roman"/>
                <w:b w:val="0"/>
                <w:sz w:val="17"/>
                <w:szCs w:val="17"/>
                <w:lang w:val="en-GB"/>
              </w:rPr>
            </w:pPr>
            <w:r w:rsidRPr="00D43554">
              <w:rPr>
                <w:rFonts w:ascii="Verdana" w:hAnsi="Verdana"/>
                <w:color w:val="00B050"/>
                <w:sz w:val="17"/>
                <w:szCs w:val="17"/>
                <w:lang w:val="en-GB"/>
              </w:rPr>
              <w:t>Positive</w:t>
            </w:r>
          </w:p>
        </w:tc>
      </w:tr>
      <w:tr w:rsidR="00C37A6F" w:rsidRPr="00D43554" w14:paraId="1985C725" w14:textId="77777777" w:rsidTr="00424768">
        <w:trPr>
          <w:trHeight w:val="499"/>
        </w:trPr>
        <w:tc>
          <w:tcPr>
            <w:tcW w:w="689" w:type="dxa"/>
            <w:shd w:val="clear" w:color="auto" w:fill="auto"/>
            <w:vAlign w:val="center"/>
          </w:tcPr>
          <w:p w14:paraId="3F7F5441" w14:textId="6E066D50"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388</w:t>
            </w:r>
          </w:p>
        </w:tc>
        <w:tc>
          <w:tcPr>
            <w:tcW w:w="1909" w:type="dxa"/>
            <w:shd w:val="clear" w:color="auto" w:fill="auto"/>
            <w:vAlign w:val="center"/>
          </w:tcPr>
          <w:p w14:paraId="31147A93" w14:textId="77777777" w:rsidR="00C37A6F" w:rsidRPr="00E76E73" w:rsidRDefault="00C37A6F" w:rsidP="0084620E">
            <w:pPr>
              <w:jc w:val="center"/>
              <w:rPr>
                <w:szCs w:val="17"/>
              </w:rPr>
            </w:pPr>
            <w:r w:rsidRPr="00D43554">
              <w:rPr>
                <w:rStyle w:val="HideTWBExt"/>
                <w:rFonts w:ascii="Verdana" w:hAnsi="Verdana"/>
                <w:sz w:val="17"/>
                <w:szCs w:val="17"/>
                <w:specVanish w:val="0"/>
              </w:rPr>
              <w:t>&lt;Article2&gt;</w:t>
            </w:r>
            <w:r w:rsidRPr="00E76E73">
              <w:rPr>
                <w:szCs w:val="17"/>
              </w:rPr>
              <w:t>Article 29c – paragraph 2</w:t>
            </w:r>
            <w:r w:rsidRPr="00D43554">
              <w:rPr>
                <w:rStyle w:val="HideTWBExt"/>
                <w:rFonts w:ascii="Verdana" w:hAnsi="Verdana"/>
                <w:sz w:val="17"/>
                <w:szCs w:val="17"/>
                <w:specVanish w:val="0"/>
              </w:rPr>
              <w:t>&lt;/Article2&gt;</w:t>
            </w:r>
          </w:p>
          <w:p w14:paraId="12D00E0B" w14:textId="77777777" w:rsidR="00C37A6F" w:rsidRPr="00E76E73" w:rsidRDefault="00C37A6F" w:rsidP="0084620E">
            <w:pPr>
              <w:pStyle w:val="NormalBold"/>
              <w:jc w:val="center"/>
              <w:rPr>
                <w:rFonts w:ascii="Verdana" w:hAnsi="Verdana" w:cs="Times New Roman"/>
                <w:b w:val="0"/>
                <w:sz w:val="17"/>
                <w:szCs w:val="17"/>
                <w:lang w:val="en-GB"/>
              </w:rPr>
            </w:pPr>
          </w:p>
        </w:tc>
        <w:tc>
          <w:tcPr>
            <w:tcW w:w="6116" w:type="dxa"/>
            <w:shd w:val="clear" w:color="auto" w:fill="auto"/>
          </w:tcPr>
          <w:p w14:paraId="52B779F6" w14:textId="08706D1E" w:rsidR="00C37A6F" w:rsidRPr="00E76E73" w:rsidRDefault="00C37A6F" w:rsidP="00C37A6F">
            <w:pPr>
              <w:pStyle w:val="NormalBold"/>
              <w:rPr>
                <w:rFonts w:ascii="Verdana" w:hAnsi="Verdana" w:cs="Times New Roman"/>
                <w:b w:val="0"/>
                <w:sz w:val="17"/>
                <w:szCs w:val="17"/>
                <w:lang w:val="en-GB"/>
              </w:rPr>
            </w:pPr>
            <w:r w:rsidRPr="00E76E73">
              <w:rPr>
                <w:rFonts w:ascii="Verdana" w:hAnsi="Verdana" w:cs="Times New Roman"/>
                <w:b w:val="0"/>
                <w:sz w:val="17"/>
                <w:szCs w:val="17"/>
                <w:lang w:val="en-GB"/>
              </w:rPr>
              <w:t xml:space="preserve">3 situations are specified when NSAs can derogate from automatic proportionality (SCR with/without </w:t>
            </w:r>
            <w:proofErr w:type="spellStart"/>
            <w:proofErr w:type="gramStart"/>
            <w:r w:rsidRPr="00E76E73">
              <w:rPr>
                <w:rFonts w:ascii="Verdana" w:hAnsi="Verdana" w:cs="Times New Roman"/>
                <w:b w:val="0"/>
                <w:sz w:val="17"/>
                <w:szCs w:val="17"/>
                <w:lang w:val="en-GB"/>
              </w:rPr>
              <w:t>transitionals</w:t>
            </w:r>
            <w:proofErr w:type="spellEnd"/>
            <w:r w:rsidRPr="00E76E73">
              <w:rPr>
                <w:rFonts w:ascii="Verdana" w:hAnsi="Verdana" w:cs="Times New Roman"/>
                <w:b w:val="0"/>
                <w:sz w:val="17"/>
                <w:szCs w:val="17"/>
                <w:lang w:val="en-GB"/>
              </w:rPr>
              <w:t> ;</w:t>
            </w:r>
            <w:proofErr w:type="gramEnd"/>
            <w:r w:rsidRPr="00E76E73">
              <w:rPr>
                <w:rFonts w:ascii="Verdana" w:hAnsi="Verdana" w:cs="Times New Roman"/>
                <w:b w:val="0"/>
                <w:sz w:val="17"/>
                <w:szCs w:val="17"/>
                <w:lang w:val="en-GB"/>
              </w:rPr>
              <w:t xml:space="preserve"> deficiencies in sys of governance functioning ; material changes and </w:t>
            </w:r>
            <w:proofErr w:type="spellStart"/>
            <w:r w:rsidRPr="00E76E73">
              <w:rPr>
                <w:rFonts w:ascii="Verdana" w:hAnsi="Verdana" w:cs="Times New Roman"/>
                <w:b w:val="0"/>
                <w:sz w:val="17"/>
                <w:szCs w:val="17"/>
                <w:lang w:val="en-GB"/>
              </w:rPr>
              <w:t>non compliance</w:t>
            </w:r>
            <w:proofErr w:type="spellEnd"/>
            <w:r w:rsidRPr="00E76E73">
              <w:rPr>
                <w:rFonts w:ascii="Verdana" w:hAnsi="Verdana" w:cs="Times New Roman"/>
                <w:b w:val="0"/>
                <w:sz w:val="17"/>
                <w:szCs w:val="17"/>
                <w:lang w:val="en-GB"/>
              </w:rPr>
              <w:t xml:space="preserve"> with prop criteria</w:t>
            </w:r>
            <w:r w:rsidR="00921237" w:rsidRPr="00E76E73">
              <w:rPr>
                <w:rFonts w:ascii="Verdana" w:hAnsi="Verdana" w:cs="Times New Roman"/>
                <w:b w:val="0"/>
                <w:sz w:val="17"/>
                <w:szCs w:val="17"/>
                <w:lang w:val="en-GB"/>
              </w:rPr>
              <w:t>)</w:t>
            </w:r>
          </w:p>
        </w:tc>
        <w:tc>
          <w:tcPr>
            <w:tcW w:w="1909" w:type="dxa"/>
            <w:shd w:val="clear" w:color="auto" w:fill="auto"/>
            <w:vAlign w:val="center"/>
          </w:tcPr>
          <w:p w14:paraId="63CEB485" w14:textId="1B9F9313" w:rsidR="00C37A6F" w:rsidRPr="00E76E73" w:rsidRDefault="00C37A6F" w:rsidP="0084620E">
            <w:pPr>
              <w:pStyle w:val="NormalBold"/>
              <w:jc w:val="center"/>
              <w:rPr>
                <w:rFonts w:ascii="Verdana" w:hAnsi="Verdana" w:cs="Times New Roman"/>
                <w:b w:val="0"/>
                <w:sz w:val="17"/>
                <w:szCs w:val="17"/>
                <w:lang w:val="en-GB"/>
              </w:rPr>
            </w:pPr>
            <w:proofErr w:type="spellStart"/>
            <w:r w:rsidRPr="000D4029">
              <w:rPr>
                <w:rFonts w:ascii="Verdana" w:hAnsi="Verdana" w:cs="Times New Roman"/>
                <w:b w:val="0"/>
                <w:sz w:val="17"/>
                <w:szCs w:val="17"/>
                <w:lang w:val="en-GB"/>
              </w:rPr>
              <w:t>Heinäluoma</w:t>
            </w:r>
            <w:proofErr w:type="spellEnd"/>
            <w:r w:rsidRPr="000D4029">
              <w:rPr>
                <w:rFonts w:ascii="Verdana" w:hAnsi="Verdana" w:cs="Times New Roman"/>
                <w:b w:val="0"/>
                <w:sz w:val="17"/>
                <w:szCs w:val="17"/>
                <w:lang w:val="en-GB"/>
              </w:rPr>
              <w:t xml:space="preserve">, </w:t>
            </w:r>
            <w:proofErr w:type="spellStart"/>
            <w:r w:rsidRPr="000D4029">
              <w:rPr>
                <w:rFonts w:ascii="Verdana" w:hAnsi="Verdana" w:cs="Times New Roman"/>
                <w:b w:val="0"/>
                <w:sz w:val="17"/>
                <w:szCs w:val="17"/>
                <w:lang w:val="en-GB"/>
              </w:rPr>
              <w:t>Lalucq</w:t>
            </w:r>
            <w:proofErr w:type="spellEnd"/>
          </w:p>
        </w:tc>
        <w:tc>
          <w:tcPr>
            <w:tcW w:w="2543" w:type="dxa"/>
            <w:shd w:val="clear" w:color="auto" w:fill="auto"/>
            <w:vAlign w:val="center"/>
          </w:tcPr>
          <w:p w14:paraId="0BF05093" w14:textId="7DBE3F43"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Proportionality</w:t>
            </w:r>
          </w:p>
        </w:tc>
        <w:tc>
          <w:tcPr>
            <w:tcW w:w="1293" w:type="dxa"/>
            <w:shd w:val="clear" w:color="auto" w:fill="auto"/>
            <w:vAlign w:val="center"/>
          </w:tcPr>
          <w:p w14:paraId="1D4FCD5A" w14:textId="19B1DD4D" w:rsidR="00C37A6F" w:rsidRPr="00E76E73" w:rsidRDefault="00C37A6F" w:rsidP="0084620E">
            <w:pPr>
              <w:pStyle w:val="NormalBold"/>
              <w:jc w:val="center"/>
              <w:rPr>
                <w:rFonts w:ascii="Verdana" w:hAnsi="Verdana" w:cs="Times New Roman"/>
                <w:b w:val="0"/>
                <w:sz w:val="17"/>
                <w:szCs w:val="17"/>
                <w:lang w:val="en-GB"/>
              </w:rPr>
            </w:pPr>
            <w:r w:rsidRPr="00D43554">
              <w:rPr>
                <w:rFonts w:ascii="Verdana" w:hAnsi="Verdana"/>
                <w:color w:val="FF0000"/>
                <w:sz w:val="17"/>
                <w:szCs w:val="17"/>
                <w:lang w:val="en-GB"/>
              </w:rPr>
              <w:t>Negative</w:t>
            </w:r>
          </w:p>
        </w:tc>
      </w:tr>
      <w:tr w:rsidR="00C37A6F" w:rsidRPr="00D43554" w14:paraId="3C98CF6B" w14:textId="77777777" w:rsidTr="00424768">
        <w:trPr>
          <w:trHeight w:val="499"/>
        </w:trPr>
        <w:tc>
          <w:tcPr>
            <w:tcW w:w="689" w:type="dxa"/>
            <w:shd w:val="clear" w:color="auto" w:fill="auto"/>
            <w:vAlign w:val="center"/>
          </w:tcPr>
          <w:p w14:paraId="5ACE26A5" w14:textId="1F6E48E5"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389</w:t>
            </w:r>
          </w:p>
        </w:tc>
        <w:tc>
          <w:tcPr>
            <w:tcW w:w="1909" w:type="dxa"/>
            <w:shd w:val="clear" w:color="auto" w:fill="auto"/>
            <w:vAlign w:val="center"/>
          </w:tcPr>
          <w:p w14:paraId="249A2F22" w14:textId="77777777" w:rsidR="00C37A6F" w:rsidRPr="00E76E73" w:rsidRDefault="00C37A6F" w:rsidP="0084620E">
            <w:pPr>
              <w:jc w:val="center"/>
              <w:rPr>
                <w:szCs w:val="17"/>
              </w:rPr>
            </w:pPr>
            <w:r w:rsidRPr="00D43554">
              <w:rPr>
                <w:rStyle w:val="HideTWBExt"/>
                <w:rFonts w:ascii="Verdana" w:hAnsi="Verdana"/>
                <w:sz w:val="17"/>
                <w:szCs w:val="17"/>
                <w:specVanish w:val="0"/>
              </w:rPr>
              <w:t>&lt;Article2&gt;</w:t>
            </w:r>
            <w:r w:rsidRPr="00E76E73">
              <w:rPr>
                <w:szCs w:val="17"/>
              </w:rPr>
              <w:t>Article 29c – paragraph 2</w:t>
            </w:r>
            <w:r w:rsidRPr="00D43554">
              <w:rPr>
                <w:rStyle w:val="HideTWBExt"/>
                <w:rFonts w:ascii="Verdana" w:hAnsi="Verdana"/>
                <w:sz w:val="17"/>
                <w:szCs w:val="17"/>
                <w:specVanish w:val="0"/>
              </w:rPr>
              <w:t>&lt;/Article2&gt;</w:t>
            </w:r>
          </w:p>
          <w:p w14:paraId="31AD64C7" w14:textId="77777777" w:rsidR="00C37A6F" w:rsidRPr="00E76E73" w:rsidRDefault="00C37A6F" w:rsidP="0084620E">
            <w:pPr>
              <w:pStyle w:val="NormalBold"/>
              <w:jc w:val="center"/>
              <w:rPr>
                <w:rFonts w:ascii="Verdana" w:hAnsi="Verdana" w:cs="Times New Roman"/>
                <w:b w:val="0"/>
                <w:sz w:val="17"/>
                <w:szCs w:val="17"/>
                <w:lang w:val="en-GB"/>
              </w:rPr>
            </w:pPr>
          </w:p>
        </w:tc>
        <w:tc>
          <w:tcPr>
            <w:tcW w:w="6116" w:type="dxa"/>
            <w:shd w:val="clear" w:color="auto" w:fill="auto"/>
          </w:tcPr>
          <w:p w14:paraId="64000227" w14:textId="5C16BB30" w:rsidR="00C37A6F" w:rsidRPr="00E76E73" w:rsidRDefault="00C37A6F" w:rsidP="00C37A6F">
            <w:pPr>
              <w:pStyle w:val="NormalBold"/>
              <w:rPr>
                <w:rFonts w:ascii="Verdana" w:hAnsi="Verdana" w:cs="Times New Roman"/>
                <w:b w:val="0"/>
                <w:sz w:val="17"/>
                <w:szCs w:val="17"/>
                <w:lang w:val="en-GB"/>
              </w:rPr>
            </w:pPr>
            <w:r w:rsidRPr="00E76E73">
              <w:rPr>
                <w:rFonts w:ascii="Verdana" w:hAnsi="Verdana" w:cs="Times New Roman"/>
                <w:b w:val="0"/>
                <w:sz w:val="17"/>
                <w:szCs w:val="17"/>
                <w:lang w:val="en-GB"/>
              </w:rPr>
              <w:t xml:space="preserve">When NSA has serious concerns regarding the risk profile of an LRPU, the NSA </w:t>
            </w:r>
            <w:r w:rsidRPr="00E76E73">
              <w:rPr>
                <w:rFonts w:ascii="Verdana" w:hAnsi="Verdana" w:cs="Times New Roman"/>
                <w:sz w:val="17"/>
                <w:szCs w:val="17"/>
                <w:lang w:val="en-GB"/>
              </w:rPr>
              <w:t xml:space="preserve">shall </w:t>
            </w:r>
            <w:r w:rsidRPr="00E76E73">
              <w:rPr>
                <w:rFonts w:ascii="Verdana" w:hAnsi="Verdana" w:cs="Times New Roman"/>
                <w:b w:val="0"/>
                <w:sz w:val="17"/>
                <w:szCs w:val="17"/>
                <w:lang w:val="en-GB"/>
              </w:rPr>
              <w:t>request to refrain from using measures (</w:t>
            </w:r>
            <w:proofErr w:type="gramStart"/>
            <w:r w:rsidRPr="00E76E73">
              <w:rPr>
                <w:rFonts w:ascii="Verdana" w:hAnsi="Verdana" w:cs="Times New Roman"/>
                <w:b w:val="0"/>
                <w:sz w:val="17"/>
                <w:szCs w:val="17"/>
                <w:lang w:val="en-GB"/>
              </w:rPr>
              <w:t>previously :</w:t>
            </w:r>
            <w:proofErr w:type="gramEnd"/>
            <w:r w:rsidRPr="00E76E73">
              <w:rPr>
                <w:rFonts w:ascii="Verdana" w:hAnsi="Verdana" w:cs="Times New Roman"/>
                <w:b w:val="0"/>
                <w:sz w:val="17"/>
                <w:szCs w:val="17"/>
                <w:lang w:val="en-GB"/>
              </w:rPr>
              <w:t xml:space="preserve"> may ask to refrain in exceptional circumstances</w:t>
            </w:r>
          </w:p>
        </w:tc>
        <w:tc>
          <w:tcPr>
            <w:tcW w:w="1909" w:type="dxa"/>
            <w:shd w:val="clear" w:color="auto" w:fill="auto"/>
            <w:vAlign w:val="center"/>
          </w:tcPr>
          <w:p w14:paraId="6F5F8687" w14:textId="65C27D27"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MacManus</w:t>
            </w:r>
          </w:p>
        </w:tc>
        <w:tc>
          <w:tcPr>
            <w:tcW w:w="2543" w:type="dxa"/>
            <w:shd w:val="clear" w:color="auto" w:fill="auto"/>
            <w:vAlign w:val="center"/>
          </w:tcPr>
          <w:p w14:paraId="3EB8EC9E" w14:textId="0D747B92"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Proportionality</w:t>
            </w:r>
          </w:p>
        </w:tc>
        <w:tc>
          <w:tcPr>
            <w:tcW w:w="1293" w:type="dxa"/>
            <w:shd w:val="clear" w:color="auto" w:fill="auto"/>
            <w:vAlign w:val="center"/>
          </w:tcPr>
          <w:p w14:paraId="575A41BD" w14:textId="48B546F6" w:rsidR="00C37A6F" w:rsidRPr="00E76E73" w:rsidRDefault="00C37A6F" w:rsidP="0084620E">
            <w:pPr>
              <w:pStyle w:val="NormalBold"/>
              <w:jc w:val="center"/>
              <w:rPr>
                <w:rFonts w:ascii="Verdana" w:hAnsi="Verdana" w:cs="Times New Roman"/>
                <w:b w:val="0"/>
                <w:sz w:val="17"/>
                <w:szCs w:val="17"/>
                <w:lang w:val="en-GB"/>
              </w:rPr>
            </w:pPr>
            <w:r w:rsidRPr="00D43554">
              <w:rPr>
                <w:rFonts w:ascii="Verdana" w:hAnsi="Verdana"/>
                <w:color w:val="FF0000"/>
                <w:sz w:val="17"/>
                <w:szCs w:val="17"/>
                <w:lang w:val="en-GB"/>
              </w:rPr>
              <w:t>Negative</w:t>
            </w:r>
          </w:p>
        </w:tc>
      </w:tr>
      <w:tr w:rsidR="00C37A6F" w:rsidRPr="00D43554" w14:paraId="1CCC3348" w14:textId="77777777" w:rsidTr="00424768">
        <w:trPr>
          <w:trHeight w:val="499"/>
        </w:trPr>
        <w:tc>
          <w:tcPr>
            <w:tcW w:w="689" w:type="dxa"/>
            <w:shd w:val="clear" w:color="auto" w:fill="auto"/>
            <w:vAlign w:val="center"/>
          </w:tcPr>
          <w:p w14:paraId="314CD5C9" w14:textId="31775448"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390</w:t>
            </w:r>
          </w:p>
        </w:tc>
        <w:tc>
          <w:tcPr>
            <w:tcW w:w="1909" w:type="dxa"/>
            <w:shd w:val="clear" w:color="auto" w:fill="auto"/>
            <w:vAlign w:val="center"/>
          </w:tcPr>
          <w:p w14:paraId="0C52059F" w14:textId="77777777" w:rsidR="00C37A6F" w:rsidRPr="00E76E73" w:rsidRDefault="00C37A6F" w:rsidP="0084620E">
            <w:pPr>
              <w:jc w:val="center"/>
              <w:rPr>
                <w:szCs w:val="17"/>
              </w:rPr>
            </w:pPr>
            <w:r w:rsidRPr="00D43554">
              <w:rPr>
                <w:rStyle w:val="HideTWBExt"/>
                <w:rFonts w:ascii="Verdana" w:hAnsi="Verdana"/>
                <w:sz w:val="17"/>
                <w:szCs w:val="17"/>
                <w:specVanish w:val="0"/>
              </w:rPr>
              <w:t>&lt;Article2&gt;</w:t>
            </w:r>
            <w:r w:rsidRPr="00E76E73">
              <w:rPr>
                <w:szCs w:val="17"/>
              </w:rPr>
              <w:t>Article 29c – paragraph 2</w:t>
            </w:r>
            <w:r w:rsidRPr="00D43554">
              <w:rPr>
                <w:rStyle w:val="HideTWBExt"/>
                <w:rFonts w:ascii="Verdana" w:hAnsi="Verdana"/>
                <w:sz w:val="17"/>
                <w:szCs w:val="17"/>
                <w:specVanish w:val="0"/>
              </w:rPr>
              <w:t>&lt;/Article2&gt;</w:t>
            </w:r>
          </w:p>
          <w:p w14:paraId="6BB258F5" w14:textId="77777777" w:rsidR="00C37A6F" w:rsidRPr="00E76E73" w:rsidRDefault="00C37A6F" w:rsidP="0084620E">
            <w:pPr>
              <w:pStyle w:val="NormalBold"/>
              <w:jc w:val="center"/>
              <w:rPr>
                <w:rFonts w:ascii="Verdana" w:hAnsi="Verdana" w:cs="Times New Roman"/>
                <w:b w:val="0"/>
                <w:sz w:val="17"/>
                <w:szCs w:val="17"/>
                <w:lang w:val="en-GB"/>
              </w:rPr>
            </w:pPr>
          </w:p>
        </w:tc>
        <w:tc>
          <w:tcPr>
            <w:tcW w:w="6116" w:type="dxa"/>
            <w:shd w:val="clear" w:color="auto" w:fill="auto"/>
          </w:tcPr>
          <w:p w14:paraId="340BA026" w14:textId="6F180F7B" w:rsidR="00C37A6F" w:rsidRPr="00E76E73" w:rsidRDefault="00C37A6F" w:rsidP="00C37A6F">
            <w:pPr>
              <w:pStyle w:val="NormalBold"/>
              <w:rPr>
                <w:rFonts w:ascii="Verdana" w:hAnsi="Verdana" w:cs="Times New Roman"/>
                <w:b w:val="0"/>
                <w:sz w:val="17"/>
                <w:szCs w:val="17"/>
                <w:lang w:val="en-GB"/>
              </w:rPr>
            </w:pPr>
            <w:r w:rsidRPr="00E76E73">
              <w:rPr>
                <w:rFonts w:ascii="Verdana" w:hAnsi="Verdana" w:cs="Times New Roman"/>
                <w:b w:val="0"/>
                <w:sz w:val="17"/>
                <w:szCs w:val="17"/>
                <w:lang w:val="en-GB"/>
              </w:rPr>
              <w:t>Removed ‘in exceptional circumstances’ when NSAs have serious concerns</w:t>
            </w:r>
          </w:p>
        </w:tc>
        <w:tc>
          <w:tcPr>
            <w:tcW w:w="1909" w:type="dxa"/>
            <w:shd w:val="clear" w:color="auto" w:fill="auto"/>
            <w:vAlign w:val="center"/>
          </w:tcPr>
          <w:p w14:paraId="3D0B9012" w14:textId="786098DA"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Hahn</w:t>
            </w:r>
          </w:p>
        </w:tc>
        <w:tc>
          <w:tcPr>
            <w:tcW w:w="2543" w:type="dxa"/>
            <w:shd w:val="clear" w:color="auto" w:fill="auto"/>
            <w:vAlign w:val="center"/>
          </w:tcPr>
          <w:p w14:paraId="7FA2DA34" w14:textId="66BADB61"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Proportionality</w:t>
            </w:r>
          </w:p>
        </w:tc>
        <w:tc>
          <w:tcPr>
            <w:tcW w:w="1293" w:type="dxa"/>
            <w:shd w:val="clear" w:color="auto" w:fill="auto"/>
            <w:vAlign w:val="center"/>
          </w:tcPr>
          <w:p w14:paraId="2599EAAA" w14:textId="297EFD78" w:rsidR="00C37A6F" w:rsidRPr="00E76E73" w:rsidRDefault="00C37A6F" w:rsidP="0084620E">
            <w:pPr>
              <w:pStyle w:val="NormalBold"/>
              <w:jc w:val="center"/>
              <w:rPr>
                <w:rFonts w:ascii="Verdana" w:hAnsi="Verdana" w:cs="Times New Roman"/>
                <w:b w:val="0"/>
                <w:sz w:val="17"/>
                <w:szCs w:val="17"/>
                <w:lang w:val="en-GB"/>
              </w:rPr>
            </w:pPr>
            <w:r w:rsidRPr="00D43554">
              <w:rPr>
                <w:rFonts w:ascii="Verdana" w:hAnsi="Verdana"/>
                <w:color w:val="FF0000"/>
                <w:sz w:val="17"/>
                <w:szCs w:val="17"/>
                <w:lang w:val="en-GB"/>
              </w:rPr>
              <w:t>Negative</w:t>
            </w:r>
          </w:p>
        </w:tc>
      </w:tr>
      <w:tr w:rsidR="00C37A6F" w:rsidRPr="00D43554" w14:paraId="62726935" w14:textId="77777777" w:rsidTr="00424768">
        <w:trPr>
          <w:trHeight w:val="499"/>
        </w:trPr>
        <w:tc>
          <w:tcPr>
            <w:tcW w:w="689" w:type="dxa"/>
            <w:shd w:val="clear" w:color="auto" w:fill="auto"/>
            <w:vAlign w:val="center"/>
          </w:tcPr>
          <w:p w14:paraId="5BF44E84" w14:textId="53504C2A"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391</w:t>
            </w:r>
          </w:p>
        </w:tc>
        <w:tc>
          <w:tcPr>
            <w:tcW w:w="1909" w:type="dxa"/>
            <w:shd w:val="clear" w:color="auto" w:fill="auto"/>
            <w:vAlign w:val="center"/>
          </w:tcPr>
          <w:p w14:paraId="32F1E734" w14:textId="78F3CE11" w:rsidR="00C37A6F" w:rsidRPr="00E76E73" w:rsidRDefault="00C37A6F" w:rsidP="0084620E">
            <w:pPr>
              <w:jc w:val="center"/>
              <w:rPr>
                <w:szCs w:val="17"/>
              </w:rPr>
            </w:pPr>
            <w:r w:rsidRPr="00D43554">
              <w:rPr>
                <w:rStyle w:val="HideTWBExt"/>
                <w:rFonts w:ascii="Verdana" w:hAnsi="Verdana"/>
                <w:sz w:val="17"/>
                <w:szCs w:val="17"/>
                <w:specVanish w:val="0"/>
              </w:rPr>
              <w:t>&lt;Article2&gt;</w:t>
            </w:r>
            <w:r w:rsidRPr="00E76E73">
              <w:rPr>
                <w:szCs w:val="17"/>
              </w:rPr>
              <w:t>Article 29d – paragraph 2</w:t>
            </w:r>
            <w:r w:rsidRPr="00D43554">
              <w:rPr>
                <w:rStyle w:val="HideTWBExt"/>
                <w:rFonts w:ascii="Verdana" w:hAnsi="Verdana"/>
                <w:sz w:val="17"/>
                <w:szCs w:val="17"/>
                <w:specVanish w:val="0"/>
              </w:rPr>
              <w:t>&lt;/Article2&gt;</w:t>
            </w:r>
          </w:p>
          <w:p w14:paraId="46750DE5" w14:textId="77777777" w:rsidR="00C37A6F" w:rsidRPr="00E76E73" w:rsidRDefault="00C37A6F" w:rsidP="0084620E">
            <w:pPr>
              <w:pStyle w:val="NormalBold"/>
              <w:jc w:val="center"/>
              <w:rPr>
                <w:rFonts w:ascii="Verdana" w:hAnsi="Verdana" w:cs="Times New Roman"/>
                <w:b w:val="0"/>
                <w:sz w:val="17"/>
                <w:szCs w:val="17"/>
                <w:lang w:val="en-GB"/>
              </w:rPr>
            </w:pPr>
          </w:p>
        </w:tc>
        <w:tc>
          <w:tcPr>
            <w:tcW w:w="6116" w:type="dxa"/>
            <w:shd w:val="clear" w:color="auto" w:fill="auto"/>
          </w:tcPr>
          <w:p w14:paraId="13A2F245" w14:textId="5CD6AFA3" w:rsidR="00C37A6F" w:rsidRPr="00E76E73" w:rsidRDefault="00C37A6F" w:rsidP="00C37A6F">
            <w:pPr>
              <w:pStyle w:val="NormalBold"/>
              <w:rPr>
                <w:rFonts w:ascii="Verdana" w:hAnsi="Verdana" w:cs="Times New Roman"/>
                <w:b w:val="0"/>
                <w:sz w:val="17"/>
                <w:szCs w:val="17"/>
                <w:lang w:val="en-GB"/>
              </w:rPr>
            </w:pPr>
            <w:r w:rsidRPr="00E76E73">
              <w:rPr>
                <w:rFonts w:ascii="Verdana" w:hAnsi="Verdana" w:cs="Times New Roman"/>
                <w:b w:val="0"/>
                <w:sz w:val="17"/>
                <w:szCs w:val="17"/>
                <w:lang w:val="en-GB"/>
              </w:rPr>
              <w:t>Allow NSAs 3 months for their approval/rejection of LRPU status (previously 2)</w:t>
            </w:r>
          </w:p>
        </w:tc>
        <w:tc>
          <w:tcPr>
            <w:tcW w:w="1909" w:type="dxa"/>
            <w:shd w:val="clear" w:color="auto" w:fill="auto"/>
            <w:vAlign w:val="center"/>
          </w:tcPr>
          <w:p w14:paraId="6D350001" w14:textId="0C23853F"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Hahn</w:t>
            </w:r>
          </w:p>
        </w:tc>
        <w:tc>
          <w:tcPr>
            <w:tcW w:w="2543" w:type="dxa"/>
            <w:shd w:val="clear" w:color="auto" w:fill="auto"/>
            <w:vAlign w:val="center"/>
          </w:tcPr>
          <w:p w14:paraId="254E1662" w14:textId="49BB83F9"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Proportionality</w:t>
            </w:r>
          </w:p>
        </w:tc>
        <w:tc>
          <w:tcPr>
            <w:tcW w:w="1293" w:type="dxa"/>
            <w:shd w:val="clear" w:color="auto" w:fill="auto"/>
            <w:vAlign w:val="center"/>
          </w:tcPr>
          <w:p w14:paraId="3FBD765B" w14:textId="78494868" w:rsidR="00C37A6F" w:rsidRPr="00E76E73" w:rsidRDefault="00C37A6F" w:rsidP="0084620E">
            <w:pPr>
              <w:pStyle w:val="NormalBold"/>
              <w:jc w:val="center"/>
              <w:rPr>
                <w:rFonts w:ascii="Verdana" w:hAnsi="Verdana" w:cs="Times New Roman"/>
                <w:b w:val="0"/>
                <w:sz w:val="17"/>
                <w:szCs w:val="17"/>
                <w:lang w:val="en-GB"/>
              </w:rPr>
            </w:pPr>
            <w:r w:rsidRPr="00D43554">
              <w:rPr>
                <w:rFonts w:ascii="Verdana" w:hAnsi="Verdana"/>
                <w:color w:val="808080" w:themeColor="background1" w:themeShade="80"/>
                <w:sz w:val="17"/>
                <w:szCs w:val="17"/>
                <w:lang w:val="en-GB"/>
              </w:rPr>
              <w:t>Neutral</w:t>
            </w:r>
          </w:p>
        </w:tc>
      </w:tr>
      <w:tr w:rsidR="00C37A6F" w:rsidRPr="00D43554" w14:paraId="186BD39F" w14:textId="77777777" w:rsidTr="00424768">
        <w:trPr>
          <w:trHeight w:val="499"/>
        </w:trPr>
        <w:tc>
          <w:tcPr>
            <w:tcW w:w="689" w:type="dxa"/>
            <w:shd w:val="clear" w:color="auto" w:fill="auto"/>
            <w:vAlign w:val="center"/>
          </w:tcPr>
          <w:p w14:paraId="37AAB629" w14:textId="1E3A612A"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lastRenderedPageBreak/>
              <w:t>392</w:t>
            </w:r>
          </w:p>
        </w:tc>
        <w:tc>
          <w:tcPr>
            <w:tcW w:w="1909" w:type="dxa"/>
            <w:shd w:val="clear" w:color="auto" w:fill="auto"/>
            <w:vAlign w:val="center"/>
          </w:tcPr>
          <w:p w14:paraId="040E2631" w14:textId="77777777" w:rsidR="00C37A6F" w:rsidRPr="00E76E73" w:rsidRDefault="00C37A6F" w:rsidP="0084620E">
            <w:pPr>
              <w:jc w:val="center"/>
              <w:rPr>
                <w:szCs w:val="17"/>
              </w:rPr>
            </w:pPr>
            <w:r w:rsidRPr="00D43554">
              <w:rPr>
                <w:rStyle w:val="HideTWBExt"/>
                <w:rFonts w:ascii="Verdana" w:hAnsi="Verdana"/>
                <w:sz w:val="17"/>
                <w:szCs w:val="17"/>
                <w:specVanish w:val="0"/>
              </w:rPr>
              <w:t>&lt;Article2&gt;</w:t>
            </w:r>
            <w:r w:rsidRPr="00E76E73">
              <w:rPr>
                <w:szCs w:val="17"/>
              </w:rPr>
              <w:t>Article 29d – paragraph 4</w:t>
            </w:r>
            <w:r w:rsidRPr="00D43554">
              <w:rPr>
                <w:rStyle w:val="HideTWBExt"/>
                <w:rFonts w:ascii="Verdana" w:hAnsi="Verdana"/>
                <w:sz w:val="17"/>
                <w:szCs w:val="17"/>
                <w:specVanish w:val="0"/>
              </w:rPr>
              <w:t>&lt;/Article2&gt;</w:t>
            </w:r>
          </w:p>
          <w:p w14:paraId="2B1B135E" w14:textId="77777777" w:rsidR="00C37A6F" w:rsidRPr="00E76E73" w:rsidRDefault="00C37A6F" w:rsidP="0084620E">
            <w:pPr>
              <w:pStyle w:val="NormalBold"/>
              <w:jc w:val="center"/>
              <w:rPr>
                <w:rFonts w:ascii="Verdana" w:hAnsi="Verdana" w:cs="Times New Roman"/>
                <w:b w:val="0"/>
                <w:sz w:val="17"/>
                <w:szCs w:val="17"/>
                <w:lang w:val="en-GB"/>
              </w:rPr>
            </w:pPr>
          </w:p>
        </w:tc>
        <w:tc>
          <w:tcPr>
            <w:tcW w:w="6116" w:type="dxa"/>
            <w:shd w:val="clear" w:color="auto" w:fill="auto"/>
          </w:tcPr>
          <w:p w14:paraId="48C2DA22" w14:textId="41711534" w:rsidR="00C37A6F" w:rsidRPr="00E76E73" w:rsidRDefault="00C37A6F" w:rsidP="00C37A6F">
            <w:pPr>
              <w:pStyle w:val="NormalBold"/>
              <w:rPr>
                <w:rFonts w:ascii="Verdana" w:hAnsi="Verdana" w:cs="Times New Roman"/>
                <w:b w:val="0"/>
                <w:sz w:val="17"/>
                <w:szCs w:val="17"/>
                <w:lang w:val="en-GB"/>
              </w:rPr>
            </w:pPr>
            <w:r w:rsidRPr="00E76E73">
              <w:rPr>
                <w:rFonts w:ascii="Verdana" w:hAnsi="Verdana" w:cs="Times New Roman"/>
                <w:b w:val="0"/>
                <w:sz w:val="17"/>
                <w:szCs w:val="17"/>
                <w:lang w:val="en-GB"/>
              </w:rPr>
              <w:t>Within first 6 months, allow NSAs 6 months for their approval/rejection of LRPU status (previously 4)</w:t>
            </w:r>
          </w:p>
        </w:tc>
        <w:tc>
          <w:tcPr>
            <w:tcW w:w="1909" w:type="dxa"/>
            <w:shd w:val="clear" w:color="auto" w:fill="auto"/>
            <w:vAlign w:val="center"/>
          </w:tcPr>
          <w:p w14:paraId="76373426" w14:textId="0EF307D4"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Hahn</w:t>
            </w:r>
          </w:p>
        </w:tc>
        <w:tc>
          <w:tcPr>
            <w:tcW w:w="2543" w:type="dxa"/>
            <w:shd w:val="clear" w:color="auto" w:fill="auto"/>
            <w:vAlign w:val="center"/>
          </w:tcPr>
          <w:p w14:paraId="3ED881ED" w14:textId="1C8004C5"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Proportionality</w:t>
            </w:r>
          </w:p>
        </w:tc>
        <w:tc>
          <w:tcPr>
            <w:tcW w:w="1293" w:type="dxa"/>
            <w:shd w:val="clear" w:color="auto" w:fill="auto"/>
            <w:vAlign w:val="center"/>
          </w:tcPr>
          <w:p w14:paraId="12FD3F23" w14:textId="5107CE6A" w:rsidR="00C37A6F" w:rsidRPr="00E76E73" w:rsidRDefault="00C37A6F" w:rsidP="0084620E">
            <w:pPr>
              <w:pStyle w:val="NormalBold"/>
              <w:jc w:val="center"/>
              <w:rPr>
                <w:rFonts w:ascii="Verdana" w:hAnsi="Verdana" w:cs="Times New Roman"/>
                <w:b w:val="0"/>
                <w:sz w:val="17"/>
                <w:szCs w:val="17"/>
                <w:lang w:val="en-GB"/>
              </w:rPr>
            </w:pPr>
            <w:r w:rsidRPr="00D43554">
              <w:rPr>
                <w:rFonts w:ascii="Verdana" w:hAnsi="Verdana"/>
                <w:color w:val="808080" w:themeColor="background1" w:themeShade="80"/>
                <w:sz w:val="17"/>
                <w:szCs w:val="17"/>
                <w:lang w:val="en-GB"/>
              </w:rPr>
              <w:t>Neutral</w:t>
            </w:r>
          </w:p>
        </w:tc>
      </w:tr>
      <w:tr w:rsidR="00C37A6F" w:rsidRPr="00D43554" w14:paraId="7B2EAD33" w14:textId="77777777" w:rsidTr="00424768">
        <w:trPr>
          <w:trHeight w:val="499"/>
        </w:trPr>
        <w:tc>
          <w:tcPr>
            <w:tcW w:w="689" w:type="dxa"/>
            <w:shd w:val="clear" w:color="auto" w:fill="auto"/>
            <w:vAlign w:val="center"/>
          </w:tcPr>
          <w:p w14:paraId="2168F07A" w14:textId="0916C2DF"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393</w:t>
            </w:r>
          </w:p>
        </w:tc>
        <w:tc>
          <w:tcPr>
            <w:tcW w:w="1909" w:type="dxa"/>
            <w:shd w:val="clear" w:color="auto" w:fill="auto"/>
            <w:vAlign w:val="center"/>
          </w:tcPr>
          <w:p w14:paraId="005E3FCF" w14:textId="77777777" w:rsidR="00C37A6F" w:rsidRPr="00E76E73" w:rsidRDefault="00C37A6F" w:rsidP="0084620E">
            <w:pPr>
              <w:jc w:val="center"/>
              <w:rPr>
                <w:szCs w:val="17"/>
              </w:rPr>
            </w:pPr>
            <w:r w:rsidRPr="00D43554">
              <w:rPr>
                <w:rStyle w:val="HideTWBExt"/>
                <w:rFonts w:ascii="Verdana" w:hAnsi="Verdana"/>
                <w:sz w:val="17"/>
                <w:szCs w:val="17"/>
                <w:specVanish w:val="0"/>
              </w:rPr>
              <w:t>&lt;Article2&gt;</w:t>
            </w:r>
            <w:r w:rsidRPr="00E76E73">
              <w:rPr>
                <w:szCs w:val="17"/>
              </w:rPr>
              <w:t>Article 30a (new)</w:t>
            </w:r>
            <w:r w:rsidRPr="00D43554">
              <w:rPr>
                <w:rStyle w:val="HideTWBExt"/>
                <w:rFonts w:ascii="Verdana" w:hAnsi="Verdana"/>
                <w:sz w:val="17"/>
                <w:szCs w:val="17"/>
                <w:specVanish w:val="0"/>
              </w:rPr>
              <w:t>&lt;/Article2&gt;</w:t>
            </w:r>
          </w:p>
          <w:p w14:paraId="51DE39BB" w14:textId="77777777" w:rsidR="00C37A6F" w:rsidRPr="00E76E73" w:rsidRDefault="00C37A6F" w:rsidP="0084620E">
            <w:pPr>
              <w:pStyle w:val="NormalBold"/>
              <w:jc w:val="center"/>
              <w:rPr>
                <w:rFonts w:ascii="Verdana" w:hAnsi="Verdana" w:cs="Times New Roman"/>
                <w:b w:val="0"/>
                <w:sz w:val="17"/>
                <w:szCs w:val="17"/>
                <w:lang w:val="en-GB"/>
              </w:rPr>
            </w:pPr>
          </w:p>
        </w:tc>
        <w:tc>
          <w:tcPr>
            <w:tcW w:w="6116" w:type="dxa"/>
            <w:shd w:val="clear" w:color="auto" w:fill="auto"/>
          </w:tcPr>
          <w:p w14:paraId="6FAC2A7F" w14:textId="77777777" w:rsidR="00C37A6F" w:rsidRPr="00E76E73" w:rsidRDefault="00C37A6F" w:rsidP="00C37A6F">
            <w:pPr>
              <w:pStyle w:val="NormalBold"/>
              <w:rPr>
                <w:rFonts w:ascii="Verdana" w:hAnsi="Verdana" w:cs="Times New Roman"/>
                <w:b w:val="0"/>
                <w:sz w:val="17"/>
                <w:szCs w:val="17"/>
                <w:lang w:val="en-GB"/>
              </w:rPr>
            </w:pPr>
            <w:r w:rsidRPr="00E76E73">
              <w:rPr>
                <w:rFonts w:ascii="Verdana" w:hAnsi="Verdana" w:cs="Times New Roman"/>
                <w:b w:val="0"/>
                <w:sz w:val="17"/>
                <w:szCs w:val="17"/>
                <w:lang w:val="en-GB"/>
              </w:rPr>
              <w:t>New article on ‘supervisory independence and responsibilities’ ensuring that NSAs have the expertise, resources, operational capacity, powers and independence necessary to carry out the functions relating to prudential supervision, investigations and the enforcement measures in the Dir</w:t>
            </w:r>
          </w:p>
          <w:p w14:paraId="5559AABA" w14:textId="227076BB" w:rsidR="00C37A6F" w:rsidRPr="00E76E73" w:rsidRDefault="00C37A6F" w:rsidP="00C37A6F">
            <w:pPr>
              <w:pStyle w:val="NormalBold"/>
              <w:rPr>
                <w:rFonts w:ascii="Verdana" w:hAnsi="Verdana" w:cs="Times New Roman"/>
                <w:b w:val="0"/>
                <w:sz w:val="17"/>
                <w:szCs w:val="17"/>
                <w:lang w:val="en-GB"/>
              </w:rPr>
            </w:pPr>
            <w:r w:rsidRPr="00E76E73">
              <w:rPr>
                <w:rFonts w:ascii="Verdana" w:hAnsi="Verdana" w:cs="Times New Roman"/>
                <w:b w:val="0"/>
                <w:sz w:val="17"/>
                <w:szCs w:val="17"/>
                <w:lang w:val="en-GB"/>
              </w:rPr>
              <w:t>And EIOPA to develop guidance in relation to this.</w:t>
            </w:r>
          </w:p>
        </w:tc>
        <w:tc>
          <w:tcPr>
            <w:tcW w:w="1909" w:type="dxa"/>
            <w:shd w:val="clear" w:color="auto" w:fill="auto"/>
            <w:vAlign w:val="center"/>
          </w:tcPr>
          <w:p w14:paraId="6BF77BB5" w14:textId="296D4A68"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Hahn</w:t>
            </w:r>
          </w:p>
        </w:tc>
        <w:tc>
          <w:tcPr>
            <w:tcW w:w="2543" w:type="dxa"/>
            <w:shd w:val="clear" w:color="auto" w:fill="auto"/>
            <w:vAlign w:val="center"/>
          </w:tcPr>
          <w:p w14:paraId="1051BC4D" w14:textId="2FD88800"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Supervisory independence</w:t>
            </w:r>
          </w:p>
        </w:tc>
        <w:tc>
          <w:tcPr>
            <w:tcW w:w="1293" w:type="dxa"/>
            <w:shd w:val="clear" w:color="auto" w:fill="auto"/>
            <w:vAlign w:val="center"/>
          </w:tcPr>
          <w:p w14:paraId="2AB19F08" w14:textId="55CBD650" w:rsidR="00C37A6F" w:rsidRPr="00E76E73" w:rsidRDefault="00C37A6F" w:rsidP="0084620E">
            <w:pPr>
              <w:pStyle w:val="NormalBold"/>
              <w:jc w:val="center"/>
              <w:rPr>
                <w:rFonts w:ascii="Verdana" w:hAnsi="Verdana" w:cs="Times New Roman"/>
                <w:b w:val="0"/>
                <w:sz w:val="17"/>
                <w:szCs w:val="17"/>
                <w:lang w:val="en-GB"/>
              </w:rPr>
            </w:pPr>
            <w:r w:rsidRPr="00D43554">
              <w:rPr>
                <w:rFonts w:ascii="Verdana" w:hAnsi="Verdana"/>
                <w:color w:val="00B050"/>
                <w:sz w:val="17"/>
                <w:szCs w:val="17"/>
                <w:lang w:val="en-GB"/>
              </w:rPr>
              <w:t>Positive</w:t>
            </w:r>
          </w:p>
        </w:tc>
      </w:tr>
      <w:tr w:rsidR="00C37A6F" w:rsidRPr="00D43554" w14:paraId="7A79705B" w14:textId="77777777" w:rsidTr="00424768">
        <w:trPr>
          <w:trHeight w:val="499"/>
        </w:trPr>
        <w:tc>
          <w:tcPr>
            <w:tcW w:w="689" w:type="dxa"/>
            <w:shd w:val="clear" w:color="auto" w:fill="auto"/>
            <w:vAlign w:val="center"/>
          </w:tcPr>
          <w:p w14:paraId="0E4D128E" w14:textId="37188C5C"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394</w:t>
            </w:r>
          </w:p>
        </w:tc>
        <w:tc>
          <w:tcPr>
            <w:tcW w:w="1909" w:type="dxa"/>
            <w:shd w:val="clear" w:color="auto" w:fill="auto"/>
            <w:vAlign w:val="center"/>
          </w:tcPr>
          <w:p w14:paraId="42B668A9" w14:textId="77777777" w:rsidR="00C37A6F" w:rsidRPr="00424768" w:rsidRDefault="00C37A6F" w:rsidP="0084620E">
            <w:pPr>
              <w:jc w:val="center"/>
              <w:rPr>
                <w:szCs w:val="17"/>
                <w:lang w:val="fr-BE"/>
              </w:rPr>
            </w:pPr>
            <w:r w:rsidRPr="00424768">
              <w:rPr>
                <w:rStyle w:val="HideTWBExt"/>
                <w:rFonts w:ascii="Verdana" w:hAnsi="Verdana"/>
                <w:sz w:val="17"/>
                <w:szCs w:val="17"/>
                <w:lang w:val="fr-BE"/>
                <w:specVanish w:val="0"/>
              </w:rPr>
              <w:t>&lt;Article2&gt;</w:t>
            </w:r>
            <w:r w:rsidRPr="00424768">
              <w:rPr>
                <w:szCs w:val="17"/>
                <w:lang w:val="fr-BE"/>
              </w:rPr>
              <w:t>Article 31 – paragraph 2 – point e a (new)</w:t>
            </w:r>
            <w:r w:rsidRPr="00424768">
              <w:rPr>
                <w:rStyle w:val="HideTWBExt"/>
                <w:rFonts w:ascii="Verdana" w:hAnsi="Verdana"/>
                <w:sz w:val="17"/>
                <w:szCs w:val="17"/>
                <w:lang w:val="fr-BE"/>
                <w:specVanish w:val="0"/>
              </w:rPr>
              <w:t>&lt;/Article2&gt;</w:t>
            </w:r>
          </w:p>
          <w:p w14:paraId="3DCD806B" w14:textId="77777777" w:rsidR="00C37A6F" w:rsidRPr="00424768" w:rsidRDefault="00C37A6F" w:rsidP="0084620E">
            <w:pPr>
              <w:pStyle w:val="NormalBold"/>
              <w:jc w:val="center"/>
              <w:rPr>
                <w:rFonts w:ascii="Verdana" w:hAnsi="Verdana" w:cs="Times New Roman"/>
                <w:b w:val="0"/>
                <w:sz w:val="17"/>
                <w:szCs w:val="17"/>
              </w:rPr>
            </w:pPr>
          </w:p>
        </w:tc>
        <w:tc>
          <w:tcPr>
            <w:tcW w:w="6116" w:type="dxa"/>
            <w:shd w:val="clear" w:color="auto" w:fill="auto"/>
          </w:tcPr>
          <w:p w14:paraId="0FC45081" w14:textId="493E88C1" w:rsidR="00C37A6F" w:rsidRPr="00E76E73" w:rsidRDefault="00C37A6F" w:rsidP="00C37A6F">
            <w:pPr>
              <w:pStyle w:val="NormalBold"/>
              <w:rPr>
                <w:rFonts w:ascii="Verdana" w:hAnsi="Verdana" w:cs="Times New Roman"/>
                <w:b w:val="0"/>
                <w:sz w:val="17"/>
                <w:szCs w:val="17"/>
                <w:lang w:val="en-GB"/>
              </w:rPr>
            </w:pPr>
            <w:r w:rsidRPr="00E76E73">
              <w:rPr>
                <w:rFonts w:ascii="Verdana" w:hAnsi="Verdana" w:cs="Times New Roman"/>
                <w:b w:val="0"/>
                <w:sz w:val="17"/>
                <w:szCs w:val="17"/>
                <w:lang w:val="en-GB"/>
              </w:rPr>
              <w:t>Added to ‘transparency and accountability’ the reporting of the number of staff leaving the NSA for a company supervised by the NSA</w:t>
            </w:r>
          </w:p>
        </w:tc>
        <w:tc>
          <w:tcPr>
            <w:tcW w:w="1909" w:type="dxa"/>
            <w:shd w:val="clear" w:color="auto" w:fill="auto"/>
            <w:vAlign w:val="center"/>
          </w:tcPr>
          <w:p w14:paraId="79513136" w14:textId="2D8B3DA4"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Hahn</w:t>
            </w:r>
          </w:p>
        </w:tc>
        <w:tc>
          <w:tcPr>
            <w:tcW w:w="2543" w:type="dxa"/>
            <w:shd w:val="clear" w:color="auto" w:fill="auto"/>
            <w:vAlign w:val="center"/>
          </w:tcPr>
          <w:p w14:paraId="3AD9E857" w14:textId="4831773A"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Transparency and accountability</w:t>
            </w:r>
          </w:p>
        </w:tc>
        <w:tc>
          <w:tcPr>
            <w:tcW w:w="1293" w:type="dxa"/>
            <w:shd w:val="clear" w:color="auto" w:fill="auto"/>
            <w:vAlign w:val="center"/>
          </w:tcPr>
          <w:p w14:paraId="54B33808" w14:textId="7455E8B7" w:rsidR="00C37A6F" w:rsidRPr="00E76E73" w:rsidRDefault="00BA218E" w:rsidP="0084620E">
            <w:pPr>
              <w:pStyle w:val="NormalBold"/>
              <w:jc w:val="center"/>
              <w:rPr>
                <w:rFonts w:ascii="Verdana" w:hAnsi="Verdana" w:cs="Times New Roman"/>
                <w:b w:val="0"/>
                <w:sz w:val="17"/>
                <w:szCs w:val="17"/>
                <w:lang w:val="en-GB"/>
              </w:rPr>
            </w:pPr>
            <w:r w:rsidRPr="00E76E73">
              <w:rPr>
                <w:rFonts w:ascii="Verdana" w:hAnsi="Verdana"/>
                <w:b w:val="0"/>
                <w:color w:val="808080" w:themeColor="background1" w:themeShade="80"/>
                <w:sz w:val="17"/>
                <w:szCs w:val="17"/>
                <w:lang w:val="en-GB"/>
              </w:rPr>
              <w:t>Neutral</w:t>
            </w:r>
          </w:p>
        </w:tc>
      </w:tr>
      <w:tr w:rsidR="00C37A6F" w:rsidRPr="00D43554" w14:paraId="5AFD3D78" w14:textId="77777777" w:rsidTr="00424768">
        <w:trPr>
          <w:trHeight w:val="499"/>
        </w:trPr>
        <w:tc>
          <w:tcPr>
            <w:tcW w:w="689" w:type="dxa"/>
            <w:shd w:val="clear" w:color="auto" w:fill="auto"/>
            <w:vAlign w:val="center"/>
          </w:tcPr>
          <w:p w14:paraId="7A3A30D8" w14:textId="4B63300C"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395</w:t>
            </w:r>
          </w:p>
        </w:tc>
        <w:tc>
          <w:tcPr>
            <w:tcW w:w="1909" w:type="dxa"/>
            <w:shd w:val="clear" w:color="auto" w:fill="auto"/>
            <w:vAlign w:val="center"/>
          </w:tcPr>
          <w:p w14:paraId="2570C2D6" w14:textId="248528E0" w:rsidR="00C37A6F" w:rsidRPr="00E76E73" w:rsidRDefault="00C37A6F" w:rsidP="0084620E">
            <w:pPr>
              <w:jc w:val="center"/>
              <w:rPr>
                <w:szCs w:val="17"/>
              </w:rPr>
            </w:pPr>
            <w:r w:rsidRPr="00E76E73">
              <w:rPr>
                <w:szCs w:val="17"/>
              </w:rPr>
              <w:t>Article 31 – paragraph 2 – subparagraph 3</w:t>
            </w:r>
          </w:p>
        </w:tc>
        <w:tc>
          <w:tcPr>
            <w:tcW w:w="6116" w:type="dxa"/>
            <w:shd w:val="clear" w:color="auto" w:fill="auto"/>
          </w:tcPr>
          <w:p w14:paraId="71EF42A9" w14:textId="7F11203D" w:rsidR="00C37A6F" w:rsidRPr="00E76E73" w:rsidRDefault="00C37A6F" w:rsidP="0084620E">
            <w:pPr>
              <w:jc w:val="left"/>
              <w:rPr>
                <w:szCs w:val="17"/>
              </w:rPr>
            </w:pPr>
            <w:r w:rsidRPr="00E76E73">
              <w:rPr>
                <w:szCs w:val="17"/>
              </w:rPr>
              <w:t>Specifying that the change in A394 should also become available publicly</w:t>
            </w:r>
          </w:p>
        </w:tc>
        <w:tc>
          <w:tcPr>
            <w:tcW w:w="1909" w:type="dxa"/>
            <w:shd w:val="clear" w:color="auto" w:fill="auto"/>
            <w:vAlign w:val="center"/>
          </w:tcPr>
          <w:p w14:paraId="02DD5312" w14:textId="0FA2FE7C" w:rsidR="00C37A6F" w:rsidRPr="00E76E73" w:rsidRDefault="00C37A6F" w:rsidP="0084620E">
            <w:pPr>
              <w:jc w:val="center"/>
              <w:rPr>
                <w:szCs w:val="17"/>
              </w:rPr>
            </w:pPr>
            <w:r w:rsidRPr="00E76E73">
              <w:rPr>
                <w:szCs w:val="17"/>
              </w:rPr>
              <w:t>Hahn</w:t>
            </w:r>
          </w:p>
        </w:tc>
        <w:tc>
          <w:tcPr>
            <w:tcW w:w="2543" w:type="dxa"/>
            <w:shd w:val="clear" w:color="auto" w:fill="auto"/>
            <w:vAlign w:val="center"/>
          </w:tcPr>
          <w:p w14:paraId="7FC88ECF" w14:textId="7C8F276B" w:rsidR="00C37A6F" w:rsidRPr="00E76E73" w:rsidRDefault="00C37A6F" w:rsidP="0084620E">
            <w:pPr>
              <w:jc w:val="center"/>
              <w:rPr>
                <w:szCs w:val="17"/>
              </w:rPr>
            </w:pPr>
            <w:r w:rsidRPr="00E76E73">
              <w:rPr>
                <w:szCs w:val="17"/>
              </w:rPr>
              <w:t>Transparency and accountability</w:t>
            </w:r>
          </w:p>
        </w:tc>
        <w:tc>
          <w:tcPr>
            <w:tcW w:w="1293" w:type="dxa"/>
            <w:shd w:val="clear" w:color="auto" w:fill="auto"/>
            <w:vAlign w:val="center"/>
          </w:tcPr>
          <w:p w14:paraId="4C1BA106" w14:textId="1ECDAA7F" w:rsidR="00C37A6F" w:rsidRPr="00E76E73" w:rsidRDefault="00BA218E" w:rsidP="0084620E">
            <w:pPr>
              <w:jc w:val="center"/>
              <w:rPr>
                <w:szCs w:val="17"/>
              </w:rPr>
            </w:pPr>
            <w:r w:rsidRPr="00976882">
              <w:rPr>
                <w:b/>
                <w:color w:val="808080" w:themeColor="background1" w:themeShade="80"/>
                <w:szCs w:val="17"/>
              </w:rPr>
              <w:t>Neutral</w:t>
            </w:r>
          </w:p>
        </w:tc>
      </w:tr>
      <w:tr w:rsidR="00C37A6F" w:rsidRPr="00D43554" w14:paraId="0FDA7C95" w14:textId="77777777" w:rsidTr="00424768">
        <w:trPr>
          <w:trHeight w:val="499"/>
        </w:trPr>
        <w:tc>
          <w:tcPr>
            <w:tcW w:w="689" w:type="dxa"/>
            <w:shd w:val="clear" w:color="auto" w:fill="auto"/>
            <w:vAlign w:val="center"/>
          </w:tcPr>
          <w:p w14:paraId="44BE8B91" w14:textId="77771D87"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396</w:t>
            </w:r>
          </w:p>
        </w:tc>
        <w:tc>
          <w:tcPr>
            <w:tcW w:w="1909" w:type="dxa"/>
            <w:shd w:val="clear" w:color="auto" w:fill="auto"/>
            <w:vAlign w:val="center"/>
          </w:tcPr>
          <w:p w14:paraId="5CFD24BF" w14:textId="11293984" w:rsidR="00C37A6F" w:rsidRPr="00E76E73" w:rsidRDefault="00C37A6F" w:rsidP="0084620E">
            <w:pPr>
              <w:jc w:val="center"/>
              <w:rPr>
                <w:szCs w:val="17"/>
              </w:rPr>
            </w:pPr>
            <w:r w:rsidRPr="00E76E73">
              <w:rPr>
                <w:szCs w:val="17"/>
              </w:rPr>
              <w:t>Article 33a – paragraph 1 – subparagraph 1</w:t>
            </w:r>
          </w:p>
        </w:tc>
        <w:tc>
          <w:tcPr>
            <w:tcW w:w="6116" w:type="dxa"/>
            <w:shd w:val="clear" w:color="auto" w:fill="auto"/>
          </w:tcPr>
          <w:p w14:paraId="7677A2E1" w14:textId="1E25A1E1" w:rsidR="00C37A6F" w:rsidRPr="00E76E73" w:rsidRDefault="00C37A6F" w:rsidP="0084620E">
            <w:pPr>
              <w:jc w:val="left"/>
              <w:rPr>
                <w:szCs w:val="17"/>
              </w:rPr>
            </w:pPr>
            <w:r w:rsidRPr="00E76E73">
              <w:rPr>
                <w:szCs w:val="17"/>
              </w:rPr>
              <w:t>Removed the following from significant cross border activity provision that home and host MS shall cooperate: ‘</w:t>
            </w:r>
            <w:r w:rsidRPr="00E76E73">
              <w:rPr>
                <w:i/>
                <w:szCs w:val="17"/>
              </w:rPr>
              <w:t>carried out by insurance and reinsurance undertakings under the right of establishment or the freedom to provide services’</w:t>
            </w:r>
          </w:p>
        </w:tc>
        <w:tc>
          <w:tcPr>
            <w:tcW w:w="1909" w:type="dxa"/>
            <w:shd w:val="clear" w:color="auto" w:fill="auto"/>
            <w:vAlign w:val="center"/>
          </w:tcPr>
          <w:p w14:paraId="66B0765D" w14:textId="4F0EB2FA" w:rsidR="00C37A6F" w:rsidRPr="00E76E73" w:rsidRDefault="00C37A6F" w:rsidP="0084620E">
            <w:pPr>
              <w:jc w:val="center"/>
              <w:rPr>
                <w:szCs w:val="17"/>
              </w:rPr>
            </w:pPr>
            <w:r w:rsidRPr="00E76E73">
              <w:rPr>
                <w:szCs w:val="17"/>
              </w:rPr>
              <w:t>Fitzgerald</w:t>
            </w:r>
          </w:p>
        </w:tc>
        <w:tc>
          <w:tcPr>
            <w:tcW w:w="2543" w:type="dxa"/>
            <w:shd w:val="clear" w:color="auto" w:fill="auto"/>
            <w:vAlign w:val="center"/>
          </w:tcPr>
          <w:p w14:paraId="1AB9CBE4" w14:textId="75E793FB" w:rsidR="00C37A6F" w:rsidRPr="00E76E73" w:rsidRDefault="00C37A6F" w:rsidP="0084620E">
            <w:pPr>
              <w:jc w:val="center"/>
              <w:rPr>
                <w:szCs w:val="17"/>
              </w:rPr>
            </w:pPr>
            <w:r w:rsidRPr="00E76E73">
              <w:rPr>
                <w:szCs w:val="17"/>
              </w:rPr>
              <w:t>Cross border</w:t>
            </w:r>
          </w:p>
        </w:tc>
        <w:tc>
          <w:tcPr>
            <w:tcW w:w="1293" w:type="dxa"/>
            <w:shd w:val="clear" w:color="auto" w:fill="auto"/>
            <w:vAlign w:val="center"/>
          </w:tcPr>
          <w:p w14:paraId="64CFB834" w14:textId="531280E9" w:rsidR="00C37A6F" w:rsidRPr="00E76E73" w:rsidRDefault="00BA218E" w:rsidP="0084620E">
            <w:pPr>
              <w:jc w:val="center"/>
              <w:rPr>
                <w:szCs w:val="17"/>
              </w:rPr>
            </w:pPr>
            <w:r w:rsidRPr="00976882">
              <w:rPr>
                <w:b/>
                <w:color w:val="808080" w:themeColor="background1" w:themeShade="80"/>
                <w:szCs w:val="17"/>
              </w:rPr>
              <w:t>Neutral</w:t>
            </w:r>
          </w:p>
        </w:tc>
      </w:tr>
      <w:tr w:rsidR="00C37A6F" w:rsidRPr="00D43554" w14:paraId="1631547B" w14:textId="77777777" w:rsidTr="00424768">
        <w:trPr>
          <w:trHeight w:val="499"/>
        </w:trPr>
        <w:tc>
          <w:tcPr>
            <w:tcW w:w="689" w:type="dxa"/>
            <w:shd w:val="clear" w:color="auto" w:fill="auto"/>
            <w:vAlign w:val="center"/>
          </w:tcPr>
          <w:p w14:paraId="5C1A7BE4" w14:textId="567AB717"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397</w:t>
            </w:r>
          </w:p>
        </w:tc>
        <w:tc>
          <w:tcPr>
            <w:tcW w:w="1909" w:type="dxa"/>
            <w:shd w:val="clear" w:color="auto" w:fill="auto"/>
            <w:vAlign w:val="center"/>
          </w:tcPr>
          <w:p w14:paraId="5946D6CC" w14:textId="77777777" w:rsidR="00C37A6F" w:rsidRPr="00E76E73" w:rsidRDefault="00C37A6F" w:rsidP="0084620E">
            <w:pPr>
              <w:jc w:val="center"/>
              <w:rPr>
                <w:szCs w:val="17"/>
              </w:rPr>
            </w:pPr>
            <w:r w:rsidRPr="00D43554">
              <w:rPr>
                <w:rStyle w:val="HideTWBExt"/>
                <w:rFonts w:ascii="Verdana" w:hAnsi="Verdana"/>
                <w:sz w:val="17"/>
                <w:szCs w:val="17"/>
                <w:specVanish w:val="0"/>
              </w:rPr>
              <w:t>&lt;Article2&gt;</w:t>
            </w:r>
            <w:r w:rsidRPr="00E76E73">
              <w:rPr>
                <w:szCs w:val="17"/>
              </w:rPr>
              <w:t>Article 33a – paragraph 1 – subparagraph 1</w:t>
            </w:r>
            <w:r w:rsidRPr="00D43554">
              <w:rPr>
                <w:rStyle w:val="HideTWBExt"/>
                <w:rFonts w:ascii="Verdana" w:hAnsi="Verdana"/>
                <w:sz w:val="17"/>
                <w:szCs w:val="17"/>
                <w:specVanish w:val="0"/>
              </w:rPr>
              <w:t>&lt;/Article2&gt;</w:t>
            </w:r>
          </w:p>
          <w:p w14:paraId="7F0FAFB1" w14:textId="77777777" w:rsidR="00C37A6F" w:rsidRPr="00E76E73" w:rsidRDefault="00C37A6F" w:rsidP="0084620E">
            <w:pPr>
              <w:jc w:val="center"/>
              <w:rPr>
                <w:szCs w:val="17"/>
              </w:rPr>
            </w:pPr>
          </w:p>
        </w:tc>
        <w:tc>
          <w:tcPr>
            <w:tcW w:w="6116" w:type="dxa"/>
            <w:shd w:val="clear" w:color="auto" w:fill="auto"/>
          </w:tcPr>
          <w:p w14:paraId="17D41FA6" w14:textId="31FB4C22" w:rsidR="00C37A6F" w:rsidRPr="00E76E73" w:rsidRDefault="00C37A6F" w:rsidP="0084620E">
            <w:pPr>
              <w:jc w:val="left"/>
              <w:rPr>
                <w:szCs w:val="17"/>
              </w:rPr>
            </w:pPr>
            <w:r w:rsidRPr="00E76E73">
              <w:rPr>
                <w:szCs w:val="17"/>
              </w:rPr>
              <w:t>Added the following to significant cross border activity provision that home and host MS shall cooperate: ‘</w:t>
            </w:r>
            <w:r w:rsidRPr="00E76E73">
              <w:rPr>
                <w:i/>
                <w:szCs w:val="17"/>
              </w:rPr>
              <w:t>as part of the supervisory review process determined by the home MS</w:t>
            </w:r>
            <w:r w:rsidRPr="00E76E73">
              <w:rPr>
                <w:szCs w:val="17"/>
              </w:rPr>
              <w:t>’</w:t>
            </w:r>
          </w:p>
        </w:tc>
        <w:tc>
          <w:tcPr>
            <w:tcW w:w="1909" w:type="dxa"/>
            <w:shd w:val="clear" w:color="auto" w:fill="auto"/>
            <w:vAlign w:val="center"/>
          </w:tcPr>
          <w:p w14:paraId="3FCEF101" w14:textId="401F3616" w:rsidR="00C37A6F" w:rsidRPr="00E76E73" w:rsidRDefault="00C37A6F" w:rsidP="0084620E">
            <w:pPr>
              <w:jc w:val="center"/>
              <w:rPr>
                <w:szCs w:val="17"/>
              </w:rPr>
            </w:pPr>
            <w:r w:rsidRPr="00E76E73">
              <w:rPr>
                <w:szCs w:val="17"/>
              </w:rPr>
              <w:t>Hansen</w:t>
            </w:r>
          </w:p>
        </w:tc>
        <w:tc>
          <w:tcPr>
            <w:tcW w:w="2543" w:type="dxa"/>
            <w:shd w:val="clear" w:color="auto" w:fill="auto"/>
            <w:vAlign w:val="center"/>
          </w:tcPr>
          <w:p w14:paraId="01009B11" w14:textId="7C67FC63" w:rsidR="00C37A6F" w:rsidRPr="00E76E73" w:rsidRDefault="00C37A6F" w:rsidP="0084620E">
            <w:pPr>
              <w:jc w:val="center"/>
              <w:rPr>
                <w:szCs w:val="17"/>
              </w:rPr>
            </w:pPr>
            <w:r w:rsidRPr="00E76E73">
              <w:rPr>
                <w:szCs w:val="17"/>
              </w:rPr>
              <w:t>Cross border</w:t>
            </w:r>
          </w:p>
        </w:tc>
        <w:tc>
          <w:tcPr>
            <w:tcW w:w="1293" w:type="dxa"/>
            <w:shd w:val="clear" w:color="auto" w:fill="auto"/>
            <w:vAlign w:val="center"/>
          </w:tcPr>
          <w:p w14:paraId="0F499DA4" w14:textId="07E83C05" w:rsidR="00C37A6F" w:rsidRPr="00E76E73" w:rsidRDefault="00BA218E" w:rsidP="0084620E">
            <w:pPr>
              <w:jc w:val="center"/>
              <w:rPr>
                <w:szCs w:val="17"/>
              </w:rPr>
            </w:pPr>
            <w:r w:rsidRPr="00976882">
              <w:rPr>
                <w:b/>
                <w:color w:val="808080" w:themeColor="background1" w:themeShade="80"/>
                <w:szCs w:val="17"/>
              </w:rPr>
              <w:t>Neutral</w:t>
            </w:r>
          </w:p>
        </w:tc>
      </w:tr>
      <w:tr w:rsidR="00C37A6F" w:rsidRPr="00D43554" w14:paraId="4C502B23" w14:textId="77777777" w:rsidTr="00424768">
        <w:trPr>
          <w:trHeight w:val="499"/>
        </w:trPr>
        <w:tc>
          <w:tcPr>
            <w:tcW w:w="689" w:type="dxa"/>
            <w:shd w:val="clear" w:color="auto" w:fill="auto"/>
            <w:vAlign w:val="center"/>
          </w:tcPr>
          <w:p w14:paraId="1FC732A7" w14:textId="1656BF52"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398</w:t>
            </w:r>
          </w:p>
        </w:tc>
        <w:tc>
          <w:tcPr>
            <w:tcW w:w="1909" w:type="dxa"/>
            <w:shd w:val="clear" w:color="auto" w:fill="auto"/>
            <w:vAlign w:val="center"/>
          </w:tcPr>
          <w:p w14:paraId="37EEF1DB" w14:textId="428A602F" w:rsidR="00C37A6F" w:rsidRPr="00E76E73" w:rsidRDefault="00C37A6F" w:rsidP="0084620E">
            <w:pPr>
              <w:jc w:val="center"/>
              <w:rPr>
                <w:szCs w:val="17"/>
              </w:rPr>
            </w:pPr>
            <w:r w:rsidRPr="00E76E73">
              <w:rPr>
                <w:szCs w:val="17"/>
              </w:rPr>
              <w:t>Article 33a – paragraph 1 – subparagraph 1</w:t>
            </w:r>
          </w:p>
        </w:tc>
        <w:tc>
          <w:tcPr>
            <w:tcW w:w="6116" w:type="dxa"/>
            <w:shd w:val="clear" w:color="auto" w:fill="auto"/>
          </w:tcPr>
          <w:p w14:paraId="64C13972" w14:textId="611889EE" w:rsidR="00C37A6F" w:rsidRPr="00E76E73" w:rsidRDefault="00C37A6F" w:rsidP="0084620E">
            <w:pPr>
              <w:jc w:val="left"/>
              <w:rPr>
                <w:szCs w:val="17"/>
              </w:rPr>
            </w:pPr>
            <w:r w:rsidRPr="00E76E73">
              <w:rPr>
                <w:szCs w:val="17"/>
              </w:rPr>
              <w:t xml:space="preserve">Added the following to significant cross border activity provision that home and host MS shall cooperate: </w:t>
            </w:r>
            <w:proofErr w:type="gramStart"/>
            <w:r w:rsidRPr="00E76E73">
              <w:rPr>
                <w:szCs w:val="17"/>
              </w:rPr>
              <w:t xml:space="preserve">‘ </w:t>
            </w:r>
            <w:r w:rsidRPr="00E76E73">
              <w:rPr>
                <w:i/>
                <w:szCs w:val="17"/>
              </w:rPr>
              <w:t>sound</w:t>
            </w:r>
            <w:proofErr w:type="gramEnd"/>
            <w:r w:rsidRPr="00E76E73">
              <w:rPr>
                <w:i/>
                <w:szCs w:val="17"/>
              </w:rPr>
              <w:t xml:space="preserve"> management</w:t>
            </w:r>
            <w:r w:rsidRPr="00E76E73">
              <w:rPr>
                <w:szCs w:val="17"/>
              </w:rPr>
              <w:t>’</w:t>
            </w:r>
          </w:p>
        </w:tc>
        <w:tc>
          <w:tcPr>
            <w:tcW w:w="1909" w:type="dxa"/>
            <w:shd w:val="clear" w:color="auto" w:fill="auto"/>
            <w:vAlign w:val="center"/>
          </w:tcPr>
          <w:p w14:paraId="63C5B0EA" w14:textId="7B9036DD" w:rsidR="00C37A6F" w:rsidRPr="00E76E73" w:rsidRDefault="00C37A6F" w:rsidP="0084620E">
            <w:pPr>
              <w:jc w:val="center"/>
              <w:rPr>
                <w:szCs w:val="17"/>
              </w:rPr>
            </w:pPr>
            <w:r w:rsidRPr="00E76E73">
              <w:rPr>
                <w:szCs w:val="17"/>
              </w:rPr>
              <w:t>Hahn</w:t>
            </w:r>
          </w:p>
        </w:tc>
        <w:tc>
          <w:tcPr>
            <w:tcW w:w="2543" w:type="dxa"/>
            <w:shd w:val="clear" w:color="auto" w:fill="auto"/>
            <w:vAlign w:val="center"/>
          </w:tcPr>
          <w:p w14:paraId="3220ED6E" w14:textId="1A98092A" w:rsidR="00C37A6F" w:rsidRPr="00E76E73" w:rsidRDefault="00C37A6F" w:rsidP="0084620E">
            <w:pPr>
              <w:jc w:val="center"/>
              <w:rPr>
                <w:szCs w:val="17"/>
              </w:rPr>
            </w:pPr>
            <w:r w:rsidRPr="00E76E73">
              <w:rPr>
                <w:szCs w:val="17"/>
              </w:rPr>
              <w:t>Cross border</w:t>
            </w:r>
          </w:p>
        </w:tc>
        <w:tc>
          <w:tcPr>
            <w:tcW w:w="1293" w:type="dxa"/>
            <w:shd w:val="clear" w:color="auto" w:fill="auto"/>
            <w:vAlign w:val="center"/>
          </w:tcPr>
          <w:p w14:paraId="3441686F" w14:textId="73534954" w:rsidR="00C37A6F" w:rsidRPr="00E76E73" w:rsidRDefault="00BA218E" w:rsidP="0084620E">
            <w:pPr>
              <w:jc w:val="center"/>
              <w:rPr>
                <w:szCs w:val="17"/>
              </w:rPr>
            </w:pPr>
            <w:r w:rsidRPr="00976882">
              <w:rPr>
                <w:b/>
                <w:color w:val="808080" w:themeColor="background1" w:themeShade="80"/>
                <w:szCs w:val="17"/>
              </w:rPr>
              <w:t>Neutral</w:t>
            </w:r>
          </w:p>
        </w:tc>
      </w:tr>
      <w:tr w:rsidR="00C37A6F" w:rsidRPr="00D43554" w14:paraId="5B33BE08" w14:textId="77777777" w:rsidTr="00424768">
        <w:trPr>
          <w:trHeight w:val="499"/>
        </w:trPr>
        <w:tc>
          <w:tcPr>
            <w:tcW w:w="689" w:type="dxa"/>
            <w:shd w:val="clear" w:color="auto" w:fill="auto"/>
            <w:vAlign w:val="center"/>
          </w:tcPr>
          <w:p w14:paraId="4B7F608F" w14:textId="036A298C"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399</w:t>
            </w:r>
          </w:p>
        </w:tc>
        <w:tc>
          <w:tcPr>
            <w:tcW w:w="1909" w:type="dxa"/>
            <w:shd w:val="clear" w:color="auto" w:fill="auto"/>
            <w:vAlign w:val="center"/>
          </w:tcPr>
          <w:p w14:paraId="5806ACA8" w14:textId="77777777" w:rsidR="00C37A6F" w:rsidRPr="00E76E73" w:rsidRDefault="00C37A6F" w:rsidP="0084620E">
            <w:pPr>
              <w:jc w:val="center"/>
              <w:rPr>
                <w:szCs w:val="17"/>
              </w:rPr>
            </w:pPr>
            <w:r w:rsidRPr="00D43554">
              <w:rPr>
                <w:rStyle w:val="HideTWBExt"/>
                <w:rFonts w:ascii="Verdana" w:hAnsi="Verdana"/>
                <w:sz w:val="17"/>
                <w:szCs w:val="17"/>
                <w:specVanish w:val="0"/>
              </w:rPr>
              <w:t>&lt;Article2&gt;</w:t>
            </w:r>
            <w:r w:rsidRPr="00E76E73">
              <w:rPr>
                <w:szCs w:val="17"/>
              </w:rPr>
              <w:t>Article 33a – paragraph 1 – subparagraph 1 a (new)</w:t>
            </w:r>
            <w:r w:rsidRPr="00D43554">
              <w:rPr>
                <w:rStyle w:val="HideTWBExt"/>
                <w:rFonts w:ascii="Verdana" w:hAnsi="Verdana"/>
                <w:sz w:val="17"/>
                <w:szCs w:val="17"/>
                <w:specVanish w:val="0"/>
              </w:rPr>
              <w:t>&lt;/Article2&gt;</w:t>
            </w:r>
          </w:p>
          <w:p w14:paraId="70A83652" w14:textId="77777777" w:rsidR="00C37A6F" w:rsidRPr="00E76E73" w:rsidRDefault="00C37A6F" w:rsidP="0084620E">
            <w:pPr>
              <w:jc w:val="center"/>
              <w:rPr>
                <w:szCs w:val="17"/>
              </w:rPr>
            </w:pPr>
          </w:p>
        </w:tc>
        <w:tc>
          <w:tcPr>
            <w:tcW w:w="6116" w:type="dxa"/>
            <w:shd w:val="clear" w:color="auto" w:fill="auto"/>
          </w:tcPr>
          <w:p w14:paraId="0038E8F8" w14:textId="59C2A623" w:rsidR="00C37A6F" w:rsidRPr="00E76E73" w:rsidRDefault="00C37A6F" w:rsidP="0084620E">
            <w:pPr>
              <w:jc w:val="left"/>
              <w:rPr>
                <w:szCs w:val="17"/>
              </w:rPr>
            </w:pPr>
            <w:r w:rsidRPr="00E76E73">
              <w:rPr>
                <w:szCs w:val="17"/>
              </w:rPr>
              <w:t>Added host NSA shall be obliged to cooperate with home NSA</w:t>
            </w:r>
          </w:p>
        </w:tc>
        <w:tc>
          <w:tcPr>
            <w:tcW w:w="1909" w:type="dxa"/>
            <w:shd w:val="clear" w:color="auto" w:fill="auto"/>
            <w:vAlign w:val="center"/>
          </w:tcPr>
          <w:p w14:paraId="224E2B44" w14:textId="59C4116E" w:rsidR="00C37A6F" w:rsidRPr="00E76E73" w:rsidRDefault="00C37A6F" w:rsidP="0084620E">
            <w:pPr>
              <w:jc w:val="center"/>
              <w:rPr>
                <w:szCs w:val="17"/>
              </w:rPr>
            </w:pPr>
            <w:r w:rsidRPr="00E76E73">
              <w:rPr>
                <w:szCs w:val="17"/>
              </w:rPr>
              <w:t>Fitzgerald</w:t>
            </w:r>
          </w:p>
        </w:tc>
        <w:tc>
          <w:tcPr>
            <w:tcW w:w="2543" w:type="dxa"/>
            <w:shd w:val="clear" w:color="auto" w:fill="auto"/>
            <w:vAlign w:val="center"/>
          </w:tcPr>
          <w:p w14:paraId="2BDE99E3" w14:textId="67D8B879" w:rsidR="00C37A6F" w:rsidRPr="00E76E73" w:rsidRDefault="00C37A6F" w:rsidP="0084620E">
            <w:pPr>
              <w:jc w:val="center"/>
              <w:rPr>
                <w:szCs w:val="17"/>
              </w:rPr>
            </w:pPr>
            <w:r w:rsidRPr="00E76E73">
              <w:rPr>
                <w:szCs w:val="17"/>
              </w:rPr>
              <w:t>Cross border</w:t>
            </w:r>
          </w:p>
        </w:tc>
        <w:tc>
          <w:tcPr>
            <w:tcW w:w="1293" w:type="dxa"/>
            <w:shd w:val="clear" w:color="auto" w:fill="auto"/>
            <w:vAlign w:val="center"/>
          </w:tcPr>
          <w:p w14:paraId="15C25496" w14:textId="2352DBA1" w:rsidR="00C37A6F" w:rsidRPr="00E76E73" w:rsidRDefault="00907205" w:rsidP="0084620E">
            <w:pPr>
              <w:jc w:val="center"/>
              <w:rPr>
                <w:szCs w:val="17"/>
              </w:rPr>
            </w:pPr>
            <w:r w:rsidRPr="00907205">
              <w:rPr>
                <w:b/>
                <w:color w:val="00B050"/>
                <w:szCs w:val="17"/>
              </w:rPr>
              <w:t>Positive</w:t>
            </w:r>
          </w:p>
        </w:tc>
      </w:tr>
      <w:tr w:rsidR="00C37A6F" w:rsidRPr="00D43554" w14:paraId="7BCAA229" w14:textId="77777777" w:rsidTr="00424768">
        <w:trPr>
          <w:trHeight w:val="499"/>
        </w:trPr>
        <w:tc>
          <w:tcPr>
            <w:tcW w:w="689" w:type="dxa"/>
            <w:shd w:val="clear" w:color="auto" w:fill="auto"/>
            <w:vAlign w:val="center"/>
          </w:tcPr>
          <w:p w14:paraId="2698304A" w14:textId="2C1D320C"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400</w:t>
            </w:r>
          </w:p>
        </w:tc>
        <w:tc>
          <w:tcPr>
            <w:tcW w:w="1909" w:type="dxa"/>
            <w:shd w:val="clear" w:color="auto" w:fill="auto"/>
            <w:vAlign w:val="center"/>
          </w:tcPr>
          <w:p w14:paraId="2E35BCD1" w14:textId="77777777" w:rsidR="00C37A6F" w:rsidRPr="00E76E73" w:rsidRDefault="00C37A6F" w:rsidP="0084620E">
            <w:pPr>
              <w:jc w:val="center"/>
              <w:rPr>
                <w:szCs w:val="17"/>
              </w:rPr>
            </w:pPr>
            <w:r w:rsidRPr="00D43554">
              <w:rPr>
                <w:rStyle w:val="HideTWBExt"/>
                <w:rFonts w:ascii="Verdana" w:hAnsi="Verdana"/>
                <w:sz w:val="17"/>
                <w:szCs w:val="17"/>
                <w:specVanish w:val="0"/>
              </w:rPr>
              <w:t>&lt;Article2&gt;</w:t>
            </w:r>
            <w:r w:rsidRPr="00E76E73">
              <w:rPr>
                <w:szCs w:val="17"/>
              </w:rPr>
              <w:t xml:space="preserve">Article 33a – paragraph 1 – subparagraph 2 – </w:t>
            </w:r>
            <w:r w:rsidRPr="00E76E73">
              <w:rPr>
                <w:szCs w:val="17"/>
              </w:rPr>
              <w:lastRenderedPageBreak/>
              <w:t>introductory part</w:t>
            </w:r>
            <w:r w:rsidRPr="00D43554">
              <w:rPr>
                <w:rStyle w:val="HideTWBExt"/>
                <w:rFonts w:ascii="Verdana" w:hAnsi="Verdana"/>
                <w:sz w:val="17"/>
                <w:szCs w:val="17"/>
                <w:specVanish w:val="0"/>
              </w:rPr>
              <w:t>&lt;/Article2&gt;</w:t>
            </w:r>
          </w:p>
          <w:p w14:paraId="37814E37" w14:textId="77777777" w:rsidR="00C37A6F" w:rsidRPr="00E76E73" w:rsidRDefault="00C37A6F" w:rsidP="0084620E">
            <w:pPr>
              <w:jc w:val="center"/>
              <w:rPr>
                <w:szCs w:val="17"/>
              </w:rPr>
            </w:pPr>
          </w:p>
        </w:tc>
        <w:tc>
          <w:tcPr>
            <w:tcW w:w="6116" w:type="dxa"/>
            <w:shd w:val="clear" w:color="auto" w:fill="auto"/>
          </w:tcPr>
          <w:p w14:paraId="76A26AD2" w14:textId="0C9AC89F" w:rsidR="00C37A6F" w:rsidRPr="00E76E73" w:rsidRDefault="00C37A6F" w:rsidP="0084620E">
            <w:pPr>
              <w:jc w:val="left"/>
              <w:rPr>
                <w:szCs w:val="17"/>
              </w:rPr>
            </w:pPr>
            <w:r w:rsidRPr="00E76E73">
              <w:rPr>
                <w:szCs w:val="17"/>
              </w:rPr>
              <w:lastRenderedPageBreak/>
              <w:t xml:space="preserve">On supervisory cooperation duty in case of significant cross border activities: </w:t>
            </w:r>
            <w:proofErr w:type="gramStart"/>
            <w:r w:rsidRPr="00E76E73">
              <w:rPr>
                <w:szCs w:val="17"/>
              </w:rPr>
              <w:t xml:space="preserve">‘ </w:t>
            </w:r>
            <w:r w:rsidRPr="00E76E73">
              <w:rPr>
                <w:i/>
                <w:szCs w:val="17"/>
              </w:rPr>
              <w:t>the</w:t>
            </w:r>
            <w:proofErr w:type="gramEnd"/>
            <w:r w:rsidRPr="00E76E73">
              <w:rPr>
                <w:i/>
                <w:szCs w:val="17"/>
              </w:rPr>
              <w:t xml:space="preserve"> intensity and frequency of this cooperation shall be tailored to the risks entailed by the significant cross border </w:t>
            </w:r>
            <w:r w:rsidRPr="00E76E73">
              <w:rPr>
                <w:i/>
                <w:szCs w:val="17"/>
              </w:rPr>
              <w:lastRenderedPageBreak/>
              <w:t>activities…’</w:t>
            </w:r>
          </w:p>
        </w:tc>
        <w:tc>
          <w:tcPr>
            <w:tcW w:w="1909" w:type="dxa"/>
            <w:shd w:val="clear" w:color="auto" w:fill="auto"/>
            <w:vAlign w:val="center"/>
          </w:tcPr>
          <w:p w14:paraId="4FE8E822" w14:textId="344B7D05" w:rsidR="00C37A6F" w:rsidRPr="00E76E73" w:rsidRDefault="00C37A6F" w:rsidP="0084620E">
            <w:pPr>
              <w:jc w:val="center"/>
              <w:rPr>
                <w:szCs w:val="17"/>
              </w:rPr>
            </w:pPr>
            <w:r w:rsidRPr="00E76E73">
              <w:rPr>
                <w:szCs w:val="17"/>
              </w:rPr>
              <w:lastRenderedPageBreak/>
              <w:t>Yon-Courtin, Boyer</w:t>
            </w:r>
          </w:p>
        </w:tc>
        <w:tc>
          <w:tcPr>
            <w:tcW w:w="2543" w:type="dxa"/>
            <w:shd w:val="clear" w:color="auto" w:fill="auto"/>
            <w:vAlign w:val="center"/>
          </w:tcPr>
          <w:p w14:paraId="351E4548" w14:textId="1E13CDD6" w:rsidR="00C37A6F" w:rsidRPr="00E76E73" w:rsidRDefault="00C37A6F" w:rsidP="0084620E">
            <w:pPr>
              <w:jc w:val="center"/>
              <w:rPr>
                <w:szCs w:val="17"/>
              </w:rPr>
            </w:pPr>
            <w:r w:rsidRPr="00E76E73">
              <w:rPr>
                <w:szCs w:val="17"/>
              </w:rPr>
              <w:t>Cross border</w:t>
            </w:r>
          </w:p>
        </w:tc>
        <w:tc>
          <w:tcPr>
            <w:tcW w:w="1293" w:type="dxa"/>
            <w:shd w:val="clear" w:color="auto" w:fill="auto"/>
            <w:vAlign w:val="center"/>
          </w:tcPr>
          <w:p w14:paraId="6554A855" w14:textId="5D312096" w:rsidR="00C37A6F" w:rsidRPr="00E76E73" w:rsidRDefault="00BA218E" w:rsidP="0084620E">
            <w:pPr>
              <w:jc w:val="center"/>
              <w:rPr>
                <w:szCs w:val="17"/>
              </w:rPr>
            </w:pPr>
            <w:r w:rsidRPr="00976882">
              <w:rPr>
                <w:b/>
                <w:color w:val="808080" w:themeColor="background1" w:themeShade="80"/>
                <w:szCs w:val="17"/>
              </w:rPr>
              <w:t>Neutral</w:t>
            </w:r>
          </w:p>
        </w:tc>
      </w:tr>
      <w:tr w:rsidR="00C37A6F" w:rsidRPr="00D43554" w14:paraId="636FF443" w14:textId="77777777" w:rsidTr="00424768">
        <w:trPr>
          <w:trHeight w:val="499"/>
        </w:trPr>
        <w:tc>
          <w:tcPr>
            <w:tcW w:w="689" w:type="dxa"/>
            <w:shd w:val="clear" w:color="auto" w:fill="auto"/>
            <w:vAlign w:val="center"/>
          </w:tcPr>
          <w:p w14:paraId="01E1A3D8" w14:textId="5AB1C944"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401</w:t>
            </w:r>
          </w:p>
        </w:tc>
        <w:tc>
          <w:tcPr>
            <w:tcW w:w="1909" w:type="dxa"/>
            <w:shd w:val="clear" w:color="auto" w:fill="auto"/>
            <w:vAlign w:val="center"/>
          </w:tcPr>
          <w:p w14:paraId="48575695" w14:textId="5813E607" w:rsidR="00C37A6F" w:rsidRPr="00424768" w:rsidRDefault="00C37A6F" w:rsidP="0084620E">
            <w:pPr>
              <w:jc w:val="center"/>
              <w:rPr>
                <w:szCs w:val="17"/>
                <w:lang w:val="fr-BE"/>
              </w:rPr>
            </w:pPr>
            <w:r w:rsidRPr="00424768">
              <w:rPr>
                <w:szCs w:val="17"/>
                <w:lang w:val="fr-BE"/>
              </w:rPr>
              <w:t>Article 33a – paragraph 1 – subparagraph 2 – point b</w:t>
            </w:r>
          </w:p>
        </w:tc>
        <w:tc>
          <w:tcPr>
            <w:tcW w:w="6116" w:type="dxa"/>
            <w:shd w:val="clear" w:color="auto" w:fill="auto"/>
          </w:tcPr>
          <w:p w14:paraId="59A1660D" w14:textId="0029E0D6" w:rsidR="00C37A6F" w:rsidRPr="00E76E73" w:rsidRDefault="00C37A6F" w:rsidP="0084620E">
            <w:pPr>
              <w:jc w:val="left"/>
              <w:rPr>
                <w:szCs w:val="17"/>
              </w:rPr>
            </w:pPr>
            <w:r w:rsidRPr="00E76E73">
              <w:rPr>
                <w:szCs w:val="17"/>
              </w:rPr>
              <w:t xml:space="preserve">Editorial: outsourcing </w:t>
            </w:r>
            <w:r w:rsidRPr="00E76E73">
              <w:rPr>
                <w:strike/>
                <w:szCs w:val="17"/>
              </w:rPr>
              <w:t>arrangement</w:t>
            </w:r>
            <w:r w:rsidRPr="00E76E73">
              <w:rPr>
                <w:szCs w:val="17"/>
              </w:rPr>
              <w:t xml:space="preserve"> and distribution partnerships</w:t>
            </w:r>
          </w:p>
        </w:tc>
        <w:tc>
          <w:tcPr>
            <w:tcW w:w="1909" w:type="dxa"/>
            <w:shd w:val="clear" w:color="auto" w:fill="auto"/>
            <w:vAlign w:val="center"/>
          </w:tcPr>
          <w:p w14:paraId="1FD4DBFD" w14:textId="311A92A4" w:rsidR="00C37A6F" w:rsidRPr="00E76E73" w:rsidRDefault="00C37A6F" w:rsidP="0084620E">
            <w:pPr>
              <w:jc w:val="center"/>
              <w:rPr>
                <w:szCs w:val="17"/>
              </w:rPr>
            </w:pPr>
            <w:r w:rsidRPr="00E76E73">
              <w:rPr>
                <w:szCs w:val="17"/>
              </w:rPr>
              <w:t>Fitzgerald</w:t>
            </w:r>
          </w:p>
        </w:tc>
        <w:tc>
          <w:tcPr>
            <w:tcW w:w="2543" w:type="dxa"/>
            <w:shd w:val="clear" w:color="auto" w:fill="auto"/>
            <w:vAlign w:val="center"/>
          </w:tcPr>
          <w:p w14:paraId="44083587" w14:textId="50B1BDD5" w:rsidR="00C37A6F" w:rsidRPr="00E76E73" w:rsidRDefault="00C37A6F" w:rsidP="0084620E">
            <w:pPr>
              <w:jc w:val="center"/>
              <w:rPr>
                <w:szCs w:val="17"/>
              </w:rPr>
            </w:pPr>
            <w:r w:rsidRPr="00E76E73">
              <w:rPr>
                <w:szCs w:val="17"/>
              </w:rPr>
              <w:t>Cross border/editorial</w:t>
            </w:r>
          </w:p>
        </w:tc>
        <w:tc>
          <w:tcPr>
            <w:tcW w:w="1293" w:type="dxa"/>
            <w:shd w:val="clear" w:color="auto" w:fill="auto"/>
            <w:vAlign w:val="center"/>
          </w:tcPr>
          <w:p w14:paraId="09FA53DD" w14:textId="3B85E11F" w:rsidR="00C37A6F" w:rsidRPr="00E76E73" w:rsidRDefault="00AF28DA" w:rsidP="0084620E">
            <w:pPr>
              <w:jc w:val="center"/>
              <w:rPr>
                <w:szCs w:val="17"/>
              </w:rPr>
            </w:pPr>
            <w:r w:rsidRPr="00976882">
              <w:rPr>
                <w:b/>
                <w:color w:val="808080" w:themeColor="background1" w:themeShade="80"/>
                <w:szCs w:val="17"/>
              </w:rPr>
              <w:t>Neutral</w:t>
            </w:r>
          </w:p>
        </w:tc>
      </w:tr>
      <w:tr w:rsidR="00C37A6F" w:rsidRPr="00D43554" w14:paraId="107FD502" w14:textId="77777777" w:rsidTr="00424768">
        <w:trPr>
          <w:trHeight w:val="499"/>
        </w:trPr>
        <w:tc>
          <w:tcPr>
            <w:tcW w:w="689" w:type="dxa"/>
            <w:shd w:val="clear" w:color="auto" w:fill="auto"/>
            <w:vAlign w:val="center"/>
          </w:tcPr>
          <w:p w14:paraId="7D9BA75D" w14:textId="51AB3B9F"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402</w:t>
            </w:r>
          </w:p>
        </w:tc>
        <w:tc>
          <w:tcPr>
            <w:tcW w:w="1909" w:type="dxa"/>
            <w:shd w:val="clear" w:color="auto" w:fill="auto"/>
            <w:vAlign w:val="center"/>
          </w:tcPr>
          <w:p w14:paraId="57708F73" w14:textId="7A9861DF" w:rsidR="00C37A6F" w:rsidRPr="00E76E73" w:rsidRDefault="00C37A6F" w:rsidP="0084620E">
            <w:pPr>
              <w:jc w:val="center"/>
              <w:rPr>
                <w:szCs w:val="17"/>
              </w:rPr>
            </w:pPr>
            <w:r w:rsidRPr="00E76E73">
              <w:rPr>
                <w:szCs w:val="17"/>
              </w:rPr>
              <w:t>Article 33a – paragraph 2</w:t>
            </w:r>
          </w:p>
        </w:tc>
        <w:tc>
          <w:tcPr>
            <w:tcW w:w="6116" w:type="dxa"/>
            <w:shd w:val="clear" w:color="auto" w:fill="auto"/>
          </w:tcPr>
          <w:p w14:paraId="143C0193" w14:textId="04F07A61" w:rsidR="00C37A6F" w:rsidRPr="00E76E73" w:rsidRDefault="00C37A6F" w:rsidP="0084620E">
            <w:pPr>
              <w:jc w:val="left"/>
              <w:rPr>
                <w:szCs w:val="17"/>
              </w:rPr>
            </w:pPr>
            <w:r w:rsidRPr="00E76E73">
              <w:rPr>
                <w:szCs w:val="17"/>
              </w:rPr>
              <w:t>Added to article on timely information duty of home NSA to host NSA: ‘</w:t>
            </w:r>
            <w:r w:rsidRPr="00E76E73">
              <w:rPr>
                <w:i/>
                <w:szCs w:val="17"/>
              </w:rPr>
              <w:t>the host NSA should advise’</w:t>
            </w:r>
          </w:p>
        </w:tc>
        <w:tc>
          <w:tcPr>
            <w:tcW w:w="1909" w:type="dxa"/>
            <w:shd w:val="clear" w:color="auto" w:fill="auto"/>
            <w:vAlign w:val="center"/>
          </w:tcPr>
          <w:p w14:paraId="5D15333A" w14:textId="61A33447" w:rsidR="00C37A6F" w:rsidRPr="00E76E73" w:rsidRDefault="00C37A6F" w:rsidP="0084620E">
            <w:pPr>
              <w:jc w:val="center"/>
              <w:rPr>
                <w:szCs w:val="17"/>
              </w:rPr>
            </w:pPr>
            <w:r w:rsidRPr="00E76E73">
              <w:rPr>
                <w:szCs w:val="17"/>
              </w:rPr>
              <w:t>Hansen</w:t>
            </w:r>
          </w:p>
        </w:tc>
        <w:tc>
          <w:tcPr>
            <w:tcW w:w="2543" w:type="dxa"/>
            <w:shd w:val="clear" w:color="auto" w:fill="auto"/>
            <w:vAlign w:val="center"/>
          </w:tcPr>
          <w:p w14:paraId="115B1536" w14:textId="361360D6" w:rsidR="00C37A6F" w:rsidRPr="00E76E73" w:rsidRDefault="00C37A6F" w:rsidP="0084620E">
            <w:pPr>
              <w:jc w:val="center"/>
              <w:rPr>
                <w:szCs w:val="17"/>
              </w:rPr>
            </w:pPr>
            <w:r w:rsidRPr="00E76E73">
              <w:rPr>
                <w:szCs w:val="17"/>
              </w:rPr>
              <w:t>Cross border</w:t>
            </w:r>
          </w:p>
        </w:tc>
        <w:tc>
          <w:tcPr>
            <w:tcW w:w="1293" w:type="dxa"/>
            <w:shd w:val="clear" w:color="auto" w:fill="auto"/>
            <w:vAlign w:val="center"/>
          </w:tcPr>
          <w:p w14:paraId="6E4963A0" w14:textId="40BC0B1C" w:rsidR="00C37A6F" w:rsidRPr="00E76E73" w:rsidRDefault="00BA218E" w:rsidP="0084620E">
            <w:pPr>
              <w:jc w:val="center"/>
              <w:rPr>
                <w:szCs w:val="17"/>
              </w:rPr>
            </w:pPr>
            <w:r w:rsidRPr="00976882">
              <w:rPr>
                <w:b/>
                <w:color w:val="808080" w:themeColor="background1" w:themeShade="80"/>
                <w:szCs w:val="17"/>
              </w:rPr>
              <w:t>Neutral</w:t>
            </w:r>
          </w:p>
        </w:tc>
      </w:tr>
      <w:tr w:rsidR="00C37A6F" w:rsidRPr="00D43554" w14:paraId="5A9CE74D" w14:textId="77777777" w:rsidTr="00424768">
        <w:trPr>
          <w:trHeight w:val="499"/>
        </w:trPr>
        <w:tc>
          <w:tcPr>
            <w:tcW w:w="689" w:type="dxa"/>
            <w:shd w:val="clear" w:color="auto" w:fill="auto"/>
            <w:vAlign w:val="center"/>
          </w:tcPr>
          <w:p w14:paraId="5F5B4847" w14:textId="7F817B02"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403</w:t>
            </w:r>
          </w:p>
        </w:tc>
        <w:tc>
          <w:tcPr>
            <w:tcW w:w="1909" w:type="dxa"/>
            <w:shd w:val="clear" w:color="auto" w:fill="auto"/>
            <w:vAlign w:val="center"/>
          </w:tcPr>
          <w:p w14:paraId="6F1D647B" w14:textId="567C7105" w:rsidR="00C37A6F" w:rsidRPr="00E76E73" w:rsidRDefault="00C37A6F" w:rsidP="0084620E">
            <w:pPr>
              <w:jc w:val="center"/>
              <w:rPr>
                <w:szCs w:val="17"/>
              </w:rPr>
            </w:pPr>
            <w:r w:rsidRPr="00D43554">
              <w:rPr>
                <w:rStyle w:val="HideTWBExt"/>
                <w:rFonts w:ascii="Verdana" w:hAnsi="Verdana"/>
                <w:sz w:val="17"/>
                <w:szCs w:val="17"/>
                <w:specVanish w:val="0"/>
              </w:rPr>
              <w:t>&lt;Article2&gt;</w:t>
            </w:r>
            <w:r w:rsidRPr="00E76E73">
              <w:rPr>
                <w:szCs w:val="17"/>
              </w:rPr>
              <w:t>Article 33a – paragraph 2</w:t>
            </w:r>
            <w:r w:rsidRPr="00D43554">
              <w:rPr>
                <w:rStyle w:val="HideTWBExt"/>
                <w:rFonts w:ascii="Verdana" w:hAnsi="Verdana"/>
                <w:sz w:val="17"/>
                <w:szCs w:val="17"/>
                <w:specVanish w:val="0"/>
              </w:rPr>
              <w:t>&lt;/Article2&gt;</w:t>
            </w:r>
          </w:p>
          <w:p w14:paraId="4BF0BAE9" w14:textId="77777777" w:rsidR="00C37A6F" w:rsidRPr="00E76E73" w:rsidRDefault="00C37A6F" w:rsidP="0084620E">
            <w:pPr>
              <w:jc w:val="center"/>
              <w:rPr>
                <w:szCs w:val="17"/>
              </w:rPr>
            </w:pPr>
          </w:p>
        </w:tc>
        <w:tc>
          <w:tcPr>
            <w:tcW w:w="6116" w:type="dxa"/>
            <w:shd w:val="clear" w:color="auto" w:fill="auto"/>
          </w:tcPr>
          <w:p w14:paraId="6D3F64CB" w14:textId="0C8F1890" w:rsidR="00C37A6F" w:rsidRPr="00E76E73" w:rsidRDefault="00C37A6F" w:rsidP="0084620E">
            <w:pPr>
              <w:jc w:val="left"/>
              <w:rPr>
                <w:szCs w:val="17"/>
              </w:rPr>
            </w:pPr>
            <w:r w:rsidRPr="00E76E73">
              <w:rPr>
                <w:szCs w:val="17"/>
              </w:rPr>
              <w:t xml:space="preserve">Added to article on timely information duty of home NSA to host NSA: ‘NSAs </w:t>
            </w:r>
            <w:r w:rsidRPr="00E76E73">
              <w:rPr>
                <w:i/>
                <w:szCs w:val="17"/>
              </w:rPr>
              <w:t>should consider developing new tools and skills for the supervision of digitalised insurers and enhancing cooperation to ensure transparency as well as an efficient and timely exchange of information.</w:t>
            </w:r>
          </w:p>
        </w:tc>
        <w:tc>
          <w:tcPr>
            <w:tcW w:w="1909" w:type="dxa"/>
            <w:shd w:val="clear" w:color="auto" w:fill="auto"/>
            <w:vAlign w:val="center"/>
          </w:tcPr>
          <w:p w14:paraId="340AAC05" w14:textId="63774FF7" w:rsidR="00C37A6F" w:rsidRPr="00E76E73" w:rsidRDefault="00C37A6F" w:rsidP="0084620E">
            <w:pPr>
              <w:jc w:val="center"/>
              <w:rPr>
                <w:szCs w:val="17"/>
              </w:rPr>
            </w:pPr>
            <w:r w:rsidRPr="00E76E73">
              <w:rPr>
                <w:szCs w:val="17"/>
              </w:rPr>
              <w:t>Yon-Courtin, Boyer</w:t>
            </w:r>
          </w:p>
        </w:tc>
        <w:tc>
          <w:tcPr>
            <w:tcW w:w="2543" w:type="dxa"/>
            <w:shd w:val="clear" w:color="auto" w:fill="auto"/>
            <w:vAlign w:val="center"/>
          </w:tcPr>
          <w:p w14:paraId="1876016D" w14:textId="5E30C795" w:rsidR="00C37A6F" w:rsidRPr="00E76E73" w:rsidRDefault="00C37A6F" w:rsidP="0084620E">
            <w:pPr>
              <w:jc w:val="center"/>
              <w:rPr>
                <w:szCs w:val="17"/>
              </w:rPr>
            </w:pPr>
            <w:r w:rsidRPr="00E76E73">
              <w:rPr>
                <w:szCs w:val="17"/>
              </w:rPr>
              <w:t>Cross border</w:t>
            </w:r>
          </w:p>
        </w:tc>
        <w:tc>
          <w:tcPr>
            <w:tcW w:w="1293" w:type="dxa"/>
            <w:shd w:val="clear" w:color="auto" w:fill="auto"/>
            <w:vAlign w:val="center"/>
          </w:tcPr>
          <w:p w14:paraId="022182A0" w14:textId="09030B3D" w:rsidR="00C37A6F" w:rsidRPr="00E76E73" w:rsidRDefault="00BA218E" w:rsidP="0084620E">
            <w:pPr>
              <w:jc w:val="center"/>
              <w:rPr>
                <w:szCs w:val="17"/>
              </w:rPr>
            </w:pPr>
            <w:r w:rsidRPr="00976882">
              <w:rPr>
                <w:b/>
                <w:color w:val="808080" w:themeColor="background1" w:themeShade="80"/>
                <w:szCs w:val="17"/>
              </w:rPr>
              <w:t>Neutral</w:t>
            </w:r>
          </w:p>
        </w:tc>
      </w:tr>
      <w:tr w:rsidR="00C37A6F" w:rsidRPr="00D43554" w14:paraId="7C8293BB" w14:textId="77777777" w:rsidTr="00424768">
        <w:trPr>
          <w:trHeight w:val="499"/>
        </w:trPr>
        <w:tc>
          <w:tcPr>
            <w:tcW w:w="689" w:type="dxa"/>
            <w:shd w:val="clear" w:color="auto" w:fill="auto"/>
            <w:vAlign w:val="center"/>
          </w:tcPr>
          <w:p w14:paraId="64AEF3DB" w14:textId="629C1C62"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404</w:t>
            </w:r>
          </w:p>
        </w:tc>
        <w:tc>
          <w:tcPr>
            <w:tcW w:w="1909" w:type="dxa"/>
            <w:shd w:val="clear" w:color="auto" w:fill="auto"/>
            <w:vAlign w:val="center"/>
          </w:tcPr>
          <w:p w14:paraId="1540D300" w14:textId="77777777" w:rsidR="00C37A6F" w:rsidRPr="00E76E73" w:rsidRDefault="00C37A6F" w:rsidP="0084620E">
            <w:pPr>
              <w:jc w:val="center"/>
              <w:rPr>
                <w:szCs w:val="17"/>
              </w:rPr>
            </w:pPr>
            <w:r w:rsidRPr="00D43554">
              <w:rPr>
                <w:rStyle w:val="HideTWBExt"/>
                <w:rFonts w:ascii="Verdana" w:hAnsi="Verdana"/>
                <w:sz w:val="17"/>
                <w:szCs w:val="17"/>
                <w:specVanish w:val="0"/>
              </w:rPr>
              <w:t>&lt;Article2&gt;</w:t>
            </w:r>
            <w:r w:rsidRPr="00E76E73">
              <w:rPr>
                <w:szCs w:val="17"/>
              </w:rPr>
              <w:t>Article 33a – paragraph 3</w:t>
            </w:r>
            <w:r w:rsidRPr="00D43554">
              <w:rPr>
                <w:rStyle w:val="HideTWBExt"/>
                <w:rFonts w:ascii="Verdana" w:hAnsi="Verdana"/>
                <w:sz w:val="17"/>
                <w:szCs w:val="17"/>
                <w:specVanish w:val="0"/>
              </w:rPr>
              <w:t>&lt;/Article2&gt;</w:t>
            </w:r>
          </w:p>
          <w:p w14:paraId="26CDF95E" w14:textId="77777777" w:rsidR="00C37A6F" w:rsidRPr="00E76E73" w:rsidRDefault="00C37A6F" w:rsidP="0084620E">
            <w:pPr>
              <w:jc w:val="center"/>
              <w:rPr>
                <w:szCs w:val="17"/>
              </w:rPr>
            </w:pPr>
          </w:p>
        </w:tc>
        <w:tc>
          <w:tcPr>
            <w:tcW w:w="6116" w:type="dxa"/>
            <w:shd w:val="clear" w:color="auto" w:fill="auto"/>
          </w:tcPr>
          <w:p w14:paraId="14ADA356" w14:textId="4D196D06" w:rsidR="00C37A6F" w:rsidRPr="00E76E73" w:rsidRDefault="00C37A6F" w:rsidP="0084620E">
            <w:pPr>
              <w:jc w:val="left"/>
              <w:rPr>
                <w:szCs w:val="17"/>
              </w:rPr>
            </w:pPr>
            <w:r w:rsidRPr="00E76E73">
              <w:rPr>
                <w:szCs w:val="17"/>
              </w:rPr>
              <w:t>Definition of significant cross border activity: shall meet at least one of the two following requirements: total annual GWP of FOS/FOE activities &gt; 15</w:t>
            </w:r>
            <w:proofErr w:type="gramStart"/>
            <w:r w:rsidRPr="00E76E73">
              <w:rPr>
                <w:szCs w:val="17"/>
              </w:rPr>
              <w:t>Mio ;</w:t>
            </w:r>
            <w:proofErr w:type="gramEnd"/>
            <w:r w:rsidRPr="00E76E73">
              <w:rPr>
                <w:szCs w:val="17"/>
              </w:rPr>
              <w:t xml:space="preserve"> FOS/FOE activities are of relevance to host MS market, in particular when considered relevant by the Host NSA.</w:t>
            </w:r>
          </w:p>
          <w:p w14:paraId="30E35336" w14:textId="77777777" w:rsidR="00C37A6F" w:rsidRPr="00E76E73" w:rsidRDefault="00C37A6F" w:rsidP="0084620E">
            <w:pPr>
              <w:jc w:val="left"/>
              <w:rPr>
                <w:szCs w:val="17"/>
              </w:rPr>
            </w:pPr>
          </w:p>
          <w:p w14:paraId="10C8FC3B" w14:textId="63785040" w:rsidR="00C37A6F" w:rsidRPr="00E76E73" w:rsidRDefault="00C37A6F" w:rsidP="0084620E">
            <w:pPr>
              <w:jc w:val="left"/>
              <w:rPr>
                <w:szCs w:val="17"/>
              </w:rPr>
            </w:pPr>
            <w:r w:rsidRPr="00E76E73">
              <w:rPr>
                <w:szCs w:val="17"/>
              </w:rPr>
              <w:t>EIOPA to develop RTS to specify when FOS/FOE activities are ‘of relevance’</w:t>
            </w:r>
            <w:r w:rsidR="00413C5B" w:rsidRPr="00E76E73">
              <w:rPr>
                <w:szCs w:val="17"/>
              </w:rPr>
              <w:t>.</w:t>
            </w:r>
          </w:p>
          <w:p w14:paraId="46E458B3" w14:textId="615E0A5C" w:rsidR="00C37A6F" w:rsidRPr="00E76E73" w:rsidRDefault="00C37A6F" w:rsidP="0084620E">
            <w:pPr>
              <w:jc w:val="left"/>
              <w:rPr>
                <w:szCs w:val="17"/>
              </w:rPr>
            </w:pPr>
            <w:r w:rsidRPr="00E76E73">
              <w:rPr>
                <w:szCs w:val="17"/>
              </w:rPr>
              <w:t>In case of disagreement of ‘activities of relevance’ matter shall be referred to EIOPA</w:t>
            </w:r>
          </w:p>
        </w:tc>
        <w:tc>
          <w:tcPr>
            <w:tcW w:w="1909" w:type="dxa"/>
            <w:shd w:val="clear" w:color="auto" w:fill="auto"/>
            <w:vAlign w:val="center"/>
          </w:tcPr>
          <w:p w14:paraId="412BA4CB" w14:textId="276D2D05" w:rsidR="00C37A6F" w:rsidRPr="00E76E73" w:rsidRDefault="00C37A6F" w:rsidP="0084620E">
            <w:pPr>
              <w:jc w:val="center"/>
              <w:rPr>
                <w:szCs w:val="17"/>
              </w:rPr>
            </w:pPr>
            <w:r w:rsidRPr="00E76E73">
              <w:rPr>
                <w:szCs w:val="17"/>
              </w:rPr>
              <w:t>Yon-Courtin, Boyer</w:t>
            </w:r>
          </w:p>
        </w:tc>
        <w:tc>
          <w:tcPr>
            <w:tcW w:w="2543" w:type="dxa"/>
            <w:shd w:val="clear" w:color="auto" w:fill="auto"/>
            <w:vAlign w:val="center"/>
          </w:tcPr>
          <w:p w14:paraId="425DCA73" w14:textId="78360182" w:rsidR="00C37A6F" w:rsidRPr="00E76E73" w:rsidRDefault="00C37A6F" w:rsidP="0084620E">
            <w:pPr>
              <w:jc w:val="center"/>
              <w:rPr>
                <w:szCs w:val="17"/>
              </w:rPr>
            </w:pPr>
            <w:r w:rsidRPr="00E76E73">
              <w:rPr>
                <w:szCs w:val="17"/>
              </w:rPr>
              <w:t>Cross border</w:t>
            </w:r>
          </w:p>
        </w:tc>
        <w:tc>
          <w:tcPr>
            <w:tcW w:w="1293" w:type="dxa"/>
            <w:shd w:val="clear" w:color="auto" w:fill="auto"/>
            <w:vAlign w:val="center"/>
          </w:tcPr>
          <w:p w14:paraId="232C7B4A" w14:textId="55EFD475" w:rsidR="00C37A6F" w:rsidRPr="00424768" w:rsidRDefault="00C37A6F" w:rsidP="0084620E">
            <w:pPr>
              <w:jc w:val="center"/>
              <w:rPr>
                <w:b/>
                <w:bCs/>
                <w:szCs w:val="17"/>
              </w:rPr>
            </w:pPr>
            <w:r w:rsidRPr="000D4029">
              <w:rPr>
                <w:b/>
                <w:bCs/>
                <w:color w:val="FF0000"/>
                <w:szCs w:val="17"/>
              </w:rPr>
              <w:t>Negative</w:t>
            </w:r>
          </w:p>
        </w:tc>
      </w:tr>
      <w:tr w:rsidR="00C37A6F" w:rsidRPr="00D43554" w14:paraId="4305BE39" w14:textId="77777777" w:rsidTr="00424768">
        <w:trPr>
          <w:trHeight w:val="499"/>
        </w:trPr>
        <w:tc>
          <w:tcPr>
            <w:tcW w:w="689" w:type="dxa"/>
            <w:shd w:val="clear" w:color="auto" w:fill="auto"/>
            <w:vAlign w:val="center"/>
          </w:tcPr>
          <w:p w14:paraId="69333DF5" w14:textId="73752288"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405</w:t>
            </w:r>
          </w:p>
        </w:tc>
        <w:tc>
          <w:tcPr>
            <w:tcW w:w="1909" w:type="dxa"/>
            <w:shd w:val="clear" w:color="auto" w:fill="auto"/>
            <w:vAlign w:val="center"/>
          </w:tcPr>
          <w:p w14:paraId="6DDCD1AB" w14:textId="440CC60A" w:rsidR="00C37A6F" w:rsidRPr="00E76E73" w:rsidRDefault="00C37A6F" w:rsidP="0084620E">
            <w:pPr>
              <w:jc w:val="center"/>
              <w:rPr>
                <w:szCs w:val="17"/>
              </w:rPr>
            </w:pPr>
            <w:r w:rsidRPr="00E76E73">
              <w:rPr>
                <w:szCs w:val="17"/>
              </w:rPr>
              <w:t>Article 33a – paragraph 3</w:t>
            </w:r>
          </w:p>
        </w:tc>
        <w:tc>
          <w:tcPr>
            <w:tcW w:w="6116" w:type="dxa"/>
            <w:shd w:val="clear" w:color="auto" w:fill="auto"/>
          </w:tcPr>
          <w:p w14:paraId="4B647C04" w14:textId="67364F6B" w:rsidR="00C37A6F" w:rsidRPr="00E76E73" w:rsidRDefault="00C37A6F" w:rsidP="0084620E">
            <w:pPr>
              <w:jc w:val="left"/>
              <w:rPr>
                <w:szCs w:val="17"/>
              </w:rPr>
            </w:pPr>
            <w:r w:rsidRPr="00E76E73">
              <w:rPr>
                <w:szCs w:val="17"/>
              </w:rPr>
              <w:t>Definition of significant cross border activity 5% of annual GWP is replaced with ‘FOS/FOE activities are of relevance for host MS market, and in particular when relevant for host NSA</w:t>
            </w:r>
          </w:p>
        </w:tc>
        <w:tc>
          <w:tcPr>
            <w:tcW w:w="1909" w:type="dxa"/>
            <w:shd w:val="clear" w:color="auto" w:fill="auto"/>
            <w:vAlign w:val="center"/>
          </w:tcPr>
          <w:p w14:paraId="68F678B2" w14:textId="1DE4D399" w:rsidR="00C37A6F" w:rsidRPr="00E76E73" w:rsidRDefault="00C37A6F" w:rsidP="0084620E">
            <w:pPr>
              <w:jc w:val="center"/>
              <w:rPr>
                <w:szCs w:val="17"/>
              </w:rPr>
            </w:pPr>
            <w:r w:rsidRPr="00E76E73">
              <w:rPr>
                <w:szCs w:val="17"/>
              </w:rPr>
              <w:t>MacManus</w:t>
            </w:r>
          </w:p>
        </w:tc>
        <w:tc>
          <w:tcPr>
            <w:tcW w:w="2543" w:type="dxa"/>
            <w:shd w:val="clear" w:color="auto" w:fill="auto"/>
            <w:vAlign w:val="center"/>
          </w:tcPr>
          <w:p w14:paraId="52813D4C" w14:textId="7B2AEFF5" w:rsidR="00C37A6F" w:rsidRPr="00E76E73" w:rsidRDefault="00C37A6F" w:rsidP="0084620E">
            <w:pPr>
              <w:jc w:val="center"/>
              <w:rPr>
                <w:szCs w:val="17"/>
              </w:rPr>
            </w:pPr>
            <w:r w:rsidRPr="00E76E73">
              <w:rPr>
                <w:szCs w:val="17"/>
              </w:rPr>
              <w:t>Cross border</w:t>
            </w:r>
          </w:p>
        </w:tc>
        <w:tc>
          <w:tcPr>
            <w:tcW w:w="1293" w:type="dxa"/>
            <w:shd w:val="clear" w:color="auto" w:fill="auto"/>
            <w:vAlign w:val="center"/>
          </w:tcPr>
          <w:p w14:paraId="43197762" w14:textId="54D2E35F" w:rsidR="00C37A6F" w:rsidRPr="00E76E73" w:rsidRDefault="00E01396" w:rsidP="0084620E">
            <w:pPr>
              <w:jc w:val="center"/>
              <w:rPr>
                <w:szCs w:val="17"/>
              </w:rPr>
            </w:pPr>
            <w:r w:rsidRPr="00E76E73">
              <w:rPr>
                <w:szCs w:val="17"/>
              </w:rPr>
              <w:t>Positive</w:t>
            </w:r>
          </w:p>
        </w:tc>
      </w:tr>
      <w:tr w:rsidR="00C37A6F" w:rsidRPr="00D43554" w14:paraId="08CF02F1" w14:textId="77777777" w:rsidTr="00424768">
        <w:trPr>
          <w:trHeight w:val="499"/>
        </w:trPr>
        <w:tc>
          <w:tcPr>
            <w:tcW w:w="689" w:type="dxa"/>
            <w:shd w:val="clear" w:color="auto" w:fill="auto"/>
            <w:vAlign w:val="center"/>
          </w:tcPr>
          <w:p w14:paraId="1462901F" w14:textId="67D43A39"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406</w:t>
            </w:r>
          </w:p>
        </w:tc>
        <w:tc>
          <w:tcPr>
            <w:tcW w:w="1909" w:type="dxa"/>
            <w:shd w:val="clear" w:color="auto" w:fill="auto"/>
            <w:vAlign w:val="center"/>
          </w:tcPr>
          <w:p w14:paraId="6AAB39A5" w14:textId="77777777" w:rsidR="00C37A6F" w:rsidRPr="00E76E73" w:rsidRDefault="00C37A6F" w:rsidP="0084620E">
            <w:pPr>
              <w:jc w:val="center"/>
              <w:rPr>
                <w:szCs w:val="17"/>
              </w:rPr>
            </w:pPr>
            <w:r w:rsidRPr="00D43554">
              <w:rPr>
                <w:rStyle w:val="HideTWBExt"/>
                <w:rFonts w:ascii="Verdana" w:hAnsi="Verdana"/>
                <w:sz w:val="17"/>
                <w:szCs w:val="17"/>
                <w:specVanish w:val="0"/>
              </w:rPr>
              <w:t>&lt;Article2&gt;</w:t>
            </w:r>
            <w:r w:rsidRPr="00E76E73">
              <w:rPr>
                <w:szCs w:val="17"/>
              </w:rPr>
              <w:t>Article 33a – paragraph 3</w:t>
            </w:r>
            <w:r w:rsidRPr="00D43554">
              <w:rPr>
                <w:rStyle w:val="HideTWBExt"/>
                <w:rFonts w:ascii="Verdana" w:hAnsi="Verdana"/>
                <w:sz w:val="17"/>
                <w:szCs w:val="17"/>
                <w:specVanish w:val="0"/>
              </w:rPr>
              <w:t>&lt;/Article2&gt;</w:t>
            </w:r>
          </w:p>
          <w:p w14:paraId="243FB494" w14:textId="77777777" w:rsidR="00C37A6F" w:rsidRPr="00E76E73" w:rsidRDefault="00C37A6F" w:rsidP="0084620E">
            <w:pPr>
              <w:jc w:val="center"/>
              <w:rPr>
                <w:szCs w:val="17"/>
              </w:rPr>
            </w:pPr>
          </w:p>
        </w:tc>
        <w:tc>
          <w:tcPr>
            <w:tcW w:w="6116" w:type="dxa"/>
            <w:shd w:val="clear" w:color="auto" w:fill="auto"/>
          </w:tcPr>
          <w:p w14:paraId="3AFF57E6" w14:textId="19AB959F" w:rsidR="00C37A6F" w:rsidRPr="00E76E73" w:rsidRDefault="00C37A6F" w:rsidP="0084620E">
            <w:pPr>
              <w:jc w:val="left"/>
              <w:rPr>
                <w:szCs w:val="17"/>
              </w:rPr>
            </w:pPr>
            <w:r w:rsidRPr="00E76E73">
              <w:rPr>
                <w:szCs w:val="17"/>
              </w:rPr>
              <w:t>Definition of significant cross border activity 5% of annual GWP is replaced with ‘FOS/FOE activities are deemed significant by home and host NSA based on qualitative assessments</w:t>
            </w:r>
            <w:r w:rsidR="008C6613" w:rsidRPr="00E76E73">
              <w:rPr>
                <w:szCs w:val="17"/>
              </w:rPr>
              <w:t>’</w:t>
            </w:r>
          </w:p>
        </w:tc>
        <w:tc>
          <w:tcPr>
            <w:tcW w:w="1909" w:type="dxa"/>
            <w:shd w:val="clear" w:color="auto" w:fill="auto"/>
            <w:vAlign w:val="center"/>
          </w:tcPr>
          <w:p w14:paraId="70DBECFE" w14:textId="21501AE5" w:rsidR="00C37A6F" w:rsidRPr="00E76E73" w:rsidRDefault="00C37A6F" w:rsidP="0084620E">
            <w:pPr>
              <w:jc w:val="center"/>
              <w:rPr>
                <w:szCs w:val="17"/>
              </w:rPr>
            </w:pPr>
            <w:r w:rsidRPr="00E76E73">
              <w:rPr>
                <w:szCs w:val="17"/>
              </w:rPr>
              <w:t>Hansen</w:t>
            </w:r>
          </w:p>
        </w:tc>
        <w:tc>
          <w:tcPr>
            <w:tcW w:w="2543" w:type="dxa"/>
            <w:shd w:val="clear" w:color="auto" w:fill="auto"/>
            <w:vAlign w:val="center"/>
          </w:tcPr>
          <w:p w14:paraId="401FAF54" w14:textId="7B251351" w:rsidR="00C37A6F" w:rsidRPr="00E76E73" w:rsidRDefault="00C37A6F" w:rsidP="0084620E">
            <w:pPr>
              <w:jc w:val="center"/>
              <w:rPr>
                <w:szCs w:val="17"/>
              </w:rPr>
            </w:pPr>
            <w:r w:rsidRPr="00E76E73">
              <w:rPr>
                <w:szCs w:val="17"/>
              </w:rPr>
              <w:t>Cross border</w:t>
            </w:r>
          </w:p>
        </w:tc>
        <w:tc>
          <w:tcPr>
            <w:tcW w:w="1293" w:type="dxa"/>
            <w:shd w:val="clear" w:color="auto" w:fill="auto"/>
            <w:vAlign w:val="center"/>
          </w:tcPr>
          <w:p w14:paraId="1A960874" w14:textId="75BF55CE" w:rsidR="00C37A6F" w:rsidRPr="00E76E73" w:rsidRDefault="00A470F2" w:rsidP="0084620E">
            <w:pPr>
              <w:jc w:val="center"/>
              <w:rPr>
                <w:szCs w:val="17"/>
              </w:rPr>
            </w:pPr>
            <w:r w:rsidRPr="00A470F2">
              <w:rPr>
                <w:b/>
                <w:color w:val="F79646" w:themeColor="accent6"/>
                <w:szCs w:val="17"/>
              </w:rPr>
              <w:t>Mixed</w:t>
            </w:r>
          </w:p>
        </w:tc>
      </w:tr>
      <w:tr w:rsidR="00C37A6F" w:rsidRPr="00D43554" w14:paraId="508893A9" w14:textId="77777777" w:rsidTr="00424768">
        <w:trPr>
          <w:trHeight w:val="499"/>
        </w:trPr>
        <w:tc>
          <w:tcPr>
            <w:tcW w:w="689" w:type="dxa"/>
            <w:shd w:val="clear" w:color="auto" w:fill="auto"/>
            <w:vAlign w:val="center"/>
          </w:tcPr>
          <w:p w14:paraId="3923A0F9" w14:textId="150DA035"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407</w:t>
            </w:r>
          </w:p>
        </w:tc>
        <w:tc>
          <w:tcPr>
            <w:tcW w:w="1909" w:type="dxa"/>
            <w:shd w:val="clear" w:color="auto" w:fill="auto"/>
            <w:vAlign w:val="center"/>
          </w:tcPr>
          <w:p w14:paraId="26E33924" w14:textId="3365CECA" w:rsidR="00C37A6F" w:rsidRPr="00E76E73" w:rsidRDefault="00C37A6F" w:rsidP="0084620E">
            <w:pPr>
              <w:jc w:val="center"/>
              <w:rPr>
                <w:szCs w:val="17"/>
              </w:rPr>
            </w:pPr>
            <w:r w:rsidRPr="00E76E73">
              <w:rPr>
                <w:szCs w:val="17"/>
              </w:rPr>
              <w:t>Article 35 – paragraph 1</w:t>
            </w:r>
          </w:p>
        </w:tc>
        <w:tc>
          <w:tcPr>
            <w:tcW w:w="6116" w:type="dxa"/>
            <w:shd w:val="clear" w:color="auto" w:fill="auto"/>
          </w:tcPr>
          <w:p w14:paraId="7613D4E5" w14:textId="6697BD97" w:rsidR="00C37A6F" w:rsidRPr="00E76E73" w:rsidRDefault="00C37A6F" w:rsidP="0084620E">
            <w:pPr>
              <w:jc w:val="left"/>
              <w:rPr>
                <w:szCs w:val="17"/>
              </w:rPr>
            </w:pPr>
            <w:r w:rsidRPr="00E76E73">
              <w:rPr>
                <w:szCs w:val="17"/>
              </w:rPr>
              <w:t>Added ‘principle of proportionality’</w:t>
            </w:r>
          </w:p>
        </w:tc>
        <w:tc>
          <w:tcPr>
            <w:tcW w:w="1909" w:type="dxa"/>
            <w:shd w:val="clear" w:color="auto" w:fill="auto"/>
            <w:vAlign w:val="center"/>
          </w:tcPr>
          <w:p w14:paraId="71DB4595" w14:textId="4589A1DD" w:rsidR="00C37A6F" w:rsidRPr="00E76E73" w:rsidRDefault="00C37A6F" w:rsidP="0084620E">
            <w:pPr>
              <w:jc w:val="center"/>
              <w:rPr>
                <w:szCs w:val="17"/>
              </w:rPr>
            </w:pPr>
            <w:proofErr w:type="spellStart"/>
            <w:r w:rsidRPr="00E76E73">
              <w:rPr>
                <w:szCs w:val="17"/>
              </w:rPr>
              <w:t>Zanni</w:t>
            </w:r>
            <w:proofErr w:type="spellEnd"/>
            <w:r w:rsidRPr="00E76E73">
              <w:rPr>
                <w:szCs w:val="17"/>
              </w:rPr>
              <w:t>, Grant, Rinaldi</w:t>
            </w:r>
          </w:p>
        </w:tc>
        <w:tc>
          <w:tcPr>
            <w:tcW w:w="2543" w:type="dxa"/>
            <w:shd w:val="clear" w:color="auto" w:fill="auto"/>
            <w:vAlign w:val="center"/>
          </w:tcPr>
          <w:p w14:paraId="040950A8" w14:textId="3969A6E7" w:rsidR="00C37A6F" w:rsidRPr="00E76E73" w:rsidRDefault="0019000E" w:rsidP="0084620E">
            <w:pPr>
              <w:jc w:val="center"/>
              <w:rPr>
                <w:szCs w:val="17"/>
              </w:rPr>
            </w:pPr>
            <w:r w:rsidRPr="00E76E73">
              <w:rPr>
                <w:szCs w:val="17"/>
              </w:rPr>
              <w:t>R</w:t>
            </w:r>
            <w:r w:rsidR="00C37A6F" w:rsidRPr="00E76E73">
              <w:rPr>
                <w:szCs w:val="17"/>
              </w:rPr>
              <w:t>eporting</w:t>
            </w:r>
          </w:p>
        </w:tc>
        <w:tc>
          <w:tcPr>
            <w:tcW w:w="1293" w:type="dxa"/>
            <w:shd w:val="clear" w:color="auto" w:fill="auto"/>
            <w:vAlign w:val="center"/>
          </w:tcPr>
          <w:p w14:paraId="7467E351" w14:textId="2569A6AE" w:rsidR="00C37A6F" w:rsidRPr="00E76E73" w:rsidRDefault="00C37A6F" w:rsidP="0084620E">
            <w:pPr>
              <w:jc w:val="center"/>
              <w:rPr>
                <w:szCs w:val="17"/>
              </w:rPr>
            </w:pPr>
            <w:r w:rsidRPr="00F63B3C">
              <w:rPr>
                <w:b/>
                <w:color w:val="00B050"/>
                <w:szCs w:val="17"/>
              </w:rPr>
              <w:t>Positive</w:t>
            </w:r>
          </w:p>
        </w:tc>
      </w:tr>
      <w:tr w:rsidR="00C37A6F" w:rsidRPr="00D43554" w14:paraId="10855E2E" w14:textId="77777777" w:rsidTr="00424768">
        <w:trPr>
          <w:trHeight w:val="499"/>
        </w:trPr>
        <w:tc>
          <w:tcPr>
            <w:tcW w:w="689" w:type="dxa"/>
            <w:shd w:val="clear" w:color="auto" w:fill="auto"/>
            <w:vAlign w:val="center"/>
          </w:tcPr>
          <w:p w14:paraId="12AD7209" w14:textId="15FCFBB6"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408</w:t>
            </w:r>
          </w:p>
        </w:tc>
        <w:tc>
          <w:tcPr>
            <w:tcW w:w="1909" w:type="dxa"/>
            <w:shd w:val="clear" w:color="auto" w:fill="auto"/>
            <w:vAlign w:val="center"/>
          </w:tcPr>
          <w:p w14:paraId="192E0007" w14:textId="77777777" w:rsidR="00C37A6F" w:rsidRPr="00E76E73" w:rsidRDefault="00C37A6F" w:rsidP="0084620E">
            <w:pPr>
              <w:jc w:val="center"/>
              <w:rPr>
                <w:szCs w:val="17"/>
              </w:rPr>
            </w:pPr>
            <w:r w:rsidRPr="00D43554">
              <w:rPr>
                <w:rStyle w:val="HideTWBExt"/>
                <w:rFonts w:ascii="Verdana" w:hAnsi="Verdana"/>
                <w:sz w:val="17"/>
                <w:szCs w:val="17"/>
                <w:specVanish w:val="0"/>
              </w:rPr>
              <w:t>&lt;Article2&gt;</w:t>
            </w:r>
            <w:r w:rsidRPr="00E76E73">
              <w:rPr>
                <w:szCs w:val="17"/>
              </w:rPr>
              <w:t>Article 35 – paragraph 1</w:t>
            </w:r>
            <w:r w:rsidRPr="00D43554">
              <w:rPr>
                <w:rStyle w:val="HideTWBExt"/>
                <w:rFonts w:ascii="Verdana" w:hAnsi="Verdana"/>
                <w:sz w:val="17"/>
                <w:szCs w:val="17"/>
                <w:specVanish w:val="0"/>
              </w:rPr>
              <w:t>&lt;/Article2&gt;</w:t>
            </w:r>
          </w:p>
          <w:p w14:paraId="22FC90E6" w14:textId="77777777" w:rsidR="00C37A6F" w:rsidRPr="00E76E73" w:rsidRDefault="00C37A6F" w:rsidP="0084620E">
            <w:pPr>
              <w:jc w:val="center"/>
              <w:rPr>
                <w:szCs w:val="17"/>
              </w:rPr>
            </w:pPr>
          </w:p>
        </w:tc>
        <w:tc>
          <w:tcPr>
            <w:tcW w:w="6116" w:type="dxa"/>
            <w:shd w:val="clear" w:color="auto" w:fill="auto"/>
          </w:tcPr>
          <w:p w14:paraId="4E4F81EC" w14:textId="6A59542B" w:rsidR="00C37A6F" w:rsidRPr="00E76E73" w:rsidRDefault="00C37A6F" w:rsidP="0084620E">
            <w:pPr>
              <w:jc w:val="left"/>
              <w:rPr>
                <w:szCs w:val="17"/>
              </w:rPr>
            </w:pPr>
            <w:r w:rsidRPr="00E76E73">
              <w:rPr>
                <w:szCs w:val="17"/>
              </w:rPr>
              <w:t>Added ‘transition plan’ in relation to sustainability to reporting requirements</w:t>
            </w:r>
          </w:p>
        </w:tc>
        <w:tc>
          <w:tcPr>
            <w:tcW w:w="1909" w:type="dxa"/>
            <w:shd w:val="clear" w:color="auto" w:fill="auto"/>
            <w:vAlign w:val="center"/>
          </w:tcPr>
          <w:p w14:paraId="5B3827AE" w14:textId="28795DDB" w:rsidR="00C37A6F" w:rsidRPr="00E76E73" w:rsidRDefault="00C37A6F" w:rsidP="0084620E">
            <w:pPr>
              <w:jc w:val="center"/>
              <w:rPr>
                <w:szCs w:val="17"/>
              </w:rPr>
            </w:pPr>
            <w:r w:rsidRPr="00E76E73">
              <w:rPr>
                <w:szCs w:val="17"/>
              </w:rPr>
              <w:t>Hahn</w:t>
            </w:r>
          </w:p>
        </w:tc>
        <w:tc>
          <w:tcPr>
            <w:tcW w:w="2543" w:type="dxa"/>
            <w:shd w:val="clear" w:color="auto" w:fill="auto"/>
            <w:vAlign w:val="center"/>
          </w:tcPr>
          <w:p w14:paraId="14571C19" w14:textId="6934FED6" w:rsidR="00C37A6F" w:rsidRPr="00E76E73" w:rsidRDefault="00C37A6F" w:rsidP="0084620E">
            <w:pPr>
              <w:jc w:val="center"/>
              <w:rPr>
                <w:szCs w:val="17"/>
              </w:rPr>
            </w:pPr>
            <w:r w:rsidRPr="00E76E73">
              <w:rPr>
                <w:szCs w:val="17"/>
              </w:rPr>
              <w:t>Reporting/sustainability</w:t>
            </w:r>
            <w:r w:rsidR="00AB1AF0" w:rsidRPr="00E76E73">
              <w:rPr>
                <w:szCs w:val="17"/>
              </w:rPr>
              <w:t>/</w:t>
            </w:r>
            <w:r w:rsidR="00AB1AF0">
              <w:rPr>
                <w:bCs/>
                <w:szCs w:val="17"/>
              </w:rPr>
              <w:t xml:space="preserve"> transition plan</w:t>
            </w:r>
          </w:p>
        </w:tc>
        <w:tc>
          <w:tcPr>
            <w:tcW w:w="1293" w:type="dxa"/>
            <w:shd w:val="clear" w:color="auto" w:fill="auto"/>
            <w:vAlign w:val="center"/>
          </w:tcPr>
          <w:p w14:paraId="6CDDB569" w14:textId="2534BB45" w:rsidR="00C37A6F" w:rsidRPr="00E76E73" w:rsidRDefault="00C17028" w:rsidP="0084620E">
            <w:pPr>
              <w:jc w:val="center"/>
              <w:rPr>
                <w:szCs w:val="17"/>
              </w:rPr>
            </w:pPr>
            <w:r w:rsidRPr="00976882">
              <w:rPr>
                <w:b/>
                <w:color w:val="808080" w:themeColor="background1" w:themeShade="80"/>
                <w:szCs w:val="17"/>
              </w:rPr>
              <w:t>Neutral</w:t>
            </w:r>
          </w:p>
        </w:tc>
      </w:tr>
      <w:tr w:rsidR="00C37A6F" w:rsidRPr="00D43554" w14:paraId="323B7F22" w14:textId="77777777" w:rsidTr="00424768">
        <w:trPr>
          <w:trHeight w:val="499"/>
        </w:trPr>
        <w:tc>
          <w:tcPr>
            <w:tcW w:w="689" w:type="dxa"/>
            <w:shd w:val="clear" w:color="auto" w:fill="auto"/>
            <w:vAlign w:val="center"/>
          </w:tcPr>
          <w:p w14:paraId="0A2C9946" w14:textId="4BEF1E38"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409</w:t>
            </w:r>
          </w:p>
        </w:tc>
        <w:tc>
          <w:tcPr>
            <w:tcW w:w="1909" w:type="dxa"/>
            <w:shd w:val="clear" w:color="auto" w:fill="auto"/>
            <w:vAlign w:val="center"/>
          </w:tcPr>
          <w:p w14:paraId="6C00D916" w14:textId="73C816FC" w:rsidR="00C37A6F" w:rsidRPr="000D4029" w:rsidRDefault="00C37A6F" w:rsidP="0084620E">
            <w:pPr>
              <w:jc w:val="center"/>
              <w:rPr>
                <w:szCs w:val="17"/>
                <w:lang w:val="fr-FR"/>
              </w:rPr>
            </w:pPr>
            <w:r w:rsidRPr="000D4029">
              <w:rPr>
                <w:szCs w:val="17"/>
                <w:lang w:val="fr-FR"/>
              </w:rPr>
              <w:t>Article 35 – paragraph 5a – subparagraph 2 – point a</w:t>
            </w:r>
          </w:p>
        </w:tc>
        <w:tc>
          <w:tcPr>
            <w:tcW w:w="6116" w:type="dxa"/>
            <w:shd w:val="clear" w:color="auto" w:fill="auto"/>
          </w:tcPr>
          <w:p w14:paraId="779505D8" w14:textId="194746B4" w:rsidR="00C37A6F" w:rsidRPr="00E76E73" w:rsidRDefault="00C37A6F" w:rsidP="0084620E">
            <w:pPr>
              <w:jc w:val="left"/>
              <w:rPr>
                <w:szCs w:val="17"/>
              </w:rPr>
            </w:pPr>
            <w:r w:rsidRPr="00E76E73">
              <w:rPr>
                <w:szCs w:val="17"/>
              </w:rPr>
              <w:t>RSR for an LRPU every 5 years (3 years previously)</w:t>
            </w:r>
          </w:p>
        </w:tc>
        <w:tc>
          <w:tcPr>
            <w:tcW w:w="1909" w:type="dxa"/>
            <w:shd w:val="clear" w:color="auto" w:fill="auto"/>
            <w:vAlign w:val="center"/>
          </w:tcPr>
          <w:p w14:paraId="2B0E1C31" w14:textId="32C4EC5A" w:rsidR="00C37A6F" w:rsidRPr="00E76E73" w:rsidRDefault="00C37A6F" w:rsidP="0084620E">
            <w:pPr>
              <w:jc w:val="center"/>
              <w:rPr>
                <w:szCs w:val="17"/>
              </w:rPr>
            </w:pPr>
            <w:proofErr w:type="spellStart"/>
            <w:r w:rsidRPr="00E76E73">
              <w:rPr>
                <w:szCs w:val="17"/>
              </w:rPr>
              <w:t>Zanni</w:t>
            </w:r>
            <w:proofErr w:type="spellEnd"/>
            <w:r w:rsidRPr="00E76E73">
              <w:rPr>
                <w:szCs w:val="17"/>
              </w:rPr>
              <w:t>, Grant, Rinaldi</w:t>
            </w:r>
          </w:p>
        </w:tc>
        <w:tc>
          <w:tcPr>
            <w:tcW w:w="2543" w:type="dxa"/>
            <w:shd w:val="clear" w:color="auto" w:fill="auto"/>
            <w:vAlign w:val="center"/>
          </w:tcPr>
          <w:p w14:paraId="575C4CDB" w14:textId="009F589E" w:rsidR="00C37A6F" w:rsidRPr="00E76E73" w:rsidRDefault="00C37A6F" w:rsidP="0084620E">
            <w:pPr>
              <w:jc w:val="center"/>
              <w:rPr>
                <w:szCs w:val="17"/>
              </w:rPr>
            </w:pPr>
            <w:r w:rsidRPr="00E76E73">
              <w:rPr>
                <w:szCs w:val="17"/>
              </w:rPr>
              <w:t>Reporting/proportionality</w:t>
            </w:r>
          </w:p>
        </w:tc>
        <w:tc>
          <w:tcPr>
            <w:tcW w:w="1293" w:type="dxa"/>
            <w:shd w:val="clear" w:color="auto" w:fill="auto"/>
            <w:vAlign w:val="center"/>
          </w:tcPr>
          <w:p w14:paraId="0AFD4B39" w14:textId="0A50A885" w:rsidR="00C37A6F" w:rsidRPr="00E76E73" w:rsidRDefault="00C37A6F" w:rsidP="0084620E">
            <w:pPr>
              <w:jc w:val="center"/>
              <w:rPr>
                <w:szCs w:val="17"/>
              </w:rPr>
            </w:pPr>
            <w:r w:rsidRPr="00F63B3C">
              <w:rPr>
                <w:b/>
                <w:color w:val="00B050"/>
                <w:szCs w:val="17"/>
              </w:rPr>
              <w:t>Positive</w:t>
            </w:r>
          </w:p>
        </w:tc>
      </w:tr>
      <w:tr w:rsidR="00C37A6F" w:rsidRPr="00D43554" w14:paraId="3EA75768" w14:textId="77777777" w:rsidTr="00424768">
        <w:trPr>
          <w:trHeight w:val="499"/>
        </w:trPr>
        <w:tc>
          <w:tcPr>
            <w:tcW w:w="689" w:type="dxa"/>
            <w:shd w:val="clear" w:color="auto" w:fill="auto"/>
            <w:vAlign w:val="center"/>
          </w:tcPr>
          <w:p w14:paraId="17D4E7D0" w14:textId="708F6CF7"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410</w:t>
            </w:r>
          </w:p>
        </w:tc>
        <w:tc>
          <w:tcPr>
            <w:tcW w:w="1909" w:type="dxa"/>
            <w:shd w:val="clear" w:color="auto" w:fill="auto"/>
            <w:vAlign w:val="center"/>
          </w:tcPr>
          <w:p w14:paraId="5DCDE469" w14:textId="3F1751BA" w:rsidR="00C37A6F" w:rsidRPr="000D4029" w:rsidRDefault="00C37A6F" w:rsidP="0084620E">
            <w:pPr>
              <w:jc w:val="center"/>
              <w:rPr>
                <w:szCs w:val="17"/>
                <w:lang w:val="fr-FR"/>
              </w:rPr>
            </w:pPr>
            <w:r w:rsidRPr="000D4029">
              <w:rPr>
                <w:szCs w:val="17"/>
                <w:lang w:val="fr-FR"/>
              </w:rPr>
              <w:t>Article 35 – paragraph 5a – subparagraph 2 – point a</w:t>
            </w:r>
          </w:p>
        </w:tc>
        <w:tc>
          <w:tcPr>
            <w:tcW w:w="6116" w:type="dxa"/>
            <w:shd w:val="clear" w:color="auto" w:fill="auto"/>
          </w:tcPr>
          <w:p w14:paraId="3EC085C8" w14:textId="6E8EDD1B" w:rsidR="00C37A6F" w:rsidRPr="00E76E73" w:rsidRDefault="00C37A6F" w:rsidP="0084620E">
            <w:pPr>
              <w:jc w:val="left"/>
              <w:rPr>
                <w:szCs w:val="17"/>
              </w:rPr>
            </w:pPr>
            <w:r w:rsidRPr="00E76E73">
              <w:rPr>
                <w:szCs w:val="17"/>
              </w:rPr>
              <w:t>RSR for an LRPU every 3 years, but in exceptional circumstances, when justified the frequency can be increased</w:t>
            </w:r>
          </w:p>
        </w:tc>
        <w:tc>
          <w:tcPr>
            <w:tcW w:w="1909" w:type="dxa"/>
            <w:shd w:val="clear" w:color="auto" w:fill="auto"/>
            <w:vAlign w:val="center"/>
          </w:tcPr>
          <w:p w14:paraId="7AD92A3C" w14:textId="793894DC" w:rsidR="00C37A6F" w:rsidRPr="00E76E73" w:rsidRDefault="00C37A6F" w:rsidP="0084620E">
            <w:pPr>
              <w:jc w:val="center"/>
              <w:rPr>
                <w:szCs w:val="17"/>
              </w:rPr>
            </w:pPr>
            <w:proofErr w:type="spellStart"/>
            <w:r w:rsidRPr="00E76E73">
              <w:rPr>
                <w:szCs w:val="17"/>
              </w:rPr>
              <w:t>Heinäluoma</w:t>
            </w:r>
            <w:proofErr w:type="spellEnd"/>
            <w:r w:rsidRPr="00E76E73">
              <w:rPr>
                <w:szCs w:val="17"/>
              </w:rPr>
              <w:t xml:space="preserve">, </w:t>
            </w:r>
            <w:proofErr w:type="spellStart"/>
            <w:r w:rsidRPr="00E76E73">
              <w:rPr>
                <w:szCs w:val="17"/>
              </w:rPr>
              <w:t>Lalucq</w:t>
            </w:r>
            <w:proofErr w:type="spellEnd"/>
          </w:p>
        </w:tc>
        <w:tc>
          <w:tcPr>
            <w:tcW w:w="2543" w:type="dxa"/>
            <w:shd w:val="clear" w:color="auto" w:fill="auto"/>
            <w:vAlign w:val="center"/>
          </w:tcPr>
          <w:p w14:paraId="7836452B" w14:textId="1C7D8801" w:rsidR="00C37A6F" w:rsidRPr="00E76E73" w:rsidRDefault="00C37A6F" w:rsidP="0084620E">
            <w:pPr>
              <w:jc w:val="center"/>
              <w:rPr>
                <w:szCs w:val="17"/>
              </w:rPr>
            </w:pPr>
            <w:r w:rsidRPr="00E76E73">
              <w:rPr>
                <w:szCs w:val="17"/>
              </w:rPr>
              <w:t>Reporting/proportionality</w:t>
            </w:r>
          </w:p>
        </w:tc>
        <w:tc>
          <w:tcPr>
            <w:tcW w:w="1293" w:type="dxa"/>
            <w:shd w:val="clear" w:color="auto" w:fill="auto"/>
            <w:vAlign w:val="center"/>
          </w:tcPr>
          <w:p w14:paraId="550868BF" w14:textId="73010740" w:rsidR="00C37A6F" w:rsidRPr="00E76E73" w:rsidRDefault="00C17028" w:rsidP="0084620E">
            <w:pPr>
              <w:jc w:val="center"/>
              <w:rPr>
                <w:szCs w:val="17"/>
              </w:rPr>
            </w:pPr>
            <w:r w:rsidRPr="00976882">
              <w:rPr>
                <w:b/>
                <w:color w:val="808080" w:themeColor="background1" w:themeShade="80"/>
                <w:szCs w:val="17"/>
              </w:rPr>
              <w:t>Neutral</w:t>
            </w:r>
          </w:p>
        </w:tc>
      </w:tr>
      <w:tr w:rsidR="00C37A6F" w:rsidRPr="00D43554" w14:paraId="55979C0F" w14:textId="77777777" w:rsidTr="00424768">
        <w:trPr>
          <w:trHeight w:val="499"/>
        </w:trPr>
        <w:tc>
          <w:tcPr>
            <w:tcW w:w="689" w:type="dxa"/>
            <w:shd w:val="clear" w:color="auto" w:fill="auto"/>
            <w:vAlign w:val="center"/>
          </w:tcPr>
          <w:p w14:paraId="1C1FF630" w14:textId="096E9B6A"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411</w:t>
            </w:r>
          </w:p>
        </w:tc>
        <w:tc>
          <w:tcPr>
            <w:tcW w:w="1909" w:type="dxa"/>
            <w:shd w:val="clear" w:color="auto" w:fill="auto"/>
            <w:vAlign w:val="center"/>
          </w:tcPr>
          <w:p w14:paraId="113455CC" w14:textId="3CE017D2" w:rsidR="00C37A6F" w:rsidRPr="000D4029" w:rsidRDefault="00C37A6F" w:rsidP="0084620E">
            <w:pPr>
              <w:jc w:val="center"/>
              <w:rPr>
                <w:szCs w:val="17"/>
                <w:lang w:val="fr-FR"/>
              </w:rPr>
            </w:pPr>
            <w:r w:rsidRPr="000D4029">
              <w:rPr>
                <w:szCs w:val="17"/>
                <w:lang w:val="fr-FR"/>
              </w:rPr>
              <w:t>Article 35 – paragraph 5a – subparagraph 2 – point b</w:t>
            </w:r>
          </w:p>
        </w:tc>
        <w:tc>
          <w:tcPr>
            <w:tcW w:w="6116" w:type="dxa"/>
            <w:shd w:val="clear" w:color="auto" w:fill="auto"/>
          </w:tcPr>
          <w:p w14:paraId="1FCC3C18" w14:textId="58E14C82" w:rsidR="00C37A6F" w:rsidRPr="00E76E73" w:rsidRDefault="00C37A6F" w:rsidP="0084620E">
            <w:pPr>
              <w:jc w:val="left"/>
              <w:rPr>
                <w:szCs w:val="17"/>
              </w:rPr>
            </w:pPr>
            <w:r w:rsidRPr="00E76E73">
              <w:rPr>
                <w:szCs w:val="17"/>
              </w:rPr>
              <w:t>RSR for non LRPU every 2 years (3 years previously)</w:t>
            </w:r>
          </w:p>
        </w:tc>
        <w:tc>
          <w:tcPr>
            <w:tcW w:w="1909" w:type="dxa"/>
            <w:shd w:val="clear" w:color="auto" w:fill="auto"/>
            <w:vAlign w:val="center"/>
          </w:tcPr>
          <w:p w14:paraId="792A150B" w14:textId="086AFE05" w:rsidR="00C37A6F" w:rsidRPr="00E76E73" w:rsidRDefault="00C37A6F" w:rsidP="0084620E">
            <w:pPr>
              <w:jc w:val="center"/>
              <w:rPr>
                <w:szCs w:val="17"/>
              </w:rPr>
            </w:pPr>
            <w:r w:rsidRPr="00E76E73">
              <w:rPr>
                <w:szCs w:val="17"/>
              </w:rPr>
              <w:t>Hahn</w:t>
            </w:r>
          </w:p>
        </w:tc>
        <w:tc>
          <w:tcPr>
            <w:tcW w:w="2543" w:type="dxa"/>
            <w:shd w:val="clear" w:color="auto" w:fill="auto"/>
            <w:vAlign w:val="center"/>
          </w:tcPr>
          <w:p w14:paraId="5E764D44" w14:textId="467CA529" w:rsidR="00C37A6F" w:rsidRPr="00E76E73" w:rsidRDefault="00C37A6F" w:rsidP="0084620E">
            <w:pPr>
              <w:jc w:val="center"/>
              <w:rPr>
                <w:szCs w:val="17"/>
              </w:rPr>
            </w:pPr>
            <w:r w:rsidRPr="00E76E73">
              <w:rPr>
                <w:szCs w:val="17"/>
              </w:rPr>
              <w:t>Reporting/proportionality</w:t>
            </w:r>
          </w:p>
        </w:tc>
        <w:tc>
          <w:tcPr>
            <w:tcW w:w="1293" w:type="dxa"/>
            <w:shd w:val="clear" w:color="auto" w:fill="auto"/>
            <w:vAlign w:val="center"/>
          </w:tcPr>
          <w:p w14:paraId="7B7F16B8" w14:textId="403395CC" w:rsidR="00C37A6F" w:rsidRPr="00E76E73" w:rsidRDefault="00C37A6F" w:rsidP="0084620E">
            <w:pPr>
              <w:jc w:val="center"/>
              <w:rPr>
                <w:szCs w:val="17"/>
              </w:rPr>
            </w:pPr>
            <w:r w:rsidRPr="00122D82">
              <w:rPr>
                <w:b/>
                <w:color w:val="FF0000"/>
                <w:szCs w:val="17"/>
              </w:rPr>
              <w:t>Negative</w:t>
            </w:r>
          </w:p>
        </w:tc>
      </w:tr>
      <w:tr w:rsidR="00C37A6F" w:rsidRPr="00D43554" w14:paraId="05DF13F0" w14:textId="77777777" w:rsidTr="00424768">
        <w:trPr>
          <w:trHeight w:val="499"/>
        </w:trPr>
        <w:tc>
          <w:tcPr>
            <w:tcW w:w="689" w:type="dxa"/>
            <w:shd w:val="clear" w:color="auto" w:fill="auto"/>
            <w:vAlign w:val="center"/>
          </w:tcPr>
          <w:p w14:paraId="67F6B455" w14:textId="0C1F1677" w:rsidR="00C37A6F" w:rsidRPr="00E76E73" w:rsidRDefault="00C37A6F" w:rsidP="0084620E">
            <w:pPr>
              <w:pStyle w:val="NormalBold"/>
              <w:jc w:val="center"/>
              <w:rPr>
                <w:rFonts w:ascii="Verdana" w:hAnsi="Verdana" w:cs="Times New Roman"/>
                <w:b w:val="0"/>
                <w:sz w:val="17"/>
                <w:szCs w:val="17"/>
                <w:lang w:val="en-GB"/>
              </w:rPr>
            </w:pPr>
            <w:r w:rsidRPr="00E76E73">
              <w:rPr>
                <w:rFonts w:ascii="Verdana" w:hAnsi="Verdana" w:cs="Times New Roman"/>
                <w:b w:val="0"/>
                <w:sz w:val="17"/>
                <w:szCs w:val="17"/>
                <w:lang w:val="en-GB"/>
              </w:rPr>
              <w:t>412</w:t>
            </w:r>
          </w:p>
        </w:tc>
        <w:tc>
          <w:tcPr>
            <w:tcW w:w="1909" w:type="dxa"/>
            <w:shd w:val="clear" w:color="auto" w:fill="auto"/>
            <w:vAlign w:val="center"/>
          </w:tcPr>
          <w:p w14:paraId="7E7103DB" w14:textId="1701CD91" w:rsidR="00C37A6F" w:rsidRPr="00E76E73" w:rsidRDefault="00C37A6F" w:rsidP="0084620E">
            <w:pPr>
              <w:jc w:val="center"/>
              <w:rPr>
                <w:szCs w:val="17"/>
              </w:rPr>
            </w:pPr>
            <w:r w:rsidRPr="00E76E73">
              <w:rPr>
                <w:szCs w:val="17"/>
              </w:rPr>
              <w:t>Article 35 – paragraph 12 – subparagraph 1 – point b a (new)</w:t>
            </w:r>
          </w:p>
        </w:tc>
        <w:tc>
          <w:tcPr>
            <w:tcW w:w="6116" w:type="dxa"/>
            <w:shd w:val="clear" w:color="auto" w:fill="auto"/>
          </w:tcPr>
          <w:p w14:paraId="50ADE6BD" w14:textId="010C9E8A" w:rsidR="00C37A6F" w:rsidRPr="00E76E73" w:rsidRDefault="00C37A6F" w:rsidP="0084620E">
            <w:pPr>
              <w:jc w:val="left"/>
              <w:rPr>
                <w:szCs w:val="17"/>
              </w:rPr>
            </w:pPr>
            <w:r w:rsidRPr="00E76E73">
              <w:rPr>
                <w:szCs w:val="17"/>
              </w:rPr>
              <w:t>Added to priorities, to reduce compliance costs, particularly for LRPU</w:t>
            </w:r>
          </w:p>
        </w:tc>
        <w:tc>
          <w:tcPr>
            <w:tcW w:w="1909" w:type="dxa"/>
            <w:shd w:val="clear" w:color="auto" w:fill="auto"/>
            <w:vAlign w:val="center"/>
          </w:tcPr>
          <w:p w14:paraId="3A79B601" w14:textId="38870780" w:rsidR="00C37A6F" w:rsidRPr="00E76E73" w:rsidRDefault="00C37A6F" w:rsidP="0084620E">
            <w:pPr>
              <w:jc w:val="center"/>
              <w:rPr>
                <w:szCs w:val="17"/>
              </w:rPr>
            </w:pPr>
            <w:proofErr w:type="spellStart"/>
            <w:r w:rsidRPr="00E76E73">
              <w:rPr>
                <w:szCs w:val="17"/>
              </w:rPr>
              <w:t>Zanni</w:t>
            </w:r>
            <w:proofErr w:type="spellEnd"/>
            <w:r w:rsidRPr="00E76E73">
              <w:rPr>
                <w:szCs w:val="17"/>
              </w:rPr>
              <w:t>, Grant, Rinaldi</w:t>
            </w:r>
          </w:p>
        </w:tc>
        <w:tc>
          <w:tcPr>
            <w:tcW w:w="2543" w:type="dxa"/>
            <w:shd w:val="clear" w:color="auto" w:fill="auto"/>
            <w:vAlign w:val="center"/>
          </w:tcPr>
          <w:p w14:paraId="6A4819EE" w14:textId="1056A5FB" w:rsidR="00C37A6F" w:rsidRPr="00E76E73" w:rsidRDefault="00C37A6F" w:rsidP="0084620E">
            <w:pPr>
              <w:jc w:val="center"/>
              <w:rPr>
                <w:szCs w:val="17"/>
              </w:rPr>
            </w:pPr>
            <w:r w:rsidRPr="00E76E73">
              <w:rPr>
                <w:szCs w:val="17"/>
              </w:rPr>
              <w:t>Reporting/proportionality</w:t>
            </w:r>
          </w:p>
        </w:tc>
        <w:tc>
          <w:tcPr>
            <w:tcW w:w="1293" w:type="dxa"/>
            <w:shd w:val="clear" w:color="auto" w:fill="auto"/>
            <w:vAlign w:val="center"/>
          </w:tcPr>
          <w:p w14:paraId="6B17A9EF" w14:textId="09802381" w:rsidR="00C37A6F" w:rsidRPr="00E76E73" w:rsidRDefault="00C17028" w:rsidP="0084620E">
            <w:pPr>
              <w:jc w:val="center"/>
              <w:rPr>
                <w:szCs w:val="17"/>
              </w:rPr>
            </w:pPr>
            <w:r w:rsidRPr="00976882">
              <w:rPr>
                <w:b/>
                <w:color w:val="808080" w:themeColor="background1" w:themeShade="80"/>
                <w:szCs w:val="17"/>
              </w:rPr>
              <w:t>Neutral</w:t>
            </w:r>
          </w:p>
        </w:tc>
      </w:tr>
      <w:bookmarkEnd w:id="0"/>
    </w:tbl>
    <w:p w14:paraId="0336A028" w14:textId="77777777" w:rsidR="009176FF" w:rsidRPr="00D43554" w:rsidRDefault="009176FF" w:rsidP="00E17A86">
      <w:pPr>
        <w:pStyle w:val="NormalBold"/>
        <w:rPr>
          <w:rFonts w:ascii="Verdana" w:hAnsi="Verdana" w:cs="Times New Roman"/>
          <w:b w:val="0"/>
          <w:sz w:val="17"/>
          <w:szCs w:val="17"/>
          <w:lang w:val="en-GB"/>
        </w:rPr>
      </w:pPr>
    </w:p>
    <w:p w14:paraId="0336A029" w14:textId="77777777" w:rsidR="00440FEE" w:rsidRPr="00D43554" w:rsidRDefault="00440FEE">
      <w:pPr>
        <w:rPr>
          <w:szCs w:val="17"/>
        </w:rPr>
      </w:pPr>
    </w:p>
    <w:sectPr w:rsidR="00440FEE" w:rsidRPr="00D43554" w:rsidSect="00961C45">
      <w:headerReference w:type="default" r:id="rId10"/>
      <w:footerReference w:type="default" r:id="rId11"/>
      <w:pgSz w:w="16839" w:h="11907" w:orient="landscape" w:code="9"/>
      <w:pgMar w:top="1418" w:right="2410" w:bottom="902" w:left="1418" w:header="1276"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3D835" w14:textId="77777777" w:rsidR="00204CF1" w:rsidRDefault="00204CF1">
      <w:pPr>
        <w:spacing w:line="240" w:lineRule="auto"/>
      </w:pPr>
      <w:r>
        <w:separator/>
      </w:r>
    </w:p>
  </w:endnote>
  <w:endnote w:type="continuationSeparator" w:id="0">
    <w:p w14:paraId="253D5EE1" w14:textId="77777777" w:rsidR="00204CF1" w:rsidRDefault="00204CF1">
      <w:pPr>
        <w:spacing w:line="240" w:lineRule="auto"/>
      </w:pPr>
      <w:r>
        <w:continuationSeparator/>
      </w:r>
    </w:p>
  </w:endnote>
  <w:endnote w:type="continuationNotice" w:id="1">
    <w:p w14:paraId="0F2BDCD7" w14:textId="77777777" w:rsidR="00204CF1" w:rsidRDefault="00204C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utiger LT Std 45 Light">
    <w:altName w:val="Leelawadee UI Semilight"/>
    <w:panose1 w:val="00000000000000000000"/>
    <w:charset w:val="00"/>
    <w:family w:val="swiss"/>
    <w:notTrueType/>
    <w:pitch w:val="variable"/>
    <w:sig w:usb0="800000AF" w:usb1="4000204A" w:usb2="0000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581091"/>
      <w:docPartObj>
        <w:docPartGallery w:val="Page Numbers (Bottom of Page)"/>
        <w:docPartUnique/>
      </w:docPartObj>
    </w:sdtPr>
    <w:sdtEndPr>
      <w:rPr>
        <w:noProof/>
      </w:rPr>
    </w:sdtEndPr>
    <w:sdtContent>
      <w:p w14:paraId="58F0764C" w14:textId="7188E096" w:rsidR="00C46B5B" w:rsidRDefault="00C46B5B">
        <w:pPr>
          <w:pStyle w:val="Pta"/>
          <w:jc w:val="right"/>
        </w:pPr>
        <w:r>
          <w:fldChar w:fldCharType="begin"/>
        </w:r>
        <w:r>
          <w:instrText xml:space="preserve"> PAGE   \* MERGEFORMAT </w:instrText>
        </w:r>
        <w:r>
          <w:fldChar w:fldCharType="separate"/>
        </w:r>
        <w:r>
          <w:rPr>
            <w:noProof/>
          </w:rPr>
          <w:t>2</w:t>
        </w:r>
        <w:r>
          <w:rPr>
            <w:noProof/>
          </w:rPr>
          <w:fldChar w:fldCharType="end"/>
        </w:r>
      </w:p>
    </w:sdtContent>
  </w:sdt>
  <w:p w14:paraId="0336A031" w14:textId="77777777" w:rsidR="00BD161F" w:rsidRPr="00CD51F6" w:rsidRDefault="00BD161F" w:rsidP="00BD161F">
    <w:pPr>
      <w:pStyle w:val="Pta"/>
      <w:ind w:left="546"/>
      <w:rPr>
        <w:rFonts w:cs="Arial"/>
        <w:b/>
        <w:color w:val="0032FF"/>
        <w:sz w:val="16"/>
        <w:szCs w:val="16"/>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41CDF" w14:textId="77777777" w:rsidR="00204CF1" w:rsidRDefault="00204CF1">
      <w:pPr>
        <w:spacing w:line="240" w:lineRule="auto"/>
      </w:pPr>
      <w:r>
        <w:separator/>
      </w:r>
    </w:p>
  </w:footnote>
  <w:footnote w:type="continuationSeparator" w:id="0">
    <w:p w14:paraId="0C1AA940" w14:textId="77777777" w:rsidR="00204CF1" w:rsidRDefault="00204CF1">
      <w:pPr>
        <w:spacing w:line="240" w:lineRule="auto"/>
      </w:pPr>
      <w:r>
        <w:continuationSeparator/>
      </w:r>
    </w:p>
  </w:footnote>
  <w:footnote w:type="continuationNotice" w:id="1">
    <w:p w14:paraId="07D4858A" w14:textId="77777777" w:rsidR="00204CF1" w:rsidRDefault="00204CF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6A02E" w14:textId="77777777" w:rsidR="00BD161F" w:rsidRPr="000846C0" w:rsidRDefault="00BD161F" w:rsidP="00BD161F">
    <w:pPr>
      <w:pStyle w:val="Noparagraphstyle"/>
      <w:jc w:val="right"/>
      <w:rPr>
        <w:sz w:val="18"/>
        <w:szCs w:val="18"/>
      </w:rPr>
    </w:pPr>
  </w:p>
  <w:p w14:paraId="0336A02F" w14:textId="77777777" w:rsidR="00BD161F" w:rsidRPr="00CD51F6" w:rsidRDefault="009176FF" w:rsidP="00BD161F">
    <w:pPr>
      <w:pStyle w:val="Noparagraphstyle"/>
      <w:jc w:val="right"/>
      <w:rPr>
        <w:rFonts w:ascii="Arial" w:hAnsi="Arial" w:cs="Arial"/>
        <w:i/>
        <w:iCs/>
        <w:color w:val="034EA2"/>
      </w:rPr>
    </w:pPr>
    <w:r>
      <w:tab/>
    </w:r>
  </w:p>
  <w:p w14:paraId="0336A030" w14:textId="77777777" w:rsidR="00BD161F" w:rsidRPr="007349E1" w:rsidRDefault="009176FF" w:rsidP="00BD161F">
    <w:pPr>
      <w:pStyle w:val="Hlavika"/>
      <w:tabs>
        <w:tab w:val="clear" w:pos="4320"/>
        <w:tab w:val="clear" w:pos="8640"/>
        <w:tab w:val="center" w:pos="0"/>
        <w:tab w:val="right" w:pos="10440"/>
      </w:tabs>
      <w:rPr>
        <w:b/>
        <w:sz w:val="40"/>
        <w:szCs w:val="40"/>
      </w:rPr>
    </w:pPr>
    <w:r w:rsidRPr="00164309">
      <w:rPr>
        <w:b/>
        <w:noProof/>
        <w:sz w:val="40"/>
        <w:szCs w:val="40"/>
        <w:lang w:eastAsia="en-GB"/>
      </w:rPr>
      <w:drawing>
        <wp:anchor distT="0" distB="0" distL="114300" distR="114300" simplePos="0" relativeHeight="251658240" behindDoc="0" locked="0" layoutInCell="1" allowOverlap="1" wp14:anchorId="0336A032" wp14:editId="0336A033">
          <wp:simplePos x="0" y="0"/>
          <wp:positionH relativeFrom="page">
            <wp:posOffset>524888</wp:posOffset>
          </wp:positionH>
          <wp:positionV relativeFrom="page">
            <wp:posOffset>525294</wp:posOffset>
          </wp:positionV>
          <wp:extent cx="1459555" cy="894944"/>
          <wp:effectExtent l="19050" t="0" r="0" b="0"/>
          <wp:wrapSquare wrapText="bothSides"/>
          <wp:docPr id="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4071E"/>
    <w:multiLevelType w:val="hybridMultilevel"/>
    <w:tmpl w:val="EBE65710"/>
    <w:lvl w:ilvl="0" w:tplc="A0240652">
      <w:start w:val="165"/>
      <w:numFmt w:val="bullet"/>
      <w:pStyle w:val="CEABullet-Level2"/>
      <w:lvlText w:val=""/>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 w15:restartNumberingAfterBreak="0">
    <w:nsid w:val="447E4D85"/>
    <w:multiLevelType w:val="hybridMultilevel"/>
    <w:tmpl w:val="36024468"/>
    <w:lvl w:ilvl="0" w:tplc="37180294">
      <w:start w:val="165"/>
      <w:numFmt w:val="bullet"/>
      <w:pStyle w:val="CEABullet-Level3"/>
      <w:lvlText w:val=""/>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2" w15:restartNumberingAfterBreak="0">
    <w:nsid w:val="5C365F63"/>
    <w:multiLevelType w:val="hybridMultilevel"/>
    <w:tmpl w:val="53765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99E2B88"/>
    <w:multiLevelType w:val="hybridMultilevel"/>
    <w:tmpl w:val="636CBA02"/>
    <w:lvl w:ilvl="0" w:tplc="2CF65F2A">
      <w:start w:val="165"/>
      <w:numFmt w:val="bullet"/>
      <w:pStyle w:val="CEABullet-Level1"/>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5F20FB6"/>
    <w:multiLevelType w:val="hybridMultilevel"/>
    <w:tmpl w:val="1BB6920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43352291">
    <w:abstractNumId w:val="3"/>
  </w:num>
  <w:num w:numId="2" w16cid:durableId="799374494">
    <w:abstractNumId w:val="0"/>
  </w:num>
  <w:num w:numId="3" w16cid:durableId="1435204961">
    <w:abstractNumId w:val="1"/>
  </w:num>
  <w:num w:numId="4" w16cid:durableId="1780179095">
    <w:abstractNumId w:val="4"/>
  </w:num>
  <w:num w:numId="5" w16cid:durableId="998850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FF"/>
    <w:rsid w:val="00000E29"/>
    <w:rsid w:val="00001031"/>
    <w:rsid w:val="0000106C"/>
    <w:rsid w:val="00004430"/>
    <w:rsid w:val="00006031"/>
    <w:rsid w:val="000065CE"/>
    <w:rsid w:val="000071CF"/>
    <w:rsid w:val="000104A2"/>
    <w:rsid w:val="00010C68"/>
    <w:rsid w:val="000122BC"/>
    <w:rsid w:val="00014725"/>
    <w:rsid w:val="00014CFE"/>
    <w:rsid w:val="00015871"/>
    <w:rsid w:val="00020220"/>
    <w:rsid w:val="00020D43"/>
    <w:rsid w:val="00021890"/>
    <w:rsid w:val="000238C0"/>
    <w:rsid w:val="000256CA"/>
    <w:rsid w:val="00031DFF"/>
    <w:rsid w:val="00032346"/>
    <w:rsid w:val="00034C44"/>
    <w:rsid w:val="000400DF"/>
    <w:rsid w:val="00040CFD"/>
    <w:rsid w:val="00040E2F"/>
    <w:rsid w:val="0004235B"/>
    <w:rsid w:val="000429B7"/>
    <w:rsid w:val="00044360"/>
    <w:rsid w:val="00044CE8"/>
    <w:rsid w:val="00051B30"/>
    <w:rsid w:val="000568A8"/>
    <w:rsid w:val="000606EA"/>
    <w:rsid w:val="000621FF"/>
    <w:rsid w:val="000641AA"/>
    <w:rsid w:val="000744D9"/>
    <w:rsid w:val="00074995"/>
    <w:rsid w:val="00080990"/>
    <w:rsid w:val="00085213"/>
    <w:rsid w:val="00085286"/>
    <w:rsid w:val="00085BE3"/>
    <w:rsid w:val="00092373"/>
    <w:rsid w:val="000964FD"/>
    <w:rsid w:val="000A0133"/>
    <w:rsid w:val="000A101B"/>
    <w:rsid w:val="000A122B"/>
    <w:rsid w:val="000A2441"/>
    <w:rsid w:val="000A2C0D"/>
    <w:rsid w:val="000A3B67"/>
    <w:rsid w:val="000A3C24"/>
    <w:rsid w:val="000A3C8F"/>
    <w:rsid w:val="000A569F"/>
    <w:rsid w:val="000A6233"/>
    <w:rsid w:val="000B03D4"/>
    <w:rsid w:val="000B34CD"/>
    <w:rsid w:val="000B6A95"/>
    <w:rsid w:val="000B7B2E"/>
    <w:rsid w:val="000C088B"/>
    <w:rsid w:val="000C30E2"/>
    <w:rsid w:val="000C3FB4"/>
    <w:rsid w:val="000C5CB4"/>
    <w:rsid w:val="000D0271"/>
    <w:rsid w:val="000D0B6D"/>
    <w:rsid w:val="000D17A1"/>
    <w:rsid w:val="000D4029"/>
    <w:rsid w:val="000D700D"/>
    <w:rsid w:val="000E04E9"/>
    <w:rsid w:val="000E0C17"/>
    <w:rsid w:val="000E2D40"/>
    <w:rsid w:val="000E4286"/>
    <w:rsid w:val="000E4901"/>
    <w:rsid w:val="000E4DE3"/>
    <w:rsid w:val="000E5076"/>
    <w:rsid w:val="000E5CA2"/>
    <w:rsid w:val="000E6C91"/>
    <w:rsid w:val="000F08AC"/>
    <w:rsid w:val="000F1035"/>
    <w:rsid w:val="000F2B3E"/>
    <w:rsid w:val="000F4D3F"/>
    <w:rsid w:val="000F6D5B"/>
    <w:rsid w:val="000F7090"/>
    <w:rsid w:val="0010056D"/>
    <w:rsid w:val="0010281E"/>
    <w:rsid w:val="001044D4"/>
    <w:rsid w:val="001060F2"/>
    <w:rsid w:val="00106EA9"/>
    <w:rsid w:val="00107C2F"/>
    <w:rsid w:val="00110F3F"/>
    <w:rsid w:val="0011167E"/>
    <w:rsid w:val="001126A0"/>
    <w:rsid w:val="00116A30"/>
    <w:rsid w:val="00120431"/>
    <w:rsid w:val="00121C30"/>
    <w:rsid w:val="00121FE5"/>
    <w:rsid w:val="0012244D"/>
    <w:rsid w:val="00122D82"/>
    <w:rsid w:val="00126009"/>
    <w:rsid w:val="001310FD"/>
    <w:rsid w:val="00132082"/>
    <w:rsid w:val="00132678"/>
    <w:rsid w:val="00134207"/>
    <w:rsid w:val="0014029A"/>
    <w:rsid w:val="0014456D"/>
    <w:rsid w:val="00146450"/>
    <w:rsid w:val="00147FC4"/>
    <w:rsid w:val="001542F8"/>
    <w:rsid w:val="0015690D"/>
    <w:rsid w:val="00157A18"/>
    <w:rsid w:val="00157DD2"/>
    <w:rsid w:val="0016032E"/>
    <w:rsid w:val="0016213F"/>
    <w:rsid w:val="001637F4"/>
    <w:rsid w:val="00165110"/>
    <w:rsid w:val="00165651"/>
    <w:rsid w:val="00166D38"/>
    <w:rsid w:val="00167A43"/>
    <w:rsid w:val="00167CBD"/>
    <w:rsid w:val="00167FE0"/>
    <w:rsid w:val="001710FD"/>
    <w:rsid w:val="0017469F"/>
    <w:rsid w:val="00177C66"/>
    <w:rsid w:val="00186865"/>
    <w:rsid w:val="00186E1E"/>
    <w:rsid w:val="0019000E"/>
    <w:rsid w:val="001923CC"/>
    <w:rsid w:val="0019298A"/>
    <w:rsid w:val="001931B2"/>
    <w:rsid w:val="0019349D"/>
    <w:rsid w:val="001937D4"/>
    <w:rsid w:val="00193E03"/>
    <w:rsid w:val="0019582A"/>
    <w:rsid w:val="00195A5E"/>
    <w:rsid w:val="001961D3"/>
    <w:rsid w:val="00196A61"/>
    <w:rsid w:val="001A511B"/>
    <w:rsid w:val="001A7F11"/>
    <w:rsid w:val="001B117E"/>
    <w:rsid w:val="001B5533"/>
    <w:rsid w:val="001B5DC3"/>
    <w:rsid w:val="001C1225"/>
    <w:rsid w:val="001C17A0"/>
    <w:rsid w:val="001C18AA"/>
    <w:rsid w:val="001C1C09"/>
    <w:rsid w:val="001C27F7"/>
    <w:rsid w:val="001C55AA"/>
    <w:rsid w:val="001C773B"/>
    <w:rsid w:val="001D01E8"/>
    <w:rsid w:val="001D4AF8"/>
    <w:rsid w:val="001D6E18"/>
    <w:rsid w:val="001E40E7"/>
    <w:rsid w:val="001F0181"/>
    <w:rsid w:val="001F049C"/>
    <w:rsid w:val="001F1A32"/>
    <w:rsid w:val="001F1B98"/>
    <w:rsid w:val="001F4EA3"/>
    <w:rsid w:val="001F6AC5"/>
    <w:rsid w:val="001F7293"/>
    <w:rsid w:val="001F7E47"/>
    <w:rsid w:val="00200637"/>
    <w:rsid w:val="0020169D"/>
    <w:rsid w:val="00204CF1"/>
    <w:rsid w:val="002061E1"/>
    <w:rsid w:val="00212474"/>
    <w:rsid w:val="00212495"/>
    <w:rsid w:val="002146FE"/>
    <w:rsid w:val="00221901"/>
    <w:rsid w:val="00221B75"/>
    <w:rsid w:val="00222E01"/>
    <w:rsid w:val="002311BD"/>
    <w:rsid w:val="00232A92"/>
    <w:rsid w:val="00232EFE"/>
    <w:rsid w:val="00234914"/>
    <w:rsid w:val="00240B06"/>
    <w:rsid w:val="002410EB"/>
    <w:rsid w:val="002435B4"/>
    <w:rsid w:val="00243EBE"/>
    <w:rsid w:val="00245F1D"/>
    <w:rsid w:val="002549F2"/>
    <w:rsid w:val="00254A8E"/>
    <w:rsid w:val="00256E6C"/>
    <w:rsid w:val="00261EDD"/>
    <w:rsid w:val="00263165"/>
    <w:rsid w:val="00264C56"/>
    <w:rsid w:val="00265A30"/>
    <w:rsid w:val="00266236"/>
    <w:rsid w:val="0026705B"/>
    <w:rsid w:val="00267FBD"/>
    <w:rsid w:val="00273D79"/>
    <w:rsid w:val="00274377"/>
    <w:rsid w:val="002747D7"/>
    <w:rsid w:val="002760F9"/>
    <w:rsid w:val="00276156"/>
    <w:rsid w:val="00276DDF"/>
    <w:rsid w:val="00277805"/>
    <w:rsid w:val="00277FEB"/>
    <w:rsid w:val="0028355F"/>
    <w:rsid w:val="0029327F"/>
    <w:rsid w:val="00293AD9"/>
    <w:rsid w:val="00295FA0"/>
    <w:rsid w:val="00296F63"/>
    <w:rsid w:val="002A109E"/>
    <w:rsid w:val="002A1163"/>
    <w:rsid w:val="002A3BC9"/>
    <w:rsid w:val="002A3F72"/>
    <w:rsid w:val="002A4018"/>
    <w:rsid w:val="002A762A"/>
    <w:rsid w:val="002B14C7"/>
    <w:rsid w:val="002B3BF2"/>
    <w:rsid w:val="002B718D"/>
    <w:rsid w:val="002B7CE3"/>
    <w:rsid w:val="002C245E"/>
    <w:rsid w:val="002C5997"/>
    <w:rsid w:val="002C5C3E"/>
    <w:rsid w:val="002D0850"/>
    <w:rsid w:val="002D165B"/>
    <w:rsid w:val="002D3278"/>
    <w:rsid w:val="002D50D8"/>
    <w:rsid w:val="002D70E5"/>
    <w:rsid w:val="002D7794"/>
    <w:rsid w:val="002E1535"/>
    <w:rsid w:val="002E1D76"/>
    <w:rsid w:val="002E2238"/>
    <w:rsid w:val="002E2595"/>
    <w:rsid w:val="002E26F7"/>
    <w:rsid w:val="002E50AB"/>
    <w:rsid w:val="002E6D68"/>
    <w:rsid w:val="002E74AE"/>
    <w:rsid w:val="002F1684"/>
    <w:rsid w:val="002F2E39"/>
    <w:rsid w:val="002F2F5B"/>
    <w:rsid w:val="002F4315"/>
    <w:rsid w:val="002F49FD"/>
    <w:rsid w:val="002F5914"/>
    <w:rsid w:val="002F6263"/>
    <w:rsid w:val="002F7E20"/>
    <w:rsid w:val="00300A3A"/>
    <w:rsid w:val="003024ED"/>
    <w:rsid w:val="003029D8"/>
    <w:rsid w:val="0030303A"/>
    <w:rsid w:val="00304B91"/>
    <w:rsid w:val="00305A34"/>
    <w:rsid w:val="00306785"/>
    <w:rsid w:val="003076CB"/>
    <w:rsid w:val="00307A28"/>
    <w:rsid w:val="003100CF"/>
    <w:rsid w:val="00310A12"/>
    <w:rsid w:val="0031109B"/>
    <w:rsid w:val="0031234E"/>
    <w:rsid w:val="003129EA"/>
    <w:rsid w:val="003157C2"/>
    <w:rsid w:val="00320205"/>
    <w:rsid w:val="00321197"/>
    <w:rsid w:val="00321EA7"/>
    <w:rsid w:val="0032273D"/>
    <w:rsid w:val="0032292E"/>
    <w:rsid w:val="003234DE"/>
    <w:rsid w:val="00325CFC"/>
    <w:rsid w:val="003267D6"/>
    <w:rsid w:val="00330DED"/>
    <w:rsid w:val="0033242E"/>
    <w:rsid w:val="00336A24"/>
    <w:rsid w:val="003378EB"/>
    <w:rsid w:val="00342D94"/>
    <w:rsid w:val="0034617D"/>
    <w:rsid w:val="00346DBB"/>
    <w:rsid w:val="003475D7"/>
    <w:rsid w:val="00352516"/>
    <w:rsid w:val="0035304A"/>
    <w:rsid w:val="0035414A"/>
    <w:rsid w:val="00356B89"/>
    <w:rsid w:val="0035738A"/>
    <w:rsid w:val="00371378"/>
    <w:rsid w:val="00371CA8"/>
    <w:rsid w:val="00375DBD"/>
    <w:rsid w:val="003765C4"/>
    <w:rsid w:val="0037663A"/>
    <w:rsid w:val="003767D3"/>
    <w:rsid w:val="00381932"/>
    <w:rsid w:val="00382E01"/>
    <w:rsid w:val="00383ACE"/>
    <w:rsid w:val="0038537C"/>
    <w:rsid w:val="00385B77"/>
    <w:rsid w:val="00390CFF"/>
    <w:rsid w:val="0039252C"/>
    <w:rsid w:val="00394EA2"/>
    <w:rsid w:val="00396C31"/>
    <w:rsid w:val="003972CD"/>
    <w:rsid w:val="003A0662"/>
    <w:rsid w:val="003A112A"/>
    <w:rsid w:val="003A145E"/>
    <w:rsid w:val="003A1870"/>
    <w:rsid w:val="003A1ADF"/>
    <w:rsid w:val="003A3195"/>
    <w:rsid w:val="003A3630"/>
    <w:rsid w:val="003B05E6"/>
    <w:rsid w:val="003B12F2"/>
    <w:rsid w:val="003B13AE"/>
    <w:rsid w:val="003B2C89"/>
    <w:rsid w:val="003B4438"/>
    <w:rsid w:val="003B468C"/>
    <w:rsid w:val="003C2735"/>
    <w:rsid w:val="003C5584"/>
    <w:rsid w:val="003C6211"/>
    <w:rsid w:val="003C6D1E"/>
    <w:rsid w:val="003D0B8B"/>
    <w:rsid w:val="003D16C9"/>
    <w:rsid w:val="003D3748"/>
    <w:rsid w:val="003D3EF4"/>
    <w:rsid w:val="003E0B72"/>
    <w:rsid w:val="003E0E08"/>
    <w:rsid w:val="003E12B6"/>
    <w:rsid w:val="003E593A"/>
    <w:rsid w:val="003E7858"/>
    <w:rsid w:val="003E78BE"/>
    <w:rsid w:val="003F6367"/>
    <w:rsid w:val="00401455"/>
    <w:rsid w:val="00401E38"/>
    <w:rsid w:val="00402063"/>
    <w:rsid w:val="0040303F"/>
    <w:rsid w:val="0040454F"/>
    <w:rsid w:val="00404A59"/>
    <w:rsid w:val="00406D0B"/>
    <w:rsid w:val="004075C7"/>
    <w:rsid w:val="00413C5B"/>
    <w:rsid w:val="00413CFD"/>
    <w:rsid w:val="004147CD"/>
    <w:rsid w:val="0041588E"/>
    <w:rsid w:val="00416D92"/>
    <w:rsid w:val="0042093D"/>
    <w:rsid w:val="00422CDF"/>
    <w:rsid w:val="00424768"/>
    <w:rsid w:val="00430517"/>
    <w:rsid w:val="0043315D"/>
    <w:rsid w:val="00434618"/>
    <w:rsid w:val="00437ABD"/>
    <w:rsid w:val="00440502"/>
    <w:rsid w:val="00440FEE"/>
    <w:rsid w:val="00441126"/>
    <w:rsid w:val="00444204"/>
    <w:rsid w:val="0045006E"/>
    <w:rsid w:val="0045038A"/>
    <w:rsid w:val="00454420"/>
    <w:rsid w:val="0045702C"/>
    <w:rsid w:val="004627AB"/>
    <w:rsid w:val="0046351F"/>
    <w:rsid w:val="00465568"/>
    <w:rsid w:val="00466B61"/>
    <w:rsid w:val="004674AD"/>
    <w:rsid w:val="004714D0"/>
    <w:rsid w:val="00474EDA"/>
    <w:rsid w:val="0047545E"/>
    <w:rsid w:val="00475F98"/>
    <w:rsid w:val="00480E47"/>
    <w:rsid w:val="004831AC"/>
    <w:rsid w:val="00483222"/>
    <w:rsid w:val="004832DA"/>
    <w:rsid w:val="00484304"/>
    <w:rsid w:val="00492165"/>
    <w:rsid w:val="004966BE"/>
    <w:rsid w:val="00496907"/>
    <w:rsid w:val="0049782F"/>
    <w:rsid w:val="004A4FED"/>
    <w:rsid w:val="004A7504"/>
    <w:rsid w:val="004A7F89"/>
    <w:rsid w:val="004B026A"/>
    <w:rsid w:val="004B0A64"/>
    <w:rsid w:val="004B0F90"/>
    <w:rsid w:val="004B1859"/>
    <w:rsid w:val="004B1ED3"/>
    <w:rsid w:val="004B25E0"/>
    <w:rsid w:val="004B2AA1"/>
    <w:rsid w:val="004B5A31"/>
    <w:rsid w:val="004B5C9B"/>
    <w:rsid w:val="004C06CA"/>
    <w:rsid w:val="004C0CE1"/>
    <w:rsid w:val="004C10A2"/>
    <w:rsid w:val="004C1A7A"/>
    <w:rsid w:val="004C1D57"/>
    <w:rsid w:val="004C477C"/>
    <w:rsid w:val="004C5519"/>
    <w:rsid w:val="004C695E"/>
    <w:rsid w:val="004C699A"/>
    <w:rsid w:val="004C7260"/>
    <w:rsid w:val="004C796A"/>
    <w:rsid w:val="004C7F61"/>
    <w:rsid w:val="004D06BB"/>
    <w:rsid w:val="004D207D"/>
    <w:rsid w:val="004D2358"/>
    <w:rsid w:val="004D471A"/>
    <w:rsid w:val="004D489D"/>
    <w:rsid w:val="004D545F"/>
    <w:rsid w:val="004D5811"/>
    <w:rsid w:val="004D5AC0"/>
    <w:rsid w:val="004D5FEC"/>
    <w:rsid w:val="004D715D"/>
    <w:rsid w:val="004D7818"/>
    <w:rsid w:val="004E2E60"/>
    <w:rsid w:val="004E35F8"/>
    <w:rsid w:val="004E6307"/>
    <w:rsid w:val="004E658E"/>
    <w:rsid w:val="004E6EC9"/>
    <w:rsid w:val="004F2DCC"/>
    <w:rsid w:val="004F5F13"/>
    <w:rsid w:val="0050002F"/>
    <w:rsid w:val="0050165D"/>
    <w:rsid w:val="00501873"/>
    <w:rsid w:val="00501DCD"/>
    <w:rsid w:val="00504097"/>
    <w:rsid w:val="005057A5"/>
    <w:rsid w:val="005111F7"/>
    <w:rsid w:val="00513B5B"/>
    <w:rsid w:val="005154E9"/>
    <w:rsid w:val="00520668"/>
    <w:rsid w:val="00520C8B"/>
    <w:rsid w:val="005235FA"/>
    <w:rsid w:val="00523975"/>
    <w:rsid w:val="00524226"/>
    <w:rsid w:val="00524BDC"/>
    <w:rsid w:val="005250BF"/>
    <w:rsid w:val="005256EB"/>
    <w:rsid w:val="0052631A"/>
    <w:rsid w:val="0053011D"/>
    <w:rsid w:val="00530462"/>
    <w:rsid w:val="00530BB6"/>
    <w:rsid w:val="00531B4C"/>
    <w:rsid w:val="00531E82"/>
    <w:rsid w:val="00532688"/>
    <w:rsid w:val="00536975"/>
    <w:rsid w:val="0054145E"/>
    <w:rsid w:val="00542DCE"/>
    <w:rsid w:val="005436E0"/>
    <w:rsid w:val="0054562C"/>
    <w:rsid w:val="0055096F"/>
    <w:rsid w:val="00550C59"/>
    <w:rsid w:val="00553D9E"/>
    <w:rsid w:val="00553DC6"/>
    <w:rsid w:val="00555A73"/>
    <w:rsid w:val="005575F5"/>
    <w:rsid w:val="00560EAA"/>
    <w:rsid w:val="005640E0"/>
    <w:rsid w:val="005651A0"/>
    <w:rsid w:val="005653E8"/>
    <w:rsid w:val="0056739F"/>
    <w:rsid w:val="0057042E"/>
    <w:rsid w:val="00572493"/>
    <w:rsid w:val="00574DB9"/>
    <w:rsid w:val="00575818"/>
    <w:rsid w:val="00576B94"/>
    <w:rsid w:val="00577307"/>
    <w:rsid w:val="005801DF"/>
    <w:rsid w:val="00580626"/>
    <w:rsid w:val="00581EEF"/>
    <w:rsid w:val="00582223"/>
    <w:rsid w:val="00582ABD"/>
    <w:rsid w:val="0058320E"/>
    <w:rsid w:val="00586595"/>
    <w:rsid w:val="005868BB"/>
    <w:rsid w:val="00586EAF"/>
    <w:rsid w:val="00586ED4"/>
    <w:rsid w:val="00590122"/>
    <w:rsid w:val="005915B9"/>
    <w:rsid w:val="005955B0"/>
    <w:rsid w:val="005A1784"/>
    <w:rsid w:val="005A279A"/>
    <w:rsid w:val="005A3780"/>
    <w:rsid w:val="005A6E7D"/>
    <w:rsid w:val="005A7281"/>
    <w:rsid w:val="005B0926"/>
    <w:rsid w:val="005B0CB1"/>
    <w:rsid w:val="005B0DE4"/>
    <w:rsid w:val="005B3CC8"/>
    <w:rsid w:val="005B3DDA"/>
    <w:rsid w:val="005B6263"/>
    <w:rsid w:val="005B6D9B"/>
    <w:rsid w:val="005B701B"/>
    <w:rsid w:val="005C0BC4"/>
    <w:rsid w:val="005C2844"/>
    <w:rsid w:val="005C3C4B"/>
    <w:rsid w:val="005C41A8"/>
    <w:rsid w:val="005C4669"/>
    <w:rsid w:val="005D0B77"/>
    <w:rsid w:val="005D49A2"/>
    <w:rsid w:val="005D4AFD"/>
    <w:rsid w:val="005D6CDA"/>
    <w:rsid w:val="005D7050"/>
    <w:rsid w:val="005E0A8A"/>
    <w:rsid w:val="005E1289"/>
    <w:rsid w:val="005E1436"/>
    <w:rsid w:val="005E4A09"/>
    <w:rsid w:val="005E5988"/>
    <w:rsid w:val="005E7AA0"/>
    <w:rsid w:val="005F31D8"/>
    <w:rsid w:val="005F7372"/>
    <w:rsid w:val="00600ACE"/>
    <w:rsid w:val="00600D30"/>
    <w:rsid w:val="00601684"/>
    <w:rsid w:val="00607854"/>
    <w:rsid w:val="00614550"/>
    <w:rsid w:val="00624012"/>
    <w:rsid w:val="00624154"/>
    <w:rsid w:val="00625CBD"/>
    <w:rsid w:val="00626D14"/>
    <w:rsid w:val="00626FF5"/>
    <w:rsid w:val="006302D9"/>
    <w:rsid w:val="00630F2D"/>
    <w:rsid w:val="006317FA"/>
    <w:rsid w:val="006320B0"/>
    <w:rsid w:val="006355C9"/>
    <w:rsid w:val="00637DC9"/>
    <w:rsid w:val="00641D8D"/>
    <w:rsid w:val="00642401"/>
    <w:rsid w:val="00642F23"/>
    <w:rsid w:val="0064332E"/>
    <w:rsid w:val="00643F4B"/>
    <w:rsid w:val="00651412"/>
    <w:rsid w:val="0065253D"/>
    <w:rsid w:val="00657EB7"/>
    <w:rsid w:val="00661506"/>
    <w:rsid w:val="0066210D"/>
    <w:rsid w:val="00663A20"/>
    <w:rsid w:val="0066597F"/>
    <w:rsid w:val="00665A21"/>
    <w:rsid w:val="00671F16"/>
    <w:rsid w:val="006749BF"/>
    <w:rsid w:val="00674A92"/>
    <w:rsid w:val="00680E54"/>
    <w:rsid w:val="00684AD1"/>
    <w:rsid w:val="00686C59"/>
    <w:rsid w:val="00687AE6"/>
    <w:rsid w:val="00690941"/>
    <w:rsid w:val="00691E2F"/>
    <w:rsid w:val="00692ACE"/>
    <w:rsid w:val="00696AD1"/>
    <w:rsid w:val="006A27A4"/>
    <w:rsid w:val="006A2E39"/>
    <w:rsid w:val="006B0C17"/>
    <w:rsid w:val="006B135B"/>
    <w:rsid w:val="006B151C"/>
    <w:rsid w:val="006B1B8D"/>
    <w:rsid w:val="006B2645"/>
    <w:rsid w:val="006B3076"/>
    <w:rsid w:val="006B3F2D"/>
    <w:rsid w:val="006B6D05"/>
    <w:rsid w:val="006C08FE"/>
    <w:rsid w:val="006C1B47"/>
    <w:rsid w:val="006C36C7"/>
    <w:rsid w:val="006C7F44"/>
    <w:rsid w:val="006D1217"/>
    <w:rsid w:val="006D1B2F"/>
    <w:rsid w:val="006D4A2A"/>
    <w:rsid w:val="006D562B"/>
    <w:rsid w:val="006D5829"/>
    <w:rsid w:val="006D644E"/>
    <w:rsid w:val="006D6850"/>
    <w:rsid w:val="006E047B"/>
    <w:rsid w:val="006E08D9"/>
    <w:rsid w:val="006E14AC"/>
    <w:rsid w:val="006E191F"/>
    <w:rsid w:val="006E685D"/>
    <w:rsid w:val="006F00E8"/>
    <w:rsid w:val="006F0FF1"/>
    <w:rsid w:val="006F242D"/>
    <w:rsid w:val="006F7394"/>
    <w:rsid w:val="006F7A5D"/>
    <w:rsid w:val="00702227"/>
    <w:rsid w:val="0070483A"/>
    <w:rsid w:val="007065F1"/>
    <w:rsid w:val="00707C3E"/>
    <w:rsid w:val="00712D1B"/>
    <w:rsid w:val="00713EB4"/>
    <w:rsid w:val="00714A7A"/>
    <w:rsid w:val="00714B43"/>
    <w:rsid w:val="0071509A"/>
    <w:rsid w:val="00722580"/>
    <w:rsid w:val="00725AAA"/>
    <w:rsid w:val="00731117"/>
    <w:rsid w:val="00731CDA"/>
    <w:rsid w:val="00731E59"/>
    <w:rsid w:val="007341EF"/>
    <w:rsid w:val="00735ACF"/>
    <w:rsid w:val="00736CDC"/>
    <w:rsid w:val="00742BCF"/>
    <w:rsid w:val="007456DF"/>
    <w:rsid w:val="007468C8"/>
    <w:rsid w:val="00750DBC"/>
    <w:rsid w:val="00753A76"/>
    <w:rsid w:val="0075409E"/>
    <w:rsid w:val="007572ED"/>
    <w:rsid w:val="007603B6"/>
    <w:rsid w:val="007611AF"/>
    <w:rsid w:val="00765325"/>
    <w:rsid w:val="00765BF6"/>
    <w:rsid w:val="00766419"/>
    <w:rsid w:val="00766D2B"/>
    <w:rsid w:val="00771C95"/>
    <w:rsid w:val="007759DC"/>
    <w:rsid w:val="007764C8"/>
    <w:rsid w:val="007809B8"/>
    <w:rsid w:val="00781A81"/>
    <w:rsid w:val="00784BF1"/>
    <w:rsid w:val="00785922"/>
    <w:rsid w:val="00785F46"/>
    <w:rsid w:val="00790B58"/>
    <w:rsid w:val="00791500"/>
    <w:rsid w:val="0079570A"/>
    <w:rsid w:val="007968EE"/>
    <w:rsid w:val="0079765A"/>
    <w:rsid w:val="00797692"/>
    <w:rsid w:val="007A0929"/>
    <w:rsid w:val="007A0A69"/>
    <w:rsid w:val="007A15E8"/>
    <w:rsid w:val="007A21CC"/>
    <w:rsid w:val="007A2225"/>
    <w:rsid w:val="007A2651"/>
    <w:rsid w:val="007A4FA7"/>
    <w:rsid w:val="007A5691"/>
    <w:rsid w:val="007A6F3A"/>
    <w:rsid w:val="007A7867"/>
    <w:rsid w:val="007B0238"/>
    <w:rsid w:val="007B2749"/>
    <w:rsid w:val="007B3F22"/>
    <w:rsid w:val="007B3F7D"/>
    <w:rsid w:val="007B4430"/>
    <w:rsid w:val="007B5363"/>
    <w:rsid w:val="007B5DB6"/>
    <w:rsid w:val="007B7319"/>
    <w:rsid w:val="007C1C22"/>
    <w:rsid w:val="007C405A"/>
    <w:rsid w:val="007C57F1"/>
    <w:rsid w:val="007C6053"/>
    <w:rsid w:val="007D3DD9"/>
    <w:rsid w:val="007D65CA"/>
    <w:rsid w:val="007D6ABE"/>
    <w:rsid w:val="007D7AF9"/>
    <w:rsid w:val="007E35C8"/>
    <w:rsid w:val="007E3B13"/>
    <w:rsid w:val="007E4E4B"/>
    <w:rsid w:val="007E5DC1"/>
    <w:rsid w:val="007E7C02"/>
    <w:rsid w:val="007F1513"/>
    <w:rsid w:val="007F1F74"/>
    <w:rsid w:val="007F564C"/>
    <w:rsid w:val="007F5EDA"/>
    <w:rsid w:val="007F6775"/>
    <w:rsid w:val="007F7034"/>
    <w:rsid w:val="008017F6"/>
    <w:rsid w:val="00801E06"/>
    <w:rsid w:val="008030F4"/>
    <w:rsid w:val="00803DBD"/>
    <w:rsid w:val="00805894"/>
    <w:rsid w:val="00805AA0"/>
    <w:rsid w:val="00805BFE"/>
    <w:rsid w:val="00813757"/>
    <w:rsid w:val="00813979"/>
    <w:rsid w:val="00814B4A"/>
    <w:rsid w:val="0081703C"/>
    <w:rsid w:val="0081790F"/>
    <w:rsid w:val="00817F1F"/>
    <w:rsid w:val="008216B4"/>
    <w:rsid w:val="008230C0"/>
    <w:rsid w:val="00823D25"/>
    <w:rsid w:val="00824C05"/>
    <w:rsid w:val="00824F3D"/>
    <w:rsid w:val="00825AF8"/>
    <w:rsid w:val="00825B6A"/>
    <w:rsid w:val="00826254"/>
    <w:rsid w:val="00830286"/>
    <w:rsid w:val="00831FE2"/>
    <w:rsid w:val="00832102"/>
    <w:rsid w:val="00833DCF"/>
    <w:rsid w:val="008342DC"/>
    <w:rsid w:val="00836CE3"/>
    <w:rsid w:val="00841D6B"/>
    <w:rsid w:val="00843283"/>
    <w:rsid w:val="00844C15"/>
    <w:rsid w:val="0084620E"/>
    <w:rsid w:val="00846BB8"/>
    <w:rsid w:val="0084773B"/>
    <w:rsid w:val="008479F5"/>
    <w:rsid w:val="008513AF"/>
    <w:rsid w:val="00854FE8"/>
    <w:rsid w:val="00855B84"/>
    <w:rsid w:val="00861220"/>
    <w:rsid w:val="00861BA2"/>
    <w:rsid w:val="00865179"/>
    <w:rsid w:val="00866A19"/>
    <w:rsid w:val="0087095C"/>
    <w:rsid w:val="00870A68"/>
    <w:rsid w:val="00874EB4"/>
    <w:rsid w:val="008768E3"/>
    <w:rsid w:val="0087722B"/>
    <w:rsid w:val="008776DD"/>
    <w:rsid w:val="00877F35"/>
    <w:rsid w:val="0088095E"/>
    <w:rsid w:val="00880A56"/>
    <w:rsid w:val="0088286F"/>
    <w:rsid w:val="0088391B"/>
    <w:rsid w:val="00886911"/>
    <w:rsid w:val="00890096"/>
    <w:rsid w:val="00890A2C"/>
    <w:rsid w:val="00894B61"/>
    <w:rsid w:val="0089524F"/>
    <w:rsid w:val="00895859"/>
    <w:rsid w:val="00897902"/>
    <w:rsid w:val="008A0C06"/>
    <w:rsid w:val="008A159A"/>
    <w:rsid w:val="008A26E7"/>
    <w:rsid w:val="008A2F66"/>
    <w:rsid w:val="008A2F9A"/>
    <w:rsid w:val="008A55D2"/>
    <w:rsid w:val="008A6887"/>
    <w:rsid w:val="008A7151"/>
    <w:rsid w:val="008A751A"/>
    <w:rsid w:val="008A7F10"/>
    <w:rsid w:val="008B0A1B"/>
    <w:rsid w:val="008B3109"/>
    <w:rsid w:val="008B3E34"/>
    <w:rsid w:val="008B67D0"/>
    <w:rsid w:val="008B726C"/>
    <w:rsid w:val="008B7813"/>
    <w:rsid w:val="008C034C"/>
    <w:rsid w:val="008C332C"/>
    <w:rsid w:val="008C6613"/>
    <w:rsid w:val="008D6E52"/>
    <w:rsid w:val="008D7FF8"/>
    <w:rsid w:val="008E1EC4"/>
    <w:rsid w:val="008E365C"/>
    <w:rsid w:val="008E6514"/>
    <w:rsid w:val="008E704F"/>
    <w:rsid w:val="008E77B0"/>
    <w:rsid w:val="008F088B"/>
    <w:rsid w:val="008F4331"/>
    <w:rsid w:val="008F4FC7"/>
    <w:rsid w:val="008F5276"/>
    <w:rsid w:val="008F5CA0"/>
    <w:rsid w:val="008F5F36"/>
    <w:rsid w:val="008F72E3"/>
    <w:rsid w:val="00901FED"/>
    <w:rsid w:val="009036A3"/>
    <w:rsid w:val="009038D8"/>
    <w:rsid w:val="00907205"/>
    <w:rsid w:val="0091081B"/>
    <w:rsid w:val="00911369"/>
    <w:rsid w:val="0091463E"/>
    <w:rsid w:val="00914831"/>
    <w:rsid w:val="00915191"/>
    <w:rsid w:val="009151A2"/>
    <w:rsid w:val="009176FF"/>
    <w:rsid w:val="00921237"/>
    <w:rsid w:val="00921250"/>
    <w:rsid w:val="00922A24"/>
    <w:rsid w:val="00922AA5"/>
    <w:rsid w:val="009260CB"/>
    <w:rsid w:val="00930146"/>
    <w:rsid w:val="0093793A"/>
    <w:rsid w:val="00942D13"/>
    <w:rsid w:val="00951389"/>
    <w:rsid w:val="00951B07"/>
    <w:rsid w:val="00955394"/>
    <w:rsid w:val="00955F30"/>
    <w:rsid w:val="00955FFA"/>
    <w:rsid w:val="009565CE"/>
    <w:rsid w:val="009566C6"/>
    <w:rsid w:val="0095674A"/>
    <w:rsid w:val="00957659"/>
    <w:rsid w:val="00960847"/>
    <w:rsid w:val="00961C45"/>
    <w:rsid w:val="00962064"/>
    <w:rsid w:val="00964205"/>
    <w:rsid w:val="0097007D"/>
    <w:rsid w:val="00973818"/>
    <w:rsid w:val="00974859"/>
    <w:rsid w:val="00977D99"/>
    <w:rsid w:val="00981D57"/>
    <w:rsid w:val="00982437"/>
    <w:rsid w:val="00984013"/>
    <w:rsid w:val="009856CF"/>
    <w:rsid w:val="00986E52"/>
    <w:rsid w:val="00990326"/>
    <w:rsid w:val="00991EAE"/>
    <w:rsid w:val="00992792"/>
    <w:rsid w:val="00994E56"/>
    <w:rsid w:val="0099516B"/>
    <w:rsid w:val="00995904"/>
    <w:rsid w:val="00996AA9"/>
    <w:rsid w:val="009A1192"/>
    <w:rsid w:val="009A11FA"/>
    <w:rsid w:val="009A2DFB"/>
    <w:rsid w:val="009A341E"/>
    <w:rsid w:val="009A71C9"/>
    <w:rsid w:val="009B0FF5"/>
    <w:rsid w:val="009B414F"/>
    <w:rsid w:val="009B5EDD"/>
    <w:rsid w:val="009B702D"/>
    <w:rsid w:val="009C0517"/>
    <w:rsid w:val="009C0734"/>
    <w:rsid w:val="009C613A"/>
    <w:rsid w:val="009C7162"/>
    <w:rsid w:val="009C7F20"/>
    <w:rsid w:val="009D0DD7"/>
    <w:rsid w:val="009D13E4"/>
    <w:rsid w:val="009D3E48"/>
    <w:rsid w:val="009D46F4"/>
    <w:rsid w:val="009D4710"/>
    <w:rsid w:val="009D5A3E"/>
    <w:rsid w:val="009D62DB"/>
    <w:rsid w:val="009D70D3"/>
    <w:rsid w:val="009E0953"/>
    <w:rsid w:val="009E09E7"/>
    <w:rsid w:val="009E3530"/>
    <w:rsid w:val="009F3638"/>
    <w:rsid w:val="009F7C42"/>
    <w:rsid w:val="00A01580"/>
    <w:rsid w:val="00A01B57"/>
    <w:rsid w:val="00A037C4"/>
    <w:rsid w:val="00A10523"/>
    <w:rsid w:val="00A10B00"/>
    <w:rsid w:val="00A1106A"/>
    <w:rsid w:val="00A11DC8"/>
    <w:rsid w:val="00A128CE"/>
    <w:rsid w:val="00A13890"/>
    <w:rsid w:val="00A13D44"/>
    <w:rsid w:val="00A20674"/>
    <w:rsid w:val="00A20E89"/>
    <w:rsid w:val="00A24A6B"/>
    <w:rsid w:val="00A41407"/>
    <w:rsid w:val="00A4144E"/>
    <w:rsid w:val="00A424BB"/>
    <w:rsid w:val="00A42E13"/>
    <w:rsid w:val="00A445D5"/>
    <w:rsid w:val="00A466F5"/>
    <w:rsid w:val="00A46C2B"/>
    <w:rsid w:val="00A470F2"/>
    <w:rsid w:val="00A472B5"/>
    <w:rsid w:val="00A47583"/>
    <w:rsid w:val="00A504D6"/>
    <w:rsid w:val="00A52AC1"/>
    <w:rsid w:val="00A5306B"/>
    <w:rsid w:val="00A5640F"/>
    <w:rsid w:val="00A62EA5"/>
    <w:rsid w:val="00A665A1"/>
    <w:rsid w:val="00A66EC9"/>
    <w:rsid w:val="00A73437"/>
    <w:rsid w:val="00A74EB9"/>
    <w:rsid w:val="00A75753"/>
    <w:rsid w:val="00A76ACE"/>
    <w:rsid w:val="00A76FC7"/>
    <w:rsid w:val="00A77CE4"/>
    <w:rsid w:val="00A82D6E"/>
    <w:rsid w:val="00A82F86"/>
    <w:rsid w:val="00A84D6E"/>
    <w:rsid w:val="00A85CB1"/>
    <w:rsid w:val="00A86E60"/>
    <w:rsid w:val="00A91E60"/>
    <w:rsid w:val="00A94A36"/>
    <w:rsid w:val="00A95FAB"/>
    <w:rsid w:val="00A97658"/>
    <w:rsid w:val="00AA1AE2"/>
    <w:rsid w:val="00AA2D67"/>
    <w:rsid w:val="00AA35C5"/>
    <w:rsid w:val="00AA5F87"/>
    <w:rsid w:val="00AA6093"/>
    <w:rsid w:val="00AA653E"/>
    <w:rsid w:val="00AB0685"/>
    <w:rsid w:val="00AB1AF0"/>
    <w:rsid w:val="00AB2902"/>
    <w:rsid w:val="00AB3F74"/>
    <w:rsid w:val="00AC16CC"/>
    <w:rsid w:val="00AC3740"/>
    <w:rsid w:val="00AC427E"/>
    <w:rsid w:val="00AC5208"/>
    <w:rsid w:val="00AC5DB1"/>
    <w:rsid w:val="00AC73C3"/>
    <w:rsid w:val="00AD1FA5"/>
    <w:rsid w:val="00AD2BBF"/>
    <w:rsid w:val="00AD5D52"/>
    <w:rsid w:val="00AE0D43"/>
    <w:rsid w:val="00AE17CF"/>
    <w:rsid w:val="00AE247C"/>
    <w:rsid w:val="00AE5404"/>
    <w:rsid w:val="00AF28DA"/>
    <w:rsid w:val="00AF32E4"/>
    <w:rsid w:val="00AF5113"/>
    <w:rsid w:val="00B0225D"/>
    <w:rsid w:val="00B02A08"/>
    <w:rsid w:val="00B034CC"/>
    <w:rsid w:val="00B036E0"/>
    <w:rsid w:val="00B03AD2"/>
    <w:rsid w:val="00B042C1"/>
    <w:rsid w:val="00B047D2"/>
    <w:rsid w:val="00B0538E"/>
    <w:rsid w:val="00B079AA"/>
    <w:rsid w:val="00B07BF7"/>
    <w:rsid w:val="00B07C7F"/>
    <w:rsid w:val="00B10E84"/>
    <w:rsid w:val="00B12B45"/>
    <w:rsid w:val="00B1608F"/>
    <w:rsid w:val="00B20F34"/>
    <w:rsid w:val="00B21B5E"/>
    <w:rsid w:val="00B21C1A"/>
    <w:rsid w:val="00B258AD"/>
    <w:rsid w:val="00B32A54"/>
    <w:rsid w:val="00B34FE2"/>
    <w:rsid w:val="00B44B1A"/>
    <w:rsid w:val="00B45867"/>
    <w:rsid w:val="00B46613"/>
    <w:rsid w:val="00B479AB"/>
    <w:rsid w:val="00B51F5B"/>
    <w:rsid w:val="00B536F6"/>
    <w:rsid w:val="00B53B33"/>
    <w:rsid w:val="00B546D9"/>
    <w:rsid w:val="00B55455"/>
    <w:rsid w:val="00B56A4D"/>
    <w:rsid w:val="00B57365"/>
    <w:rsid w:val="00B6064C"/>
    <w:rsid w:val="00B60FC7"/>
    <w:rsid w:val="00B62C17"/>
    <w:rsid w:val="00B646F1"/>
    <w:rsid w:val="00B65C02"/>
    <w:rsid w:val="00B66395"/>
    <w:rsid w:val="00B6715A"/>
    <w:rsid w:val="00B7017E"/>
    <w:rsid w:val="00B72253"/>
    <w:rsid w:val="00B744F2"/>
    <w:rsid w:val="00B746C1"/>
    <w:rsid w:val="00B751C9"/>
    <w:rsid w:val="00B76EBB"/>
    <w:rsid w:val="00B77965"/>
    <w:rsid w:val="00B81140"/>
    <w:rsid w:val="00B8198A"/>
    <w:rsid w:val="00B84650"/>
    <w:rsid w:val="00B849E6"/>
    <w:rsid w:val="00B84B09"/>
    <w:rsid w:val="00B866CB"/>
    <w:rsid w:val="00B9005C"/>
    <w:rsid w:val="00B905FA"/>
    <w:rsid w:val="00B90F9B"/>
    <w:rsid w:val="00B926AC"/>
    <w:rsid w:val="00B955EF"/>
    <w:rsid w:val="00B957F7"/>
    <w:rsid w:val="00B964F5"/>
    <w:rsid w:val="00B9725D"/>
    <w:rsid w:val="00BA0FC2"/>
    <w:rsid w:val="00BA1803"/>
    <w:rsid w:val="00BA20F3"/>
    <w:rsid w:val="00BA218E"/>
    <w:rsid w:val="00BA2E92"/>
    <w:rsid w:val="00BA5A9B"/>
    <w:rsid w:val="00BA7357"/>
    <w:rsid w:val="00BB1689"/>
    <w:rsid w:val="00BB6461"/>
    <w:rsid w:val="00BC0BFE"/>
    <w:rsid w:val="00BC2136"/>
    <w:rsid w:val="00BC2139"/>
    <w:rsid w:val="00BC656B"/>
    <w:rsid w:val="00BD03D1"/>
    <w:rsid w:val="00BD0B69"/>
    <w:rsid w:val="00BD0F60"/>
    <w:rsid w:val="00BD11DA"/>
    <w:rsid w:val="00BD161F"/>
    <w:rsid w:val="00BD29AC"/>
    <w:rsid w:val="00BD3F03"/>
    <w:rsid w:val="00BE096F"/>
    <w:rsid w:val="00BE14FF"/>
    <w:rsid w:val="00BE29CF"/>
    <w:rsid w:val="00BE4AA9"/>
    <w:rsid w:val="00BE4ED8"/>
    <w:rsid w:val="00BE4FBD"/>
    <w:rsid w:val="00BE548B"/>
    <w:rsid w:val="00BE7DEC"/>
    <w:rsid w:val="00BF3DEA"/>
    <w:rsid w:val="00BF41A3"/>
    <w:rsid w:val="00BF5240"/>
    <w:rsid w:val="00BF6396"/>
    <w:rsid w:val="00C01CF3"/>
    <w:rsid w:val="00C04CAF"/>
    <w:rsid w:val="00C1052F"/>
    <w:rsid w:val="00C12894"/>
    <w:rsid w:val="00C12A1D"/>
    <w:rsid w:val="00C13591"/>
    <w:rsid w:val="00C13807"/>
    <w:rsid w:val="00C14B8C"/>
    <w:rsid w:val="00C158AA"/>
    <w:rsid w:val="00C15C37"/>
    <w:rsid w:val="00C161A6"/>
    <w:rsid w:val="00C17028"/>
    <w:rsid w:val="00C202DF"/>
    <w:rsid w:val="00C226D4"/>
    <w:rsid w:val="00C30286"/>
    <w:rsid w:val="00C3106A"/>
    <w:rsid w:val="00C34385"/>
    <w:rsid w:val="00C3483B"/>
    <w:rsid w:val="00C35D06"/>
    <w:rsid w:val="00C378A4"/>
    <w:rsid w:val="00C37A6F"/>
    <w:rsid w:val="00C41AB6"/>
    <w:rsid w:val="00C41BFE"/>
    <w:rsid w:val="00C42B91"/>
    <w:rsid w:val="00C434B3"/>
    <w:rsid w:val="00C44987"/>
    <w:rsid w:val="00C44C41"/>
    <w:rsid w:val="00C45CD1"/>
    <w:rsid w:val="00C46B5B"/>
    <w:rsid w:val="00C47580"/>
    <w:rsid w:val="00C5301B"/>
    <w:rsid w:val="00C54260"/>
    <w:rsid w:val="00C54470"/>
    <w:rsid w:val="00C606E5"/>
    <w:rsid w:val="00C60C6E"/>
    <w:rsid w:val="00C61059"/>
    <w:rsid w:val="00C622DD"/>
    <w:rsid w:val="00C63493"/>
    <w:rsid w:val="00C63BA4"/>
    <w:rsid w:val="00C650B8"/>
    <w:rsid w:val="00C66471"/>
    <w:rsid w:val="00C67B1E"/>
    <w:rsid w:val="00C67C88"/>
    <w:rsid w:val="00C70B5E"/>
    <w:rsid w:val="00C73462"/>
    <w:rsid w:val="00C73895"/>
    <w:rsid w:val="00C73F6A"/>
    <w:rsid w:val="00C751CE"/>
    <w:rsid w:val="00C758F6"/>
    <w:rsid w:val="00C76459"/>
    <w:rsid w:val="00C77820"/>
    <w:rsid w:val="00C80847"/>
    <w:rsid w:val="00C80E32"/>
    <w:rsid w:val="00C8117B"/>
    <w:rsid w:val="00C8709B"/>
    <w:rsid w:val="00C9043B"/>
    <w:rsid w:val="00C90996"/>
    <w:rsid w:val="00C90CE4"/>
    <w:rsid w:val="00C92A30"/>
    <w:rsid w:val="00C9756A"/>
    <w:rsid w:val="00CA0104"/>
    <w:rsid w:val="00CA16D3"/>
    <w:rsid w:val="00CA411C"/>
    <w:rsid w:val="00CB352D"/>
    <w:rsid w:val="00CB5E24"/>
    <w:rsid w:val="00CC213C"/>
    <w:rsid w:val="00CC23A8"/>
    <w:rsid w:val="00CC4BA5"/>
    <w:rsid w:val="00CC5723"/>
    <w:rsid w:val="00CC6B54"/>
    <w:rsid w:val="00CC7375"/>
    <w:rsid w:val="00CD0648"/>
    <w:rsid w:val="00CD1424"/>
    <w:rsid w:val="00CD1C81"/>
    <w:rsid w:val="00CD1D01"/>
    <w:rsid w:val="00CD538A"/>
    <w:rsid w:val="00CD6458"/>
    <w:rsid w:val="00CE179F"/>
    <w:rsid w:val="00CE1A20"/>
    <w:rsid w:val="00CE3AE3"/>
    <w:rsid w:val="00CE7FDE"/>
    <w:rsid w:val="00CF149B"/>
    <w:rsid w:val="00CF2CCD"/>
    <w:rsid w:val="00CF4DF7"/>
    <w:rsid w:val="00CF591D"/>
    <w:rsid w:val="00CF6ADF"/>
    <w:rsid w:val="00CF7A26"/>
    <w:rsid w:val="00D02364"/>
    <w:rsid w:val="00D02C01"/>
    <w:rsid w:val="00D0509E"/>
    <w:rsid w:val="00D05664"/>
    <w:rsid w:val="00D057B8"/>
    <w:rsid w:val="00D12E2B"/>
    <w:rsid w:val="00D1311C"/>
    <w:rsid w:val="00D13E99"/>
    <w:rsid w:val="00D1440B"/>
    <w:rsid w:val="00D15F93"/>
    <w:rsid w:val="00D1670D"/>
    <w:rsid w:val="00D2075F"/>
    <w:rsid w:val="00D2297A"/>
    <w:rsid w:val="00D22B1B"/>
    <w:rsid w:val="00D2315C"/>
    <w:rsid w:val="00D30948"/>
    <w:rsid w:val="00D338D1"/>
    <w:rsid w:val="00D34FBF"/>
    <w:rsid w:val="00D3526D"/>
    <w:rsid w:val="00D35BF6"/>
    <w:rsid w:val="00D36FF0"/>
    <w:rsid w:val="00D37A0F"/>
    <w:rsid w:val="00D40BD0"/>
    <w:rsid w:val="00D4125A"/>
    <w:rsid w:val="00D43554"/>
    <w:rsid w:val="00D4409C"/>
    <w:rsid w:val="00D46288"/>
    <w:rsid w:val="00D47423"/>
    <w:rsid w:val="00D47E50"/>
    <w:rsid w:val="00D506F5"/>
    <w:rsid w:val="00D567C6"/>
    <w:rsid w:val="00D60ADE"/>
    <w:rsid w:val="00D67DE9"/>
    <w:rsid w:val="00D713EE"/>
    <w:rsid w:val="00D7409E"/>
    <w:rsid w:val="00D750EF"/>
    <w:rsid w:val="00D76D9A"/>
    <w:rsid w:val="00D77110"/>
    <w:rsid w:val="00D80EE8"/>
    <w:rsid w:val="00D82440"/>
    <w:rsid w:val="00D82BA2"/>
    <w:rsid w:val="00D82D15"/>
    <w:rsid w:val="00D83915"/>
    <w:rsid w:val="00D91837"/>
    <w:rsid w:val="00D92AC3"/>
    <w:rsid w:val="00D92D8F"/>
    <w:rsid w:val="00D93952"/>
    <w:rsid w:val="00D966C0"/>
    <w:rsid w:val="00D970D7"/>
    <w:rsid w:val="00D9758F"/>
    <w:rsid w:val="00DA0703"/>
    <w:rsid w:val="00DA133E"/>
    <w:rsid w:val="00DA1C9B"/>
    <w:rsid w:val="00DA50BF"/>
    <w:rsid w:val="00DA5767"/>
    <w:rsid w:val="00DA7066"/>
    <w:rsid w:val="00DA748F"/>
    <w:rsid w:val="00DA7F7E"/>
    <w:rsid w:val="00DB13FA"/>
    <w:rsid w:val="00DB19AD"/>
    <w:rsid w:val="00DB2CA7"/>
    <w:rsid w:val="00DB330D"/>
    <w:rsid w:val="00DB5D3E"/>
    <w:rsid w:val="00DC1756"/>
    <w:rsid w:val="00DC2135"/>
    <w:rsid w:val="00DC53F3"/>
    <w:rsid w:val="00DD05E1"/>
    <w:rsid w:val="00DD13A8"/>
    <w:rsid w:val="00DD1BD2"/>
    <w:rsid w:val="00DD1E69"/>
    <w:rsid w:val="00DD35CC"/>
    <w:rsid w:val="00DD41CC"/>
    <w:rsid w:val="00DD4B31"/>
    <w:rsid w:val="00DD5E69"/>
    <w:rsid w:val="00DD6098"/>
    <w:rsid w:val="00DD72A1"/>
    <w:rsid w:val="00DD758E"/>
    <w:rsid w:val="00DE1BB0"/>
    <w:rsid w:val="00DE2EB3"/>
    <w:rsid w:val="00DE4642"/>
    <w:rsid w:val="00DE471E"/>
    <w:rsid w:val="00DF0E00"/>
    <w:rsid w:val="00DF2D9C"/>
    <w:rsid w:val="00DF392E"/>
    <w:rsid w:val="00DF6EB5"/>
    <w:rsid w:val="00E00ECE"/>
    <w:rsid w:val="00E01396"/>
    <w:rsid w:val="00E02D20"/>
    <w:rsid w:val="00E04570"/>
    <w:rsid w:val="00E0469C"/>
    <w:rsid w:val="00E05AD9"/>
    <w:rsid w:val="00E07ECB"/>
    <w:rsid w:val="00E10F9D"/>
    <w:rsid w:val="00E126FD"/>
    <w:rsid w:val="00E16AA7"/>
    <w:rsid w:val="00E17A86"/>
    <w:rsid w:val="00E20CB3"/>
    <w:rsid w:val="00E21E30"/>
    <w:rsid w:val="00E24AD3"/>
    <w:rsid w:val="00E25C55"/>
    <w:rsid w:val="00E25CC2"/>
    <w:rsid w:val="00E30116"/>
    <w:rsid w:val="00E32B3B"/>
    <w:rsid w:val="00E32E04"/>
    <w:rsid w:val="00E332CD"/>
    <w:rsid w:val="00E33728"/>
    <w:rsid w:val="00E4048A"/>
    <w:rsid w:val="00E407FE"/>
    <w:rsid w:val="00E42D24"/>
    <w:rsid w:val="00E433C2"/>
    <w:rsid w:val="00E4503B"/>
    <w:rsid w:val="00E50388"/>
    <w:rsid w:val="00E537F2"/>
    <w:rsid w:val="00E543CB"/>
    <w:rsid w:val="00E57495"/>
    <w:rsid w:val="00E57CA6"/>
    <w:rsid w:val="00E57EF7"/>
    <w:rsid w:val="00E6232F"/>
    <w:rsid w:val="00E63133"/>
    <w:rsid w:val="00E63768"/>
    <w:rsid w:val="00E66F88"/>
    <w:rsid w:val="00E70771"/>
    <w:rsid w:val="00E717BF"/>
    <w:rsid w:val="00E73407"/>
    <w:rsid w:val="00E76BF4"/>
    <w:rsid w:val="00E76E73"/>
    <w:rsid w:val="00E8047E"/>
    <w:rsid w:val="00E84F31"/>
    <w:rsid w:val="00E850D8"/>
    <w:rsid w:val="00E91776"/>
    <w:rsid w:val="00E930CA"/>
    <w:rsid w:val="00E935BB"/>
    <w:rsid w:val="00E94820"/>
    <w:rsid w:val="00E94ED4"/>
    <w:rsid w:val="00E96F93"/>
    <w:rsid w:val="00EA01AC"/>
    <w:rsid w:val="00EA224D"/>
    <w:rsid w:val="00EA57D5"/>
    <w:rsid w:val="00EB299E"/>
    <w:rsid w:val="00EC1383"/>
    <w:rsid w:val="00EC4F65"/>
    <w:rsid w:val="00ED3E3F"/>
    <w:rsid w:val="00ED5AB8"/>
    <w:rsid w:val="00ED5DA7"/>
    <w:rsid w:val="00EE0488"/>
    <w:rsid w:val="00EE2233"/>
    <w:rsid w:val="00EE3906"/>
    <w:rsid w:val="00EE3DB0"/>
    <w:rsid w:val="00EE456B"/>
    <w:rsid w:val="00EF0498"/>
    <w:rsid w:val="00EF1B8A"/>
    <w:rsid w:val="00EF3765"/>
    <w:rsid w:val="00EF3BE8"/>
    <w:rsid w:val="00EF54F6"/>
    <w:rsid w:val="00EF666B"/>
    <w:rsid w:val="00EF7BC7"/>
    <w:rsid w:val="00F00924"/>
    <w:rsid w:val="00F03500"/>
    <w:rsid w:val="00F05340"/>
    <w:rsid w:val="00F068BD"/>
    <w:rsid w:val="00F125DE"/>
    <w:rsid w:val="00F12D24"/>
    <w:rsid w:val="00F1522E"/>
    <w:rsid w:val="00F156A4"/>
    <w:rsid w:val="00F1690B"/>
    <w:rsid w:val="00F17180"/>
    <w:rsid w:val="00F172FF"/>
    <w:rsid w:val="00F17CAD"/>
    <w:rsid w:val="00F218D2"/>
    <w:rsid w:val="00F27563"/>
    <w:rsid w:val="00F3241B"/>
    <w:rsid w:val="00F33158"/>
    <w:rsid w:val="00F366EB"/>
    <w:rsid w:val="00F36E24"/>
    <w:rsid w:val="00F370B9"/>
    <w:rsid w:val="00F40486"/>
    <w:rsid w:val="00F40AA0"/>
    <w:rsid w:val="00F4169E"/>
    <w:rsid w:val="00F41B18"/>
    <w:rsid w:val="00F42322"/>
    <w:rsid w:val="00F42F21"/>
    <w:rsid w:val="00F43502"/>
    <w:rsid w:val="00F449C7"/>
    <w:rsid w:val="00F463FF"/>
    <w:rsid w:val="00F50B34"/>
    <w:rsid w:val="00F514D6"/>
    <w:rsid w:val="00F53171"/>
    <w:rsid w:val="00F5396A"/>
    <w:rsid w:val="00F54A70"/>
    <w:rsid w:val="00F550AB"/>
    <w:rsid w:val="00F601AA"/>
    <w:rsid w:val="00F6168C"/>
    <w:rsid w:val="00F7024A"/>
    <w:rsid w:val="00F707B3"/>
    <w:rsid w:val="00F72547"/>
    <w:rsid w:val="00F73C0C"/>
    <w:rsid w:val="00F7459A"/>
    <w:rsid w:val="00F7463B"/>
    <w:rsid w:val="00F76406"/>
    <w:rsid w:val="00F764FF"/>
    <w:rsid w:val="00F76735"/>
    <w:rsid w:val="00F767F9"/>
    <w:rsid w:val="00F814C2"/>
    <w:rsid w:val="00F82BCA"/>
    <w:rsid w:val="00F839DC"/>
    <w:rsid w:val="00F8450D"/>
    <w:rsid w:val="00F8705B"/>
    <w:rsid w:val="00F875C9"/>
    <w:rsid w:val="00F914FC"/>
    <w:rsid w:val="00F91C5B"/>
    <w:rsid w:val="00F9202D"/>
    <w:rsid w:val="00F9375C"/>
    <w:rsid w:val="00FA0179"/>
    <w:rsid w:val="00FA4DAB"/>
    <w:rsid w:val="00FB07BB"/>
    <w:rsid w:val="00FB09BB"/>
    <w:rsid w:val="00FB0E00"/>
    <w:rsid w:val="00FB1656"/>
    <w:rsid w:val="00FB354D"/>
    <w:rsid w:val="00FB3B66"/>
    <w:rsid w:val="00FB440B"/>
    <w:rsid w:val="00FB44A3"/>
    <w:rsid w:val="00FB6334"/>
    <w:rsid w:val="00FB6581"/>
    <w:rsid w:val="00FB68B5"/>
    <w:rsid w:val="00FB69EA"/>
    <w:rsid w:val="00FC2A18"/>
    <w:rsid w:val="00FC319A"/>
    <w:rsid w:val="00FC5095"/>
    <w:rsid w:val="00FD0F55"/>
    <w:rsid w:val="00FD12FD"/>
    <w:rsid w:val="00FD2C19"/>
    <w:rsid w:val="00FD5A20"/>
    <w:rsid w:val="00FD5F43"/>
    <w:rsid w:val="00FE0A3F"/>
    <w:rsid w:val="00FE517F"/>
    <w:rsid w:val="00FF30EE"/>
    <w:rsid w:val="00FF38DF"/>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6A028"/>
  <w15:docId w15:val="{3DC7D75B-316B-4A17-903D-4465B122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176FF"/>
    <w:pPr>
      <w:spacing w:after="0" w:line="288" w:lineRule="auto"/>
      <w:jc w:val="both"/>
    </w:pPr>
    <w:rPr>
      <w:rFonts w:ascii="Verdana" w:eastAsia="Times New Roman" w:hAnsi="Verdana" w:cs="Times New Roman"/>
      <w:sz w:val="17"/>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9176FF"/>
    <w:pPr>
      <w:tabs>
        <w:tab w:val="center" w:pos="4320"/>
        <w:tab w:val="right" w:pos="8640"/>
      </w:tabs>
    </w:pPr>
  </w:style>
  <w:style w:type="character" w:customStyle="1" w:styleId="HlavikaChar">
    <w:name w:val="Hlavička Char"/>
    <w:basedOn w:val="Predvolenpsmoodseku"/>
    <w:link w:val="Hlavika"/>
    <w:semiHidden/>
    <w:rsid w:val="009176FF"/>
    <w:rPr>
      <w:rFonts w:ascii="Verdana" w:eastAsia="Times New Roman" w:hAnsi="Verdana" w:cs="Times New Roman"/>
      <w:sz w:val="17"/>
      <w:szCs w:val="24"/>
      <w:lang w:val="en-GB"/>
    </w:rPr>
  </w:style>
  <w:style w:type="paragraph" w:styleId="Pta">
    <w:name w:val="footer"/>
    <w:basedOn w:val="Normlny"/>
    <w:link w:val="PtaChar"/>
    <w:uiPriority w:val="99"/>
    <w:rsid w:val="009176FF"/>
    <w:pPr>
      <w:tabs>
        <w:tab w:val="center" w:pos="4320"/>
        <w:tab w:val="right" w:pos="8640"/>
      </w:tabs>
    </w:pPr>
  </w:style>
  <w:style w:type="character" w:customStyle="1" w:styleId="PtaChar">
    <w:name w:val="Päta Char"/>
    <w:basedOn w:val="Predvolenpsmoodseku"/>
    <w:link w:val="Pta"/>
    <w:uiPriority w:val="99"/>
    <w:rsid w:val="009176FF"/>
    <w:rPr>
      <w:rFonts w:ascii="Verdana" w:eastAsia="Times New Roman" w:hAnsi="Verdana" w:cs="Times New Roman"/>
      <w:sz w:val="17"/>
      <w:szCs w:val="24"/>
      <w:lang w:val="en-GB"/>
    </w:rPr>
  </w:style>
  <w:style w:type="paragraph" w:customStyle="1" w:styleId="Noparagraphstyle">
    <w:name w:val="[No paragraph style]"/>
    <w:semiHidden/>
    <w:rsid w:val="009176F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customStyle="1" w:styleId="CEAGraphTitle">
    <w:name w:val="CEA Graph Title"/>
    <w:basedOn w:val="Predvolenpsmoodseku"/>
    <w:uiPriority w:val="1"/>
    <w:qFormat/>
    <w:rsid w:val="009176FF"/>
    <w:rPr>
      <w:rFonts w:ascii="Verdana" w:hAnsi="Verdana"/>
      <w:smallCaps w:val="0"/>
      <w:sz w:val="17"/>
      <w:lang w:val="en-GB"/>
    </w:rPr>
  </w:style>
  <w:style w:type="paragraph" w:customStyle="1" w:styleId="CEABullet-Level1">
    <w:name w:val="CEA Bullet - Level 1"/>
    <w:basedOn w:val="Normlny"/>
    <w:qFormat/>
    <w:rsid w:val="001126A0"/>
    <w:pPr>
      <w:numPr>
        <w:numId w:val="1"/>
      </w:numPr>
      <w:autoSpaceDE w:val="0"/>
      <w:autoSpaceDN w:val="0"/>
      <w:adjustRightInd w:val="0"/>
    </w:pPr>
    <w:rPr>
      <w:rFonts w:cs="Frutiger LT Std 45 Light"/>
      <w:color w:val="000000"/>
      <w:szCs w:val="20"/>
    </w:rPr>
  </w:style>
  <w:style w:type="paragraph" w:customStyle="1" w:styleId="CEABullet-Level2">
    <w:name w:val="CEA Bullet - Level 2"/>
    <w:basedOn w:val="CEABullet-Level1"/>
    <w:next w:val="Normlny"/>
    <w:qFormat/>
    <w:rsid w:val="001126A0"/>
    <w:pPr>
      <w:numPr>
        <w:numId w:val="2"/>
      </w:numPr>
    </w:pPr>
  </w:style>
  <w:style w:type="paragraph" w:customStyle="1" w:styleId="CEABullet-Level3">
    <w:name w:val="CEA Bullet - Level 3"/>
    <w:basedOn w:val="Normlny"/>
    <w:qFormat/>
    <w:rsid w:val="001126A0"/>
    <w:pPr>
      <w:numPr>
        <w:numId w:val="3"/>
      </w:numPr>
      <w:autoSpaceDE w:val="0"/>
      <w:autoSpaceDN w:val="0"/>
      <w:adjustRightInd w:val="0"/>
    </w:pPr>
    <w:rPr>
      <w:rFonts w:cs="Frutiger LT Std 45 Light"/>
      <w:color w:val="000000"/>
      <w:szCs w:val="20"/>
    </w:rPr>
  </w:style>
  <w:style w:type="paragraph" w:customStyle="1" w:styleId="CEADirectorGeneral">
    <w:name w:val="CEA Director General"/>
    <w:basedOn w:val="Normlny"/>
    <w:semiHidden/>
    <w:qFormat/>
    <w:rsid w:val="001126A0"/>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1126A0"/>
    <w:pPr>
      <w:jc w:val="right"/>
    </w:pPr>
    <w:rPr>
      <w:rFonts w:cs="Frutiger LT Std 55 Roman"/>
      <w:b/>
      <w:color w:val="0032FF"/>
      <w:sz w:val="40"/>
      <w:szCs w:val="40"/>
    </w:rPr>
  </w:style>
  <w:style w:type="paragraph" w:customStyle="1" w:styleId="CEADraft">
    <w:name w:val="CEA Draft"/>
    <w:basedOn w:val="Normlny"/>
    <w:semiHidden/>
    <w:qFormat/>
    <w:rsid w:val="001126A0"/>
    <w:pPr>
      <w:jc w:val="right"/>
    </w:pPr>
    <w:rPr>
      <w:rFonts w:cs="Arial"/>
      <w:b/>
      <w:i/>
      <w:color w:val="034EA2"/>
      <w:sz w:val="32"/>
      <w:szCs w:val="40"/>
    </w:rPr>
  </w:style>
  <w:style w:type="paragraph" w:customStyle="1" w:styleId="CEAFooterauthorinfo">
    <w:name w:val="CEA Footer (author info)"/>
    <w:basedOn w:val="Normlny"/>
    <w:semiHidden/>
    <w:qFormat/>
    <w:rsid w:val="001126A0"/>
    <w:pPr>
      <w:autoSpaceDE w:val="0"/>
      <w:autoSpaceDN w:val="0"/>
      <w:adjustRightInd w:val="0"/>
      <w:textAlignment w:val="center"/>
    </w:pPr>
    <w:rPr>
      <w:rFonts w:cs="Arial"/>
      <w:b/>
      <w:color w:val="034EA2"/>
      <w:sz w:val="16"/>
      <w:szCs w:val="16"/>
    </w:rPr>
  </w:style>
  <w:style w:type="paragraph" w:customStyle="1" w:styleId="CEAFootnote">
    <w:name w:val="CEA Footnote"/>
    <w:basedOn w:val="Normlny"/>
    <w:semiHidden/>
    <w:qFormat/>
    <w:rsid w:val="001126A0"/>
    <w:pPr>
      <w:spacing w:line="240" w:lineRule="auto"/>
    </w:pPr>
    <w:rPr>
      <w:sz w:val="16"/>
    </w:rPr>
  </w:style>
  <w:style w:type="character" w:customStyle="1" w:styleId="CEAGraphX">
    <w:name w:val="CEA Graph X"/>
    <w:uiPriority w:val="1"/>
    <w:qFormat/>
    <w:rsid w:val="001126A0"/>
    <w:rPr>
      <w:rFonts w:ascii="Verdana" w:hAnsi="Verdana"/>
      <w:smallCaps/>
      <w:sz w:val="19"/>
      <w:lang w:val="en-GB"/>
    </w:rPr>
  </w:style>
  <w:style w:type="paragraph" w:customStyle="1" w:styleId="CEALabel">
    <w:name w:val="CEA Label"/>
    <w:basedOn w:val="Normlny"/>
    <w:semiHidden/>
    <w:qFormat/>
    <w:rsid w:val="001126A0"/>
    <w:rPr>
      <w:rFonts w:cs="Arial"/>
      <w:b/>
      <w:color w:val="034EA2"/>
      <w:sz w:val="18"/>
      <w:szCs w:val="18"/>
    </w:rPr>
  </w:style>
  <w:style w:type="paragraph" w:customStyle="1" w:styleId="CEAPositionPaperTitle">
    <w:name w:val="CEA Position Paper Title"/>
    <w:basedOn w:val="Normlny"/>
    <w:semiHidden/>
    <w:qFormat/>
    <w:rsid w:val="001126A0"/>
    <w:pPr>
      <w:ind w:left="-27"/>
    </w:pPr>
    <w:rPr>
      <w:b/>
      <w:color w:val="034EA2"/>
      <w:sz w:val="32"/>
      <w:szCs w:val="32"/>
    </w:rPr>
  </w:style>
  <w:style w:type="paragraph" w:customStyle="1" w:styleId="CEAPressReleaseSubtitle">
    <w:name w:val="CEA Press Release Subtitle"/>
    <w:basedOn w:val="Normlny"/>
    <w:semiHidden/>
    <w:qFormat/>
    <w:rsid w:val="001126A0"/>
    <w:rPr>
      <w:sz w:val="22"/>
      <w:szCs w:val="22"/>
    </w:rPr>
  </w:style>
  <w:style w:type="paragraph" w:customStyle="1" w:styleId="CEAPressReleaseTitle">
    <w:name w:val="CEA Press Release Title"/>
    <w:basedOn w:val="Normlny"/>
    <w:semiHidden/>
    <w:qFormat/>
    <w:rsid w:val="001126A0"/>
    <w:pPr>
      <w:autoSpaceDE w:val="0"/>
      <w:autoSpaceDN w:val="0"/>
      <w:adjustRightInd w:val="0"/>
      <w:spacing w:line="240" w:lineRule="auto"/>
    </w:pPr>
    <w:rPr>
      <w:rFonts w:ascii="Frutiger LT Com 45 Light" w:hAnsi="Frutiger LT Com 45 Light"/>
      <w:b/>
      <w:color w:val="034EA2"/>
      <w:sz w:val="36"/>
      <w:szCs w:val="36"/>
    </w:rPr>
  </w:style>
  <w:style w:type="paragraph" w:customStyle="1" w:styleId="CEASubjectLine">
    <w:name w:val="CEA Subject Line"/>
    <w:basedOn w:val="Normlny"/>
    <w:semiHidden/>
    <w:qFormat/>
    <w:rsid w:val="001126A0"/>
    <w:rPr>
      <w:rFonts w:cs="Frutiger LT Std 55 Roman"/>
      <w:b/>
      <w:szCs w:val="20"/>
    </w:rPr>
  </w:style>
  <w:style w:type="table" w:styleId="Mriekatabuky">
    <w:name w:val="Table Grid"/>
    <w:basedOn w:val="Normlnatabuka"/>
    <w:uiPriority w:val="59"/>
    <w:rsid w:val="00C60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C606E5"/>
    <w:rPr>
      <w:sz w:val="16"/>
      <w:szCs w:val="16"/>
    </w:rPr>
  </w:style>
  <w:style w:type="paragraph" w:styleId="Textkomentra">
    <w:name w:val="annotation text"/>
    <w:basedOn w:val="Normlny"/>
    <w:link w:val="TextkomentraChar"/>
    <w:uiPriority w:val="99"/>
    <w:semiHidden/>
    <w:unhideWhenUsed/>
    <w:rsid w:val="00C606E5"/>
    <w:pPr>
      <w:spacing w:line="240" w:lineRule="auto"/>
    </w:pPr>
    <w:rPr>
      <w:rFonts w:ascii="Arial" w:eastAsia="Frutiger LT Com 45 Light" w:hAnsi="Arial" w:cs="Frutiger LT Com 45 Light"/>
      <w:sz w:val="20"/>
      <w:szCs w:val="20"/>
    </w:rPr>
  </w:style>
  <w:style w:type="character" w:customStyle="1" w:styleId="TextkomentraChar">
    <w:name w:val="Text komentára Char"/>
    <w:basedOn w:val="Predvolenpsmoodseku"/>
    <w:link w:val="Textkomentra"/>
    <w:uiPriority w:val="99"/>
    <w:semiHidden/>
    <w:rsid w:val="00C606E5"/>
    <w:rPr>
      <w:rFonts w:ascii="Arial" w:eastAsia="Frutiger LT Com 45 Light" w:hAnsi="Arial" w:cs="Frutiger LT Com 45 Light"/>
      <w:sz w:val="20"/>
      <w:szCs w:val="20"/>
      <w:lang w:val="en-GB"/>
    </w:rPr>
  </w:style>
  <w:style w:type="character" w:styleId="Hypertextovprepojenie">
    <w:name w:val="Hyperlink"/>
    <w:basedOn w:val="Predvolenpsmoodseku"/>
    <w:uiPriority w:val="99"/>
    <w:semiHidden/>
    <w:unhideWhenUsed/>
    <w:rsid w:val="00C606E5"/>
    <w:rPr>
      <w:color w:val="0000FF"/>
      <w:u w:val="single"/>
    </w:rPr>
  </w:style>
  <w:style w:type="paragraph" w:styleId="Predmetkomentra">
    <w:name w:val="annotation subject"/>
    <w:basedOn w:val="Textkomentra"/>
    <w:next w:val="Textkomentra"/>
    <w:link w:val="PredmetkomentraChar"/>
    <w:uiPriority w:val="99"/>
    <w:semiHidden/>
    <w:unhideWhenUsed/>
    <w:rsid w:val="00D35BF6"/>
    <w:rPr>
      <w:rFonts w:ascii="Verdana" w:eastAsia="Times New Roman" w:hAnsi="Verdana" w:cs="Times New Roman"/>
      <w:b/>
      <w:bCs/>
    </w:rPr>
  </w:style>
  <w:style w:type="character" w:customStyle="1" w:styleId="PredmetkomentraChar">
    <w:name w:val="Predmet komentára Char"/>
    <w:basedOn w:val="TextkomentraChar"/>
    <w:link w:val="Predmetkomentra"/>
    <w:uiPriority w:val="99"/>
    <w:semiHidden/>
    <w:rsid w:val="00D35BF6"/>
    <w:rPr>
      <w:rFonts w:ascii="Verdana" w:eastAsia="Times New Roman" w:hAnsi="Verdana" w:cs="Times New Roman"/>
      <w:b/>
      <w:bCs/>
      <w:sz w:val="20"/>
      <w:szCs w:val="20"/>
      <w:lang w:val="en-GB"/>
    </w:rPr>
  </w:style>
  <w:style w:type="character" w:customStyle="1" w:styleId="NormalBoldChar">
    <w:name w:val="NormalBold Char"/>
    <w:basedOn w:val="Predvolenpsmoodseku"/>
    <w:link w:val="NormalBold"/>
    <w:locked/>
    <w:rsid w:val="00120431"/>
    <w:rPr>
      <w:b/>
      <w:sz w:val="24"/>
    </w:rPr>
  </w:style>
  <w:style w:type="paragraph" w:customStyle="1" w:styleId="NormalBold">
    <w:name w:val="NormalBold"/>
    <w:basedOn w:val="Normlny"/>
    <w:link w:val="NormalBoldChar"/>
    <w:rsid w:val="00120431"/>
    <w:pPr>
      <w:widowControl w:val="0"/>
      <w:spacing w:line="240" w:lineRule="auto"/>
      <w:jc w:val="left"/>
    </w:pPr>
    <w:rPr>
      <w:rFonts w:asciiTheme="minorHAnsi" w:eastAsiaTheme="minorHAnsi" w:hAnsiTheme="minorHAnsi" w:cstheme="minorBidi"/>
      <w:b/>
      <w:sz w:val="24"/>
      <w:szCs w:val="22"/>
      <w:lang w:val="fr-BE"/>
    </w:rPr>
  </w:style>
  <w:style w:type="character" w:customStyle="1" w:styleId="HideTWBExt">
    <w:name w:val="HideTWBExt"/>
    <w:rsid w:val="00120431"/>
    <w:rPr>
      <w:rFonts w:ascii="Arial" w:hAnsi="Arial" w:cs="Arial" w:hint="default"/>
      <w:noProof/>
      <w:vanish/>
      <w:webHidden w:val="0"/>
      <w:color w:val="000080"/>
      <w:sz w:val="20"/>
      <w:specVanish w:val="0"/>
    </w:rPr>
  </w:style>
  <w:style w:type="paragraph" w:styleId="Odsekzoznamu">
    <w:name w:val="List Paragraph"/>
    <w:basedOn w:val="Normlny"/>
    <w:uiPriority w:val="34"/>
    <w:qFormat/>
    <w:rsid w:val="00120431"/>
    <w:pPr>
      <w:ind w:left="720"/>
      <w:contextualSpacing/>
    </w:pPr>
  </w:style>
  <w:style w:type="character" w:styleId="PouitHypertextovPrepojenie">
    <w:name w:val="FollowedHyperlink"/>
    <w:basedOn w:val="Predvolenpsmoodseku"/>
    <w:uiPriority w:val="99"/>
    <w:semiHidden/>
    <w:unhideWhenUsed/>
    <w:rsid w:val="00EF7BC7"/>
    <w:rPr>
      <w:color w:val="800080" w:themeColor="followedHyperlink"/>
      <w:u w:val="single"/>
    </w:rPr>
  </w:style>
  <w:style w:type="paragraph" w:styleId="Revzia">
    <w:name w:val="Revision"/>
    <w:hidden/>
    <w:uiPriority w:val="99"/>
    <w:semiHidden/>
    <w:rsid w:val="008A2F66"/>
    <w:pPr>
      <w:spacing w:after="0" w:line="240" w:lineRule="auto"/>
    </w:pPr>
    <w:rPr>
      <w:rFonts w:ascii="Verdana" w:eastAsia="Times New Roman" w:hAnsi="Verdana" w:cs="Times New Roman"/>
      <w:sz w:val="17"/>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834">
      <w:bodyDiv w:val="1"/>
      <w:marLeft w:val="0"/>
      <w:marRight w:val="0"/>
      <w:marTop w:val="0"/>
      <w:marBottom w:val="0"/>
      <w:divBdr>
        <w:top w:val="none" w:sz="0" w:space="0" w:color="auto"/>
        <w:left w:val="none" w:sz="0" w:space="0" w:color="auto"/>
        <w:bottom w:val="none" w:sz="0" w:space="0" w:color="auto"/>
        <w:right w:val="none" w:sz="0" w:space="0" w:color="auto"/>
      </w:divBdr>
    </w:div>
    <w:div w:id="19554588">
      <w:bodyDiv w:val="1"/>
      <w:marLeft w:val="0"/>
      <w:marRight w:val="0"/>
      <w:marTop w:val="0"/>
      <w:marBottom w:val="0"/>
      <w:divBdr>
        <w:top w:val="none" w:sz="0" w:space="0" w:color="auto"/>
        <w:left w:val="none" w:sz="0" w:space="0" w:color="auto"/>
        <w:bottom w:val="none" w:sz="0" w:space="0" w:color="auto"/>
        <w:right w:val="none" w:sz="0" w:space="0" w:color="auto"/>
      </w:divBdr>
    </w:div>
    <w:div w:id="21512949">
      <w:bodyDiv w:val="1"/>
      <w:marLeft w:val="0"/>
      <w:marRight w:val="0"/>
      <w:marTop w:val="0"/>
      <w:marBottom w:val="0"/>
      <w:divBdr>
        <w:top w:val="none" w:sz="0" w:space="0" w:color="auto"/>
        <w:left w:val="none" w:sz="0" w:space="0" w:color="auto"/>
        <w:bottom w:val="none" w:sz="0" w:space="0" w:color="auto"/>
        <w:right w:val="none" w:sz="0" w:space="0" w:color="auto"/>
      </w:divBdr>
    </w:div>
    <w:div w:id="47803259">
      <w:bodyDiv w:val="1"/>
      <w:marLeft w:val="0"/>
      <w:marRight w:val="0"/>
      <w:marTop w:val="0"/>
      <w:marBottom w:val="0"/>
      <w:divBdr>
        <w:top w:val="none" w:sz="0" w:space="0" w:color="auto"/>
        <w:left w:val="none" w:sz="0" w:space="0" w:color="auto"/>
        <w:bottom w:val="none" w:sz="0" w:space="0" w:color="auto"/>
        <w:right w:val="none" w:sz="0" w:space="0" w:color="auto"/>
      </w:divBdr>
    </w:div>
    <w:div w:id="70279565">
      <w:bodyDiv w:val="1"/>
      <w:marLeft w:val="0"/>
      <w:marRight w:val="0"/>
      <w:marTop w:val="0"/>
      <w:marBottom w:val="0"/>
      <w:divBdr>
        <w:top w:val="none" w:sz="0" w:space="0" w:color="auto"/>
        <w:left w:val="none" w:sz="0" w:space="0" w:color="auto"/>
        <w:bottom w:val="none" w:sz="0" w:space="0" w:color="auto"/>
        <w:right w:val="none" w:sz="0" w:space="0" w:color="auto"/>
      </w:divBdr>
    </w:div>
    <w:div w:id="92433014">
      <w:bodyDiv w:val="1"/>
      <w:marLeft w:val="0"/>
      <w:marRight w:val="0"/>
      <w:marTop w:val="0"/>
      <w:marBottom w:val="0"/>
      <w:divBdr>
        <w:top w:val="none" w:sz="0" w:space="0" w:color="auto"/>
        <w:left w:val="none" w:sz="0" w:space="0" w:color="auto"/>
        <w:bottom w:val="none" w:sz="0" w:space="0" w:color="auto"/>
        <w:right w:val="none" w:sz="0" w:space="0" w:color="auto"/>
      </w:divBdr>
    </w:div>
    <w:div w:id="119958195">
      <w:bodyDiv w:val="1"/>
      <w:marLeft w:val="0"/>
      <w:marRight w:val="0"/>
      <w:marTop w:val="0"/>
      <w:marBottom w:val="0"/>
      <w:divBdr>
        <w:top w:val="none" w:sz="0" w:space="0" w:color="auto"/>
        <w:left w:val="none" w:sz="0" w:space="0" w:color="auto"/>
        <w:bottom w:val="none" w:sz="0" w:space="0" w:color="auto"/>
        <w:right w:val="none" w:sz="0" w:space="0" w:color="auto"/>
      </w:divBdr>
    </w:div>
    <w:div w:id="181287206">
      <w:bodyDiv w:val="1"/>
      <w:marLeft w:val="0"/>
      <w:marRight w:val="0"/>
      <w:marTop w:val="0"/>
      <w:marBottom w:val="0"/>
      <w:divBdr>
        <w:top w:val="none" w:sz="0" w:space="0" w:color="auto"/>
        <w:left w:val="none" w:sz="0" w:space="0" w:color="auto"/>
        <w:bottom w:val="none" w:sz="0" w:space="0" w:color="auto"/>
        <w:right w:val="none" w:sz="0" w:space="0" w:color="auto"/>
      </w:divBdr>
    </w:div>
    <w:div w:id="202256221">
      <w:bodyDiv w:val="1"/>
      <w:marLeft w:val="0"/>
      <w:marRight w:val="0"/>
      <w:marTop w:val="0"/>
      <w:marBottom w:val="0"/>
      <w:divBdr>
        <w:top w:val="none" w:sz="0" w:space="0" w:color="auto"/>
        <w:left w:val="none" w:sz="0" w:space="0" w:color="auto"/>
        <w:bottom w:val="none" w:sz="0" w:space="0" w:color="auto"/>
        <w:right w:val="none" w:sz="0" w:space="0" w:color="auto"/>
      </w:divBdr>
    </w:div>
    <w:div w:id="238518138">
      <w:bodyDiv w:val="1"/>
      <w:marLeft w:val="0"/>
      <w:marRight w:val="0"/>
      <w:marTop w:val="0"/>
      <w:marBottom w:val="0"/>
      <w:divBdr>
        <w:top w:val="none" w:sz="0" w:space="0" w:color="auto"/>
        <w:left w:val="none" w:sz="0" w:space="0" w:color="auto"/>
        <w:bottom w:val="none" w:sz="0" w:space="0" w:color="auto"/>
        <w:right w:val="none" w:sz="0" w:space="0" w:color="auto"/>
      </w:divBdr>
    </w:div>
    <w:div w:id="266691833">
      <w:bodyDiv w:val="1"/>
      <w:marLeft w:val="0"/>
      <w:marRight w:val="0"/>
      <w:marTop w:val="0"/>
      <w:marBottom w:val="0"/>
      <w:divBdr>
        <w:top w:val="none" w:sz="0" w:space="0" w:color="auto"/>
        <w:left w:val="none" w:sz="0" w:space="0" w:color="auto"/>
        <w:bottom w:val="none" w:sz="0" w:space="0" w:color="auto"/>
        <w:right w:val="none" w:sz="0" w:space="0" w:color="auto"/>
      </w:divBdr>
    </w:div>
    <w:div w:id="301161175">
      <w:bodyDiv w:val="1"/>
      <w:marLeft w:val="0"/>
      <w:marRight w:val="0"/>
      <w:marTop w:val="0"/>
      <w:marBottom w:val="0"/>
      <w:divBdr>
        <w:top w:val="none" w:sz="0" w:space="0" w:color="auto"/>
        <w:left w:val="none" w:sz="0" w:space="0" w:color="auto"/>
        <w:bottom w:val="none" w:sz="0" w:space="0" w:color="auto"/>
        <w:right w:val="none" w:sz="0" w:space="0" w:color="auto"/>
      </w:divBdr>
    </w:div>
    <w:div w:id="302934451">
      <w:bodyDiv w:val="1"/>
      <w:marLeft w:val="0"/>
      <w:marRight w:val="0"/>
      <w:marTop w:val="0"/>
      <w:marBottom w:val="0"/>
      <w:divBdr>
        <w:top w:val="none" w:sz="0" w:space="0" w:color="auto"/>
        <w:left w:val="none" w:sz="0" w:space="0" w:color="auto"/>
        <w:bottom w:val="none" w:sz="0" w:space="0" w:color="auto"/>
        <w:right w:val="none" w:sz="0" w:space="0" w:color="auto"/>
      </w:divBdr>
    </w:div>
    <w:div w:id="309289076">
      <w:bodyDiv w:val="1"/>
      <w:marLeft w:val="0"/>
      <w:marRight w:val="0"/>
      <w:marTop w:val="0"/>
      <w:marBottom w:val="0"/>
      <w:divBdr>
        <w:top w:val="none" w:sz="0" w:space="0" w:color="auto"/>
        <w:left w:val="none" w:sz="0" w:space="0" w:color="auto"/>
        <w:bottom w:val="none" w:sz="0" w:space="0" w:color="auto"/>
        <w:right w:val="none" w:sz="0" w:space="0" w:color="auto"/>
      </w:divBdr>
    </w:div>
    <w:div w:id="328947768">
      <w:bodyDiv w:val="1"/>
      <w:marLeft w:val="0"/>
      <w:marRight w:val="0"/>
      <w:marTop w:val="0"/>
      <w:marBottom w:val="0"/>
      <w:divBdr>
        <w:top w:val="none" w:sz="0" w:space="0" w:color="auto"/>
        <w:left w:val="none" w:sz="0" w:space="0" w:color="auto"/>
        <w:bottom w:val="none" w:sz="0" w:space="0" w:color="auto"/>
        <w:right w:val="none" w:sz="0" w:space="0" w:color="auto"/>
      </w:divBdr>
    </w:div>
    <w:div w:id="403451721">
      <w:bodyDiv w:val="1"/>
      <w:marLeft w:val="0"/>
      <w:marRight w:val="0"/>
      <w:marTop w:val="0"/>
      <w:marBottom w:val="0"/>
      <w:divBdr>
        <w:top w:val="none" w:sz="0" w:space="0" w:color="auto"/>
        <w:left w:val="none" w:sz="0" w:space="0" w:color="auto"/>
        <w:bottom w:val="none" w:sz="0" w:space="0" w:color="auto"/>
        <w:right w:val="none" w:sz="0" w:space="0" w:color="auto"/>
      </w:divBdr>
    </w:div>
    <w:div w:id="421992842">
      <w:bodyDiv w:val="1"/>
      <w:marLeft w:val="0"/>
      <w:marRight w:val="0"/>
      <w:marTop w:val="0"/>
      <w:marBottom w:val="0"/>
      <w:divBdr>
        <w:top w:val="none" w:sz="0" w:space="0" w:color="auto"/>
        <w:left w:val="none" w:sz="0" w:space="0" w:color="auto"/>
        <w:bottom w:val="none" w:sz="0" w:space="0" w:color="auto"/>
        <w:right w:val="none" w:sz="0" w:space="0" w:color="auto"/>
      </w:divBdr>
    </w:div>
    <w:div w:id="441803652">
      <w:bodyDiv w:val="1"/>
      <w:marLeft w:val="0"/>
      <w:marRight w:val="0"/>
      <w:marTop w:val="0"/>
      <w:marBottom w:val="0"/>
      <w:divBdr>
        <w:top w:val="none" w:sz="0" w:space="0" w:color="auto"/>
        <w:left w:val="none" w:sz="0" w:space="0" w:color="auto"/>
        <w:bottom w:val="none" w:sz="0" w:space="0" w:color="auto"/>
        <w:right w:val="none" w:sz="0" w:space="0" w:color="auto"/>
      </w:divBdr>
    </w:div>
    <w:div w:id="554118990">
      <w:bodyDiv w:val="1"/>
      <w:marLeft w:val="0"/>
      <w:marRight w:val="0"/>
      <w:marTop w:val="0"/>
      <w:marBottom w:val="0"/>
      <w:divBdr>
        <w:top w:val="none" w:sz="0" w:space="0" w:color="auto"/>
        <w:left w:val="none" w:sz="0" w:space="0" w:color="auto"/>
        <w:bottom w:val="none" w:sz="0" w:space="0" w:color="auto"/>
        <w:right w:val="none" w:sz="0" w:space="0" w:color="auto"/>
      </w:divBdr>
    </w:div>
    <w:div w:id="595089573">
      <w:bodyDiv w:val="1"/>
      <w:marLeft w:val="0"/>
      <w:marRight w:val="0"/>
      <w:marTop w:val="0"/>
      <w:marBottom w:val="0"/>
      <w:divBdr>
        <w:top w:val="none" w:sz="0" w:space="0" w:color="auto"/>
        <w:left w:val="none" w:sz="0" w:space="0" w:color="auto"/>
        <w:bottom w:val="none" w:sz="0" w:space="0" w:color="auto"/>
        <w:right w:val="none" w:sz="0" w:space="0" w:color="auto"/>
      </w:divBdr>
    </w:div>
    <w:div w:id="606238833">
      <w:bodyDiv w:val="1"/>
      <w:marLeft w:val="0"/>
      <w:marRight w:val="0"/>
      <w:marTop w:val="0"/>
      <w:marBottom w:val="0"/>
      <w:divBdr>
        <w:top w:val="none" w:sz="0" w:space="0" w:color="auto"/>
        <w:left w:val="none" w:sz="0" w:space="0" w:color="auto"/>
        <w:bottom w:val="none" w:sz="0" w:space="0" w:color="auto"/>
        <w:right w:val="none" w:sz="0" w:space="0" w:color="auto"/>
      </w:divBdr>
    </w:div>
    <w:div w:id="730035259">
      <w:bodyDiv w:val="1"/>
      <w:marLeft w:val="0"/>
      <w:marRight w:val="0"/>
      <w:marTop w:val="0"/>
      <w:marBottom w:val="0"/>
      <w:divBdr>
        <w:top w:val="none" w:sz="0" w:space="0" w:color="auto"/>
        <w:left w:val="none" w:sz="0" w:space="0" w:color="auto"/>
        <w:bottom w:val="none" w:sz="0" w:space="0" w:color="auto"/>
        <w:right w:val="none" w:sz="0" w:space="0" w:color="auto"/>
      </w:divBdr>
    </w:div>
    <w:div w:id="741292998">
      <w:bodyDiv w:val="1"/>
      <w:marLeft w:val="0"/>
      <w:marRight w:val="0"/>
      <w:marTop w:val="0"/>
      <w:marBottom w:val="0"/>
      <w:divBdr>
        <w:top w:val="none" w:sz="0" w:space="0" w:color="auto"/>
        <w:left w:val="none" w:sz="0" w:space="0" w:color="auto"/>
        <w:bottom w:val="none" w:sz="0" w:space="0" w:color="auto"/>
        <w:right w:val="none" w:sz="0" w:space="0" w:color="auto"/>
      </w:divBdr>
    </w:div>
    <w:div w:id="785928217">
      <w:bodyDiv w:val="1"/>
      <w:marLeft w:val="0"/>
      <w:marRight w:val="0"/>
      <w:marTop w:val="0"/>
      <w:marBottom w:val="0"/>
      <w:divBdr>
        <w:top w:val="none" w:sz="0" w:space="0" w:color="auto"/>
        <w:left w:val="none" w:sz="0" w:space="0" w:color="auto"/>
        <w:bottom w:val="none" w:sz="0" w:space="0" w:color="auto"/>
        <w:right w:val="none" w:sz="0" w:space="0" w:color="auto"/>
      </w:divBdr>
    </w:div>
    <w:div w:id="843518714">
      <w:bodyDiv w:val="1"/>
      <w:marLeft w:val="0"/>
      <w:marRight w:val="0"/>
      <w:marTop w:val="0"/>
      <w:marBottom w:val="0"/>
      <w:divBdr>
        <w:top w:val="none" w:sz="0" w:space="0" w:color="auto"/>
        <w:left w:val="none" w:sz="0" w:space="0" w:color="auto"/>
        <w:bottom w:val="none" w:sz="0" w:space="0" w:color="auto"/>
        <w:right w:val="none" w:sz="0" w:space="0" w:color="auto"/>
      </w:divBdr>
    </w:div>
    <w:div w:id="852647776">
      <w:bodyDiv w:val="1"/>
      <w:marLeft w:val="0"/>
      <w:marRight w:val="0"/>
      <w:marTop w:val="0"/>
      <w:marBottom w:val="0"/>
      <w:divBdr>
        <w:top w:val="none" w:sz="0" w:space="0" w:color="auto"/>
        <w:left w:val="none" w:sz="0" w:space="0" w:color="auto"/>
        <w:bottom w:val="none" w:sz="0" w:space="0" w:color="auto"/>
        <w:right w:val="none" w:sz="0" w:space="0" w:color="auto"/>
      </w:divBdr>
    </w:div>
    <w:div w:id="857231658">
      <w:bodyDiv w:val="1"/>
      <w:marLeft w:val="0"/>
      <w:marRight w:val="0"/>
      <w:marTop w:val="0"/>
      <w:marBottom w:val="0"/>
      <w:divBdr>
        <w:top w:val="none" w:sz="0" w:space="0" w:color="auto"/>
        <w:left w:val="none" w:sz="0" w:space="0" w:color="auto"/>
        <w:bottom w:val="none" w:sz="0" w:space="0" w:color="auto"/>
        <w:right w:val="none" w:sz="0" w:space="0" w:color="auto"/>
      </w:divBdr>
    </w:div>
    <w:div w:id="877472823">
      <w:bodyDiv w:val="1"/>
      <w:marLeft w:val="0"/>
      <w:marRight w:val="0"/>
      <w:marTop w:val="0"/>
      <w:marBottom w:val="0"/>
      <w:divBdr>
        <w:top w:val="none" w:sz="0" w:space="0" w:color="auto"/>
        <w:left w:val="none" w:sz="0" w:space="0" w:color="auto"/>
        <w:bottom w:val="none" w:sz="0" w:space="0" w:color="auto"/>
        <w:right w:val="none" w:sz="0" w:space="0" w:color="auto"/>
      </w:divBdr>
    </w:div>
    <w:div w:id="882837318">
      <w:bodyDiv w:val="1"/>
      <w:marLeft w:val="0"/>
      <w:marRight w:val="0"/>
      <w:marTop w:val="0"/>
      <w:marBottom w:val="0"/>
      <w:divBdr>
        <w:top w:val="none" w:sz="0" w:space="0" w:color="auto"/>
        <w:left w:val="none" w:sz="0" w:space="0" w:color="auto"/>
        <w:bottom w:val="none" w:sz="0" w:space="0" w:color="auto"/>
        <w:right w:val="none" w:sz="0" w:space="0" w:color="auto"/>
      </w:divBdr>
    </w:div>
    <w:div w:id="900217998">
      <w:bodyDiv w:val="1"/>
      <w:marLeft w:val="0"/>
      <w:marRight w:val="0"/>
      <w:marTop w:val="0"/>
      <w:marBottom w:val="0"/>
      <w:divBdr>
        <w:top w:val="none" w:sz="0" w:space="0" w:color="auto"/>
        <w:left w:val="none" w:sz="0" w:space="0" w:color="auto"/>
        <w:bottom w:val="none" w:sz="0" w:space="0" w:color="auto"/>
        <w:right w:val="none" w:sz="0" w:space="0" w:color="auto"/>
      </w:divBdr>
    </w:div>
    <w:div w:id="919098670">
      <w:bodyDiv w:val="1"/>
      <w:marLeft w:val="0"/>
      <w:marRight w:val="0"/>
      <w:marTop w:val="0"/>
      <w:marBottom w:val="0"/>
      <w:divBdr>
        <w:top w:val="none" w:sz="0" w:space="0" w:color="auto"/>
        <w:left w:val="none" w:sz="0" w:space="0" w:color="auto"/>
        <w:bottom w:val="none" w:sz="0" w:space="0" w:color="auto"/>
        <w:right w:val="none" w:sz="0" w:space="0" w:color="auto"/>
      </w:divBdr>
    </w:div>
    <w:div w:id="954018024">
      <w:bodyDiv w:val="1"/>
      <w:marLeft w:val="0"/>
      <w:marRight w:val="0"/>
      <w:marTop w:val="0"/>
      <w:marBottom w:val="0"/>
      <w:divBdr>
        <w:top w:val="none" w:sz="0" w:space="0" w:color="auto"/>
        <w:left w:val="none" w:sz="0" w:space="0" w:color="auto"/>
        <w:bottom w:val="none" w:sz="0" w:space="0" w:color="auto"/>
        <w:right w:val="none" w:sz="0" w:space="0" w:color="auto"/>
      </w:divBdr>
    </w:div>
    <w:div w:id="957879512">
      <w:bodyDiv w:val="1"/>
      <w:marLeft w:val="0"/>
      <w:marRight w:val="0"/>
      <w:marTop w:val="0"/>
      <w:marBottom w:val="0"/>
      <w:divBdr>
        <w:top w:val="none" w:sz="0" w:space="0" w:color="auto"/>
        <w:left w:val="none" w:sz="0" w:space="0" w:color="auto"/>
        <w:bottom w:val="none" w:sz="0" w:space="0" w:color="auto"/>
        <w:right w:val="none" w:sz="0" w:space="0" w:color="auto"/>
      </w:divBdr>
    </w:div>
    <w:div w:id="978847753">
      <w:bodyDiv w:val="1"/>
      <w:marLeft w:val="0"/>
      <w:marRight w:val="0"/>
      <w:marTop w:val="0"/>
      <w:marBottom w:val="0"/>
      <w:divBdr>
        <w:top w:val="none" w:sz="0" w:space="0" w:color="auto"/>
        <w:left w:val="none" w:sz="0" w:space="0" w:color="auto"/>
        <w:bottom w:val="none" w:sz="0" w:space="0" w:color="auto"/>
        <w:right w:val="none" w:sz="0" w:space="0" w:color="auto"/>
      </w:divBdr>
    </w:div>
    <w:div w:id="1042286499">
      <w:bodyDiv w:val="1"/>
      <w:marLeft w:val="0"/>
      <w:marRight w:val="0"/>
      <w:marTop w:val="0"/>
      <w:marBottom w:val="0"/>
      <w:divBdr>
        <w:top w:val="none" w:sz="0" w:space="0" w:color="auto"/>
        <w:left w:val="none" w:sz="0" w:space="0" w:color="auto"/>
        <w:bottom w:val="none" w:sz="0" w:space="0" w:color="auto"/>
        <w:right w:val="none" w:sz="0" w:space="0" w:color="auto"/>
      </w:divBdr>
    </w:div>
    <w:div w:id="1080296600">
      <w:bodyDiv w:val="1"/>
      <w:marLeft w:val="0"/>
      <w:marRight w:val="0"/>
      <w:marTop w:val="0"/>
      <w:marBottom w:val="0"/>
      <w:divBdr>
        <w:top w:val="none" w:sz="0" w:space="0" w:color="auto"/>
        <w:left w:val="none" w:sz="0" w:space="0" w:color="auto"/>
        <w:bottom w:val="none" w:sz="0" w:space="0" w:color="auto"/>
        <w:right w:val="none" w:sz="0" w:space="0" w:color="auto"/>
      </w:divBdr>
    </w:div>
    <w:div w:id="1090001653">
      <w:bodyDiv w:val="1"/>
      <w:marLeft w:val="0"/>
      <w:marRight w:val="0"/>
      <w:marTop w:val="0"/>
      <w:marBottom w:val="0"/>
      <w:divBdr>
        <w:top w:val="none" w:sz="0" w:space="0" w:color="auto"/>
        <w:left w:val="none" w:sz="0" w:space="0" w:color="auto"/>
        <w:bottom w:val="none" w:sz="0" w:space="0" w:color="auto"/>
        <w:right w:val="none" w:sz="0" w:space="0" w:color="auto"/>
      </w:divBdr>
    </w:div>
    <w:div w:id="1096317995">
      <w:bodyDiv w:val="1"/>
      <w:marLeft w:val="0"/>
      <w:marRight w:val="0"/>
      <w:marTop w:val="0"/>
      <w:marBottom w:val="0"/>
      <w:divBdr>
        <w:top w:val="none" w:sz="0" w:space="0" w:color="auto"/>
        <w:left w:val="none" w:sz="0" w:space="0" w:color="auto"/>
        <w:bottom w:val="none" w:sz="0" w:space="0" w:color="auto"/>
        <w:right w:val="none" w:sz="0" w:space="0" w:color="auto"/>
      </w:divBdr>
    </w:div>
    <w:div w:id="1105730039">
      <w:bodyDiv w:val="1"/>
      <w:marLeft w:val="0"/>
      <w:marRight w:val="0"/>
      <w:marTop w:val="0"/>
      <w:marBottom w:val="0"/>
      <w:divBdr>
        <w:top w:val="none" w:sz="0" w:space="0" w:color="auto"/>
        <w:left w:val="none" w:sz="0" w:space="0" w:color="auto"/>
        <w:bottom w:val="none" w:sz="0" w:space="0" w:color="auto"/>
        <w:right w:val="none" w:sz="0" w:space="0" w:color="auto"/>
      </w:divBdr>
    </w:div>
    <w:div w:id="1114251565">
      <w:bodyDiv w:val="1"/>
      <w:marLeft w:val="0"/>
      <w:marRight w:val="0"/>
      <w:marTop w:val="0"/>
      <w:marBottom w:val="0"/>
      <w:divBdr>
        <w:top w:val="none" w:sz="0" w:space="0" w:color="auto"/>
        <w:left w:val="none" w:sz="0" w:space="0" w:color="auto"/>
        <w:bottom w:val="none" w:sz="0" w:space="0" w:color="auto"/>
        <w:right w:val="none" w:sz="0" w:space="0" w:color="auto"/>
      </w:divBdr>
    </w:div>
    <w:div w:id="1136023417">
      <w:bodyDiv w:val="1"/>
      <w:marLeft w:val="0"/>
      <w:marRight w:val="0"/>
      <w:marTop w:val="0"/>
      <w:marBottom w:val="0"/>
      <w:divBdr>
        <w:top w:val="none" w:sz="0" w:space="0" w:color="auto"/>
        <w:left w:val="none" w:sz="0" w:space="0" w:color="auto"/>
        <w:bottom w:val="none" w:sz="0" w:space="0" w:color="auto"/>
        <w:right w:val="none" w:sz="0" w:space="0" w:color="auto"/>
      </w:divBdr>
    </w:div>
    <w:div w:id="1148670015">
      <w:bodyDiv w:val="1"/>
      <w:marLeft w:val="0"/>
      <w:marRight w:val="0"/>
      <w:marTop w:val="0"/>
      <w:marBottom w:val="0"/>
      <w:divBdr>
        <w:top w:val="none" w:sz="0" w:space="0" w:color="auto"/>
        <w:left w:val="none" w:sz="0" w:space="0" w:color="auto"/>
        <w:bottom w:val="none" w:sz="0" w:space="0" w:color="auto"/>
        <w:right w:val="none" w:sz="0" w:space="0" w:color="auto"/>
      </w:divBdr>
    </w:div>
    <w:div w:id="1149394759">
      <w:bodyDiv w:val="1"/>
      <w:marLeft w:val="0"/>
      <w:marRight w:val="0"/>
      <w:marTop w:val="0"/>
      <w:marBottom w:val="0"/>
      <w:divBdr>
        <w:top w:val="none" w:sz="0" w:space="0" w:color="auto"/>
        <w:left w:val="none" w:sz="0" w:space="0" w:color="auto"/>
        <w:bottom w:val="none" w:sz="0" w:space="0" w:color="auto"/>
        <w:right w:val="none" w:sz="0" w:space="0" w:color="auto"/>
      </w:divBdr>
    </w:div>
    <w:div w:id="1205483190">
      <w:bodyDiv w:val="1"/>
      <w:marLeft w:val="0"/>
      <w:marRight w:val="0"/>
      <w:marTop w:val="0"/>
      <w:marBottom w:val="0"/>
      <w:divBdr>
        <w:top w:val="none" w:sz="0" w:space="0" w:color="auto"/>
        <w:left w:val="none" w:sz="0" w:space="0" w:color="auto"/>
        <w:bottom w:val="none" w:sz="0" w:space="0" w:color="auto"/>
        <w:right w:val="none" w:sz="0" w:space="0" w:color="auto"/>
      </w:divBdr>
    </w:div>
    <w:div w:id="1207446581">
      <w:bodyDiv w:val="1"/>
      <w:marLeft w:val="0"/>
      <w:marRight w:val="0"/>
      <w:marTop w:val="0"/>
      <w:marBottom w:val="0"/>
      <w:divBdr>
        <w:top w:val="none" w:sz="0" w:space="0" w:color="auto"/>
        <w:left w:val="none" w:sz="0" w:space="0" w:color="auto"/>
        <w:bottom w:val="none" w:sz="0" w:space="0" w:color="auto"/>
        <w:right w:val="none" w:sz="0" w:space="0" w:color="auto"/>
      </w:divBdr>
    </w:div>
    <w:div w:id="1210220152">
      <w:bodyDiv w:val="1"/>
      <w:marLeft w:val="0"/>
      <w:marRight w:val="0"/>
      <w:marTop w:val="0"/>
      <w:marBottom w:val="0"/>
      <w:divBdr>
        <w:top w:val="none" w:sz="0" w:space="0" w:color="auto"/>
        <w:left w:val="none" w:sz="0" w:space="0" w:color="auto"/>
        <w:bottom w:val="none" w:sz="0" w:space="0" w:color="auto"/>
        <w:right w:val="none" w:sz="0" w:space="0" w:color="auto"/>
      </w:divBdr>
    </w:div>
    <w:div w:id="1284387069">
      <w:bodyDiv w:val="1"/>
      <w:marLeft w:val="0"/>
      <w:marRight w:val="0"/>
      <w:marTop w:val="0"/>
      <w:marBottom w:val="0"/>
      <w:divBdr>
        <w:top w:val="none" w:sz="0" w:space="0" w:color="auto"/>
        <w:left w:val="none" w:sz="0" w:space="0" w:color="auto"/>
        <w:bottom w:val="none" w:sz="0" w:space="0" w:color="auto"/>
        <w:right w:val="none" w:sz="0" w:space="0" w:color="auto"/>
      </w:divBdr>
    </w:div>
    <w:div w:id="1292135031">
      <w:bodyDiv w:val="1"/>
      <w:marLeft w:val="0"/>
      <w:marRight w:val="0"/>
      <w:marTop w:val="0"/>
      <w:marBottom w:val="0"/>
      <w:divBdr>
        <w:top w:val="none" w:sz="0" w:space="0" w:color="auto"/>
        <w:left w:val="none" w:sz="0" w:space="0" w:color="auto"/>
        <w:bottom w:val="none" w:sz="0" w:space="0" w:color="auto"/>
        <w:right w:val="none" w:sz="0" w:space="0" w:color="auto"/>
      </w:divBdr>
    </w:div>
    <w:div w:id="1297955381">
      <w:bodyDiv w:val="1"/>
      <w:marLeft w:val="0"/>
      <w:marRight w:val="0"/>
      <w:marTop w:val="0"/>
      <w:marBottom w:val="0"/>
      <w:divBdr>
        <w:top w:val="none" w:sz="0" w:space="0" w:color="auto"/>
        <w:left w:val="none" w:sz="0" w:space="0" w:color="auto"/>
        <w:bottom w:val="none" w:sz="0" w:space="0" w:color="auto"/>
        <w:right w:val="none" w:sz="0" w:space="0" w:color="auto"/>
      </w:divBdr>
    </w:div>
    <w:div w:id="1314599229">
      <w:bodyDiv w:val="1"/>
      <w:marLeft w:val="0"/>
      <w:marRight w:val="0"/>
      <w:marTop w:val="0"/>
      <w:marBottom w:val="0"/>
      <w:divBdr>
        <w:top w:val="none" w:sz="0" w:space="0" w:color="auto"/>
        <w:left w:val="none" w:sz="0" w:space="0" w:color="auto"/>
        <w:bottom w:val="none" w:sz="0" w:space="0" w:color="auto"/>
        <w:right w:val="none" w:sz="0" w:space="0" w:color="auto"/>
      </w:divBdr>
    </w:div>
    <w:div w:id="1327439200">
      <w:bodyDiv w:val="1"/>
      <w:marLeft w:val="0"/>
      <w:marRight w:val="0"/>
      <w:marTop w:val="0"/>
      <w:marBottom w:val="0"/>
      <w:divBdr>
        <w:top w:val="none" w:sz="0" w:space="0" w:color="auto"/>
        <w:left w:val="none" w:sz="0" w:space="0" w:color="auto"/>
        <w:bottom w:val="none" w:sz="0" w:space="0" w:color="auto"/>
        <w:right w:val="none" w:sz="0" w:space="0" w:color="auto"/>
      </w:divBdr>
    </w:div>
    <w:div w:id="1327518126">
      <w:bodyDiv w:val="1"/>
      <w:marLeft w:val="0"/>
      <w:marRight w:val="0"/>
      <w:marTop w:val="0"/>
      <w:marBottom w:val="0"/>
      <w:divBdr>
        <w:top w:val="none" w:sz="0" w:space="0" w:color="auto"/>
        <w:left w:val="none" w:sz="0" w:space="0" w:color="auto"/>
        <w:bottom w:val="none" w:sz="0" w:space="0" w:color="auto"/>
        <w:right w:val="none" w:sz="0" w:space="0" w:color="auto"/>
      </w:divBdr>
    </w:div>
    <w:div w:id="1337462738">
      <w:bodyDiv w:val="1"/>
      <w:marLeft w:val="0"/>
      <w:marRight w:val="0"/>
      <w:marTop w:val="0"/>
      <w:marBottom w:val="0"/>
      <w:divBdr>
        <w:top w:val="none" w:sz="0" w:space="0" w:color="auto"/>
        <w:left w:val="none" w:sz="0" w:space="0" w:color="auto"/>
        <w:bottom w:val="none" w:sz="0" w:space="0" w:color="auto"/>
        <w:right w:val="none" w:sz="0" w:space="0" w:color="auto"/>
      </w:divBdr>
    </w:div>
    <w:div w:id="1341737005">
      <w:bodyDiv w:val="1"/>
      <w:marLeft w:val="0"/>
      <w:marRight w:val="0"/>
      <w:marTop w:val="0"/>
      <w:marBottom w:val="0"/>
      <w:divBdr>
        <w:top w:val="none" w:sz="0" w:space="0" w:color="auto"/>
        <w:left w:val="none" w:sz="0" w:space="0" w:color="auto"/>
        <w:bottom w:val="none" w:sz="0" w:space="0" w:color="auto"/>
        <w:right w:val="none" w:sz="0" w:space="0" w:color="auto"/>
      </w:divBdr>
    </w:div>
    <w:div w:id="1345011035">
      <w:bodyDiv w:val="1"/>
      <w:marLeft w:val="0"/>
      <w:marRight w:val="0"/>
      <w:marTop w:val="0"/>
      <w:marBottom w:val="0"/>
      <w:divBdr>
        <w:top w:val="none" w:sz="0" w:space="0" w:color="auto"/>
        <w:left w:val="none" w:sz="0" w:space="0" w:color="auto"/>
        <w:bottom w:val="none" w:sz="0" w:space="0" w:color="auto"/>
        <w:right w:val="none" w:sz="0" w:space="0" w:color="auto"/>
      </w:divBdr>
    </w:div>
    <w:div w:id="1365130431">
      <w:bodyDiv w:val="1"/>
      <w:marLeft w:val="0"/>
      <w:marRight w:val="0"/>
      <w:marTop w:val="0"/>
      <w:marBottom w:val="0"/>
      <w:divBdr>
        <w:top w:val="none" w:sz="0" w:space="0" w:color="auto"/>
        <w:left w:val="none" w:sz="0" w:space="0" w:color="auto"/>
        <w:bottom w:val="none" w:sz="0" w:space="0" w:color="auto"/>
        <w:right w:val="none" w:sz="0" w:space="0" w:color="auto"/>
      </w:divBdr>
    </w:div>
    <w:div w:id="1383402484">
      <w:bodyDiv w:val="1"/>
      <w:marLeft w:val="0"/>
      <w:marRight w:val="0"/>
      <w:marTop w:val="0"/>
      <w:marBottom w:val="0"/>
      <w:divBdr>
        <w:top w:val="none" w:sz="0" w:space="0" w:color="auto"/>
        <w:left w:val="none" w:sz="0" w:space="0" w:color="auto"/>
        <w:bottom w:val="none" w:sz="0" w:space="0" w:color="auto"/>
        <w:right w:val="none" w:sz="0" w:space="0" w:color="auto"/>
      </w:divBdr>
    </w:div>
    <w:div w:id="1385835900">
      <w:bodyDiv w:val="1"/>
      <w:marLeft w:val="0"/>
      <w:marRight w:val="0"/>
      <w:marTop w:val="0"/>
      <w:marBottom w:val="0"/>
      <w:divBdr>
        <w:top w:val="none" w:sz="0" w:space="0" w:color="auto"/>
        <w:left w:val="none" w:sz="0" w:space="0" w:color="auto"/>
        <w:bottom w:val="none" w:sz="0" w:space="0" w:color="auto"/>
        <w:right w:val="none" w:sz="0" w:space="0" w:color="auto"/>
      </w:divBdr>
    </w:div>
    <w:div w:id="1460952381">
      <w:bodyDiv w:val="1"/>
      <w:marLeft w:val="0"/>
      <w:marRight w:val="0"/>
      <w:marTop w:val="0"/>
      <w:marBottom w:val="0"/>
      <w:divBdr>
        <w:top w:val="none" w:sz="0" w:space="0" w:color="auto"/>
        <w:left w:val="none" w:sz="0" w:space="0" w:color="auto"/>
        <w:bottom w:val="none" w:sz="0" w:space="0" w:color="auto"/>
        <w:right w:val="none" w:sz="0" w:space="0" w:color="auto"/>
      </w:divBdr>
    </w:div>
    <w:div w:id="1481190814">
      <w:bodyDiv w:val="1"/>
      <w:marLeft w:val="0"/>
      <w:marRight w:val="0"/>
      <w:marTop w:val="0"/>
      <w:marBottom w:val="0"/>
      <w:divBdr>
        <w:top w:val="none" w:sz="0" w:space="0" w:color="auto"/>
        <w:left w:val="none" w:sz="0" w:space="0" w:color="auto"/>
        <w:bottom w:val="none" w:sz="0" w:space="0" w:color="auto"/>
        <w:right w:val="none" w:sz="0" w:space="0" w:color="auto"/>
      </w:divBdr>
    </w:div>
    <w:div w:id="1648898269">
      <w:bodyDiv w:val="1"/>
      <w:marLeft w:val="0"/>
      <w:marRight w:val="0"/>
      <w:marTop w:val="0"/>
      <w:marBottom w:val="0"/>
      <w:divBdr>
        <w:top w:val="none" w:sz="0" w:space="0" w:color="auto"/>
        <w:left w:val="none" w:sz="0" w:space="0" w:color="auto"/>
        <w:bottom w:val="none" w:sz="0" w:space="0" w:color="auto"/>
        <w:right w:val="none" w:sz="0" w:space="0" w:color="auto"/>
      </w:divBdr>
    </w:div>
    <w:div w:id="1665358097">
      <w:bodyDiv w:val="1"/>
      <w:marLeft w:val="0"/>
      <w:marRight w:val="0"/>
      <w:marTop w:val="0"/>
      <w:marBottom w:val="0"/>
      <w:divBdr>
        <w:top w:val="none" w:sz="0" w:space="0" w:color="auto"/>
        <w:left w:val="none" w:sz="0" w:space="0" w:color="auto"/>
        <w:bottom w:val="none" w:sz="0" w:space="0" w:color="auto"/>
        <w:right w:val="none" w:sz="0" w:space="0" w:color="auto"/>
      </w:divBdr>
    </w:div>
    <w:div w:id="1703675267">
      <w:bodyDiv w:val="1"/>
      <w:marLeft w:val="0"/>
      <w:marRight w:val="0"/>
      <w:marTop w:val="0"/>
      <w:marBottom w:val="0"/>
      <w:divBdr>
        <w:top w:val="none" w:sz="0" w:space="0" w:color="auto"/>
        <w:left w:val="none" w:sz="0" w:space="0" w:color="auto"/>
        <w:bottom w:val="none" w:sz="0" w:space="0" w:color="auto"/>
        <w:right w:val="none" w:sz="0" w:space="0" w:color="auto"/>
      </w:divBdr>
    </w:div>
    <w:div w:id="1779517873">
      <w:bodyDiv w:val="1"/>
      <w:marLeft w:val="0"/>
      <w:marRight w:val="0"/>
      <w:marTop w:val="0"/>
      <w:marBottom w:val="0"/>
      <w:divBdr>
        <w:top w:val="none" w:sz="0" w:space="0" w:color="auto"/>
        <w:left w:val="none" w:sz="0" w:space="0" w:color="auto"/>
        <w:bottom w:val="none" w:sz="0" w:space="0" w:color="auto"/>
        <w:right w:val="none" w:sz="0" w:space="0" w:color="auto"/>
      </w:divBdr>
    </w:div>
    <w:div w:id="1788162977">
      <w:bodyDiv w:val="1"/>
      <w:marLeft w:val="0"/>
      <w:marRight w:val="0"/>
      <w:marTop w:val="0"/>
      <w:marBottom w:val="0"/>
      <w:divBdr>
        <w:top w:val="none" w:sz="0" w:space="0" w:color="auto"/>
        <w:left w:val="none" w:sz="0" w:space="0" w:color="auto"/>
        <w:bottom w:val="none" w:sz="0" w:space="0" w:color="auto"/>
        <w:right w:val="none" w:sz="0" w:space="0" w:color="auto"/>
      </w:divBdr>
    </w:div>
    <w:div w:id="1797793291">
      <w:bodyDiv w:val="1"/>
      <w:marLeft w:val="0"/>
      <w:marRight w:val="0"/>
      <w:marTop w:val="0"/>
      <w:marBottom w:val="0"/>
      <w:divBdr>
        <w:top w:val="none" w:sz="0" w:space="0" w:color="auto"/>
        <w:left w:val="none" w:sz="0" w:space="0" w:color="auto"/>
        <w:bottom w:val="none" w:sz="0" w:space="0" w:color="auto"/>
        <w:right w:val="none" w:sz="0" w:space="0" w:color="auto"/>
      </w:divBdr>
    </w:div>
    <w:div w:id="1874801922">
      <w:bodyDiv w:val="1"/>
      <w:marLeft w:val="0"/>
      <w:marRight w:val="0"/>
      <w:marTop w:val="0"/>
      <w:marBottom w:val="0"/>
      <w:divBdr>
        <w:top w:val="none" w:sz="0" w:space="0" w:color="auto"/>
        <w:left w:val="none" w:sz="0" w:space="0" w:color="auto"/>
        <w:bottom w:val="none" w:sz="0" w:space="0" w:color="auto"/>
        <w:right w:val="none" w:sz="0" w:space="0" w:color="auto"/>
      </w:divBdr>
    </w:div>
    <w:div w:id="1884442581">
      <w:bodyDiv w:val="1"/>
      <w:marLeft w:val="0"/>
      <w:marRight w:val="0"/>
      <w:marTop w:val="0"/>
      <w:marBottom w:val="0"/>
      <w:divBdr>
        <w:top w:val="none" w:sz="0" w:space="0" w:color="auto"/>
        <w:left w:val="none" w:sz="0" w:space="0" w:color="auto"/>
        <w:bottom w:val="none" w:sz="0" w:space="0" w:color="auto"/>
        <w:right w:val="none" w:sz="0" w:space="0" w:color="auto"/>
      </w:divBdr>
    </w:div>
    <w:div w:id="1885478576">
      <w:bodyDiv w:val="1"/>
      <w:marLeft w:val="0"/>
      <w:marRight w:val="0"/>
      <w:marTop w:val="0"/>
      <w:marBottom w:val="0"/>
      <w:divBdr>
        <w:top w:val="none" w:sz="0" w:space="0" w:color="auto"/>
        <w:left w:val="none" w:sz="0" w:space="0" w:color="auto"/>
        <w:bottom w:val="none" w:sz="0" w:space="0" w:color="auto"/>
        <w:right w:val="none" w:sz="0" w:space="0" w:color="auto"/>
      </w:divBdr>
    </w:div>
    <w:div w:id="1956205213">
      <w:bodyDiv w:val="1"/>
      <w:marLeft w:val="0"/>
      <w:marRight w:val="0"/>
      <w:marTop w:val="0"/>
      <w:marBottom w:val="0"/>
      <w:divBdr>
        <w:top w:val="none" w:sz="0" w:space="0" w:color="auto"/>
        <w:left w:val="none" w:sz="0" w:space="0" w:color="auto"/>
        <w:bottom w:val="none" w:sz="0" w:space="0" w:color="auto"/>
        <w:right w:val="none" w:sz="0" w:space="0" w:color="auto"/>
      </w:divBdr>
    </w:div>
    <w:div w:id="1986667470">
      <w:bodyDiv w:val="1"/>
      <w:marLeft w:val="0"/>
      <w:marRight w:val="0"/>
      <w:marTop w:val="0"/>
      <w:marBottom w:val="0"/>
      <w:divBdr>
        <w:top w:val="none" w:sz="0" w:space="0" w:color="auto"/>
        <w:left w:val="none" w:sz="0" w:space="0" w:color="auto"/>
        <w:bottom w:val="none" w:sz="0" w:space="0" w:color="auto"/>
        <w:right w:val="none" w:sz="0" w:space="0" w:color="auto"/>
      </w:divBdr>
    </w:div>
    <w:div w:id="2022781974">
      <w:bodyDiv w:val="1"/>
      <w:marLeft w:val="0"/>
      <w:marRight w:val="0"/>
      <w:marTop w:val="0"/>
      <w:marBottom w:val="0"/>
      <w:divBdr>
        <w:top w:val="none" w:sz="0" w:space="0" w:color="auto"/>
        <w:left w:val="none" w:sz="0" w:space="0" w:color="auto"/>
        <w:bottom w:val="none" w:sz="0" w:space="0" w:color="auto"/>
        <w:right w:val="none" w:sz="0" w:space="0" w:color="auto"/>
      </w:divBdr>
    </w:div>
    <w:div w:id="2075812547">
      <w:bodyDiv w:val="1"/>
      <w:marLeft w:val="0"/>
      <w:marRight w:val="0"/>
      <w:marTop w:val="0"/>
      <w:marBottom w:val="0"/>
      <w:divBdr>
        <w:top w:val="none" w:sz="0" w:space="0" w:color="auto"/>
        <w:left w:val="none" w:sz="0" w:space="0" w:color="auto"/>
        <w:bottom w:val="none" w:sz="0" w:space="0" w:color="auto"/>
        <w:right w:val="none" w:sz="0" w:space="0" w:color="auto"/>
      </w:divBdr>
    </w:div>
    <w:div w:id="2109618934">
      <w:bodyDiv w:val="1"/>
      <w:marLeft w:val="0"/>
      <w:marRight w:val="0"/>
      <w:marTop w:val="0"/>
      <w:marBottom w:val="0"/>
      <w:divBdr>
        <w:top w:val="none" w:sz="0" w:space="0" w:color="auto"/>
        <w:left w:val="none" w:sz="0" w:space="0" w:color="auto"/>
        <w:bottom w:val="none" w:sz="0" w:space="0" w:color="auto"/>
        <w:right w:val="none" w:sz="0" w:space="0" w:color="auto"/>
      </w:divBdr>
    </w:div>
    <w:div w:id="213254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ublished Documents" ma:contentTypeID="0x0101007A2A1B97D27D6A4C90B6022E1624614C" ma:contentTypeVersion="23" ma:contentTypeDescription="Published Documents Content types for Insurance Europe" ma:contentTypeScope="" ma:versionID="4a4162a0ba2cac1c20994b0a19fbf2fb">
  <xsd:schema xmlns:xsd="http://www.w3.org/2001/XMLSchema" xmlns:xs="http://www.w3.org/2001/XMLSchema" xmlns:p="http://schemas.microsoft.com/office/2006/metadata/properties" xmlns:ns2="d352728d-c7aa-455d-bd83-40fe44122be8" targetNamespace="http://schemas.microsoft.com/office/2006/metadata/properties" ma:root="true" ma:fieldsID="a27679d9f9c8b495199064f15733cb20" ns2:_="">
    <xsd:import namespace="d352728d-c7aa-455d-bd83-40fe44122be8"/>
    <xsd:element name="properties">
      <xsd:complexType>
        <xsd:sequence>
          <xsd:element name="documentManagement">
            <xsd:complexType>
              <xsd:all>
                <xsd:element ref="ns2:AllowComments" minOccurs="0"/>
                <xsd:element ref="ns2:Validated" minOccurs="0"/>
                <xsd:element ref="ns2:ValidationComment" minOccurs="0"/>
                <xsd:element ref="ns2:Can_x0020_be_x0020_edited" minOccurs="0"/>
                <xsd:element ref="ns2:Type_x0020_of_x0020_document" minOccurs="0"/>
                <xsd:element ref="ns2:Deadline" minOccurs="0"/>
                <xsd:element ref="ns2:Type_x0020_of_x0020_memo" minOccurs="0"/>
                <xsd:element ref="ns2:Display_x0020_validated_x0020_documents_x0020_library_x0020_button" minOccurs="0"/>
                <xsd:element ref="ns2:isAnnex" minOccurs="0"/>
                <xsd:element ref="ns2:Uploads" minOccurs="0"/>
                <xsd:element ref="ns2:Allow_x0020_uploads" minOccurs="0"/>
                <xsd:element ref="ns2:Allow_x0020_comments" minOccurs="0"/>
                <xsd:element ref="ns2:Feedback_x0020_type" minOccurs="0"/>
                <xsd:element ref="ns2:Leading_x0020_document"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2728d-c7aa-455d-bd83-40fe44122be8"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ma:readOnly="false">
      <xsd:simpleType>
        <xsd:restriction base="dms:Boolean"/>
      </xsd:simpleType>
    </xsd:element>
    <xsd:element name="Validated" ma:index="9" nillable="true" ma:displayName="Validated" ma:default="0" ma:internalName="Validated" ma:readOnly="false">
      <xsd:simpleType>
        <xsd:restriction base="dms:Boolean"/>
      </xsd:simpleType>
    </xsd:element>
    <xsd:element name="ValidationComment" ma:index="10" nillable="true" ma:displayName="ValidationComment" ma:internalName="ValidationComment" ma:readOnly="false">
      <xsd:simpleType>
        <xsd:restriction base="dms:Note">
          <xsd:maxLength value="255"/>
        </xsd:restriction>
      </xsd:simpleType>
    </xsd:element>
    <xsd:element name="Can_x0020_be_x0020_edited" ma:index="11" nillable="true" ma:displayName="Can be edited" ma:default="0" ma:internalName="Can_x0020_be_x0020_edited" ma:readOnly="false">
      <xsd:simpleType>
        <xsd:restriction base="dms:Boolean"/>
      </xsd:simpleType>
    </xsd:element>
    <xsd:element name="Type_x0020_of_x0020_document" ma:index="12" nillable="true" ma:displayName="Type of document" ma:format="Dropdown" ma:internalName="Type_x0020_of_x0020_document" ma:readOnly="false">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element name="Deadline" ma:index="13" nillable="true" ma:displayName="Deadline" ma:format="DateTime" ma:internalName="Deadline" ma:readOnly="false">
      <xsd:simpleType>
        <xsd:restriction base="dms:DateTime"/>
      </xsd:simpleType>
    </xsd:element>
    <xsd:element name="Type_x0020_of_x0020_memo" ma:index="14" nillable="true" ma:displayName="Type of memo" ma:format="Dropdown" ma:internalName="Type_x0020_of_x0020_memo" ma:readOnly="false">
      <xsd:simpleType>
        <xsd:restriction base="dms:Choice">
          <xsd:enumeration value="information"/>
          <xsd:enumeration value="action"/>
        </xsd:restriction>
      </xsd:simpleType>
    </xsd:element>
    <xsd:element name="Display_x0020_validated_x0020_documents_x0020_library_x0020_button" ma:index="15" nillable="true" ma:displayName="Display validated documents library button" ma:default="0" ma:internalName="Display_x0020_validated_x0020_documents_x0020_library_x0020_button" ma:readOnly="false">
      <xsd:simpleType>
        <xsd:restriction base="dms:Boolean"/>
      </xsd:simpleType>
    </xsd:element>
    <xsd:element name="isAnnex" ma:index="16" nillable="true" ma:displayName="isAnnex" ma:internalName="isAnnex" ma:readOnly="false">
      <xsd:simpleType>
        <xsd:restriction base="dms:Text"/>
      </xsd:simpleType>
    </xsd:element>
    <xsd:element name="Uploads" ma:index="17" nillable="true" ma:displayName="Uploads" ma:internalName="Uploads" ma:readOnly="false">
      <xsd:simpleType>
        <xsd:restriction base="dms:Boolean"/>
      </xsd:simpleType>
    </xsd:element>
    <xsd:element name="Allow_x0020_uploads" ma:index="18" nillable="true" ma:displayName="Allow uploads" ma:internalName="Allow_x0020_uploads">
      <xsd:simpleType>
        <xsd:restriction base="dms:Boolean"/>
      </xsd:simpleType>
    </xsd:element>
    <xsd:element name="Allow_x0020_comments" ma:index="19" nillable="true" ma:displayName="Allow comments" ma:internalName="Allow_x0020_comments">
      <xsd:simpleType>
        <xsd:restriction base="dms:Boolean"/>
      </xsd:simpleType>
    </xsd:element>
    <xsd:element name="Feedback_x0020_type" ma:index="20" nillable="true" ma:displayName="Feedback type" ma:internalName="Feedback_x0020_type">
      <xsd:simpleType>
        <xsd:restriction base="dms:Text"/>
      </xsd:simpleType>
    </xsd:element>
    <xsd:element name="Leading_x0020_document" ma:index="21" nillable="true" ma:displayName="Leading document" ma:internalName="Leading_x0020_document">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_x0020_of_x0020_memo xmlns="d352728d-c7aa-455d-bd83-40fe44122be8" xsi:nil="true"/>
    <Deadline xmlns="d352728d-c7aa-455d-bd83-40fe44122be8" xsi:nil="true"/>
    <Type_x0020_of_x0020_document xmlns="d352728d-c7aa-455d-bd83-40fe44122be8" xsi:nil="true"/>
    <Uploads xmlns="d352728d-c7aa-455d-bd83-40fe44122be8" xsi:nil="true"/>
    <Leading_x0020_document xmlns="d352728d-c7aa-455d-bd83-40fe44122be8" xsi:nil="true"/>
    <Can_x0020_be_x0020_edited xmlns="d352728d-c7aa-455d-bd83-40fe44122be8">false</Can_x0020_be_x0020_edited>
    <AllowComments xmlns="d352728d-c7aa-455d-bd83-40fe44122be8">true</AllowComments>
    <Allow_x0020_uploads xmlns="d352728d-c7aa-455d-bd83-40fe44122be8" xsi:nil="true"/>
    <Display_x0020_validated_x0020_documents_x0020_library_x0020_button xmlns="d352728d-c7aa-455d-bd83-40fe44122be8">false</Display_x0020_validated_x0020_documents_x0020_library_x0020_button>
    <Validated xmlns="d352728d-c7aa-455d-bd83-40fe44122be8">false</Validated>
    <Feedback_x0020_type xmlns="d352728d-c7aa-455d-bd83-40fe44122be8" xsi:nil="true"/>
    <isAnnex xmlns="d352728d-c7aa-455d-bd83-40fe44122be8" xsi:nil="true"/>
    <ValidationComment xmlns="d352728d-c7aa-455d-bd83-40fe44122be8" xsi:nil="true"/>
    <Allow_x0020_comments xmlns="d352728d-c7aa-455d-bd83-40fe44122be8" xsi:nil="true"/>
  </documentManagement>
</p:properties>
</file>

<file path=customXml/itemProps1.xml><?xml version="1.0" encoding="utf-8"?>
<ds:datastoreItem xmlns:ds="http://schemas.openxmlformats.org/officeDocument/2006/customXml" ds:itemID="{BD07AD3C-EB43-4365-8AB1-1595E3EB6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2728d-c7aa-455d-bd83-40fe44122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FE8496-0FDC-4718-A413-EA00469A52C6}">
  <ds:schemaRefs>
    <ds:schemaRef ds:uri="http://schemas.microsoft.com/sharepoint/v3/contenttype/forms"/>
  </ds:schemaRefs>
</ds:datastoreItem>
</file>

<file path=customXml/itemProps3.xml><?xml version="1.0" encoding="utf-8"?>
<ds:datastoreItem xmlns:ds="http://schemas.openxmlformats.org/officeDocument/2006/customXml" ds:itemID="{71D7A0EA-14CF-4487-AFCD-561CDD8E319F}">
  <ds:schemaRefs>
    <ds:schemaRef ds:uri="http://purl.org/dc/dcmitype/"/>
    <ds:schemaRef ds:uri="http://www.w3.org/XML/1998/namespace"/>
    <ds:schemaRef ds:uri="d352728d-c7aa-455d-bd83-40fe44122be8"/>
    <ds:schemaRef ds:uri="http://schemas.microsoft.com/office/2006/metadata/properties"/>
    <ds:schemaRef ds:uri="http://purl.org/dc/elements/1.1/"/>
    <ds:schemaRef ds:uri="http://purl.org/dc/terms/"/>
    <ds:schemaRef ds:uri="http://schemas.microsoft.com/office/2006/documentManagement/type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6431</Words>
  <Characters>36659</Characters>
  <Application>Microsoft Office Word</Application>
  <DocSecurity>4</DocSecurity>
  <Lines>305</Lines>
  <Paragraphs>86</Paragraphs>
  <ScaleCrop>false</ScaleCrop>
  <HeadingPairs>
    <vt:vector size="2" baseType="variant">
      <vt:variant>
        <vt:lpstr>Title</vt:lpstr>
      </vt:variant>
      <vt:variant>
        <vt:i4>1</vt:i4>
      </vt:variant>
    </vt:vector>
  </HeadingPairs>
  <TitlesOfParts>
    <vt:vector size="1" baseType="lpstr">
      <vt:lpstr>1.2 Detailed assessment of ECON-AM-732669_EN</vt:lpstr>
    </vt:vector>
  </TitlesOfParts>
  <Company>Insurance Europe</Company>
  <LinksUpToDate>false</LinksUpToDate>
  <CharactersWithSpaces>43004</CharactersWithSpaces>
  <SharedDoc>false</SharedDoc>
  <HLinks>
    <vt:vector size="6" baseType="variant">
      <vt:variant>
        <vt:i4>7471196</vt:i4>
      </vt:variant>
      <vt:variant>
        <vt:i4>0</vt:i4>
      </vt:variant>
      <vt:variant>
        <vt:i4>0</vt:i4>
      </vt:variant>
      <vt:variant>
        <vt:i4>5</vt:i4>
      </vt:variant>
      <vt:variant>
        <vt:lpwstr>https://www.europarl.europa.eu/doceo/document/ECON-AM-732669_EN.pdf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Detailed assessment of SII EP amendments 206-412</dc:title>
  <dc:subject/>
  <dc:creator>Insurance Europe</dc:creator>
  <cp:keywords/>
  <cp:lastModifiedBy>jozef.bachnicek</cp:lastModifiedBy>
  <cp:revision>2</cp:revision>
  <dcterms:created xsi:type="dcterms:W3CDTF">2022-08-12T07:21:00Z</dcterms:created>
  <dcterms:modified xsi:type="dcterms:W3CDTF">2022-08-12T07:21:00Z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0x0101007A2A1B97D27D6A4C90B6022E1624614C</vt:lpwstr>
  </property>
</Properties>
</file>