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5E2912" w14:textId="7A6B8E0B" w:rsidR="00013728" w:rsidRPr="00143A2E" w:rsidRDefault="00452774" w:rsidP="00013728">
      <w:pPr>
        <w:pStyle w:val="Default"/>
        <w:rPr>
          <w:rFonts w:ascii="Verdana" w:hAnsi="Verdana"/>
          <w:b/>
          <w:sz w:val="28"/>
          <w:szCs w:val="32"/>
          <w:lang w:val="en-GB"/>
        </w:rPr>
      </w:pPr>
      <w:proofErr w:type="spellStart"/>
      <w:proofErr w:type="gramStart"/>
      <w:r>
        <w:rPr>
          <w:rFonts w:ascii="Verdana" w:hAnsi="Verdana"/>
          <w:b/>
          <w:sz w:val="28"/>
          <w:szCs w:val="32"/>
          <w:lang w:val="en-GB"/>
        </w:rPr>
        <w:t>x</w:t>
      </w:r>
      <w:r w:rsidR="00631472" w:rsidRPr="00143A2E">
        <w:rPr>
          <w:rFonts w:ascii="Verdana" w:hAnsi="Verdana"/>
          <w:b/>
          <w:sz w:val="28"/>
          <w:szCs w:val="32"/>
          <w:lang w:val="en-GB"/>
        </w:rPr>
        <w:t>ECOFIN</w:t>
      </w:r>
      <w:proofErr w:type="spellEnd"/>
      <w:proofErr w:type="gramEnd"/>
      <w:r w:rsidR="00631472" w:rsidRPr="00143A2E">
        <w:rPr>
          <w:rFonts w:ascii="Verdana" w:hAnsi="Verdana"/>
          <w:b/>
          <w:sz w:val="28"/>
          <w:szCs w:val="32"/>
          <w:lang w:val="en-GB"/>
        </w:rPr>
        <w:t xml:space="preserve"> Survey on 2020 review</w:t>
      </w:r>
    </w:p>
    <w:p w14:paraId="255A8443" w14:textId="77777777" w:rsidR="005E75D7" w:rsidRPr="009D4605" w:rsidRDefault="005E75D7" w:rsidP="00013728">
      <w:pPr>
        <w:pStyle w:val="Default"/>
        <w:rPr>
          <w:rFonts w:ascii="Verdana" w:hAnsi="Verdana"/>
          <w:b/>
          <w:sz w:val="32"/>
          <w:szCs w:val="32"/>
          <w:lang w:val="en-GB"/>
        </w:rPr>
      </w:pPr>
    </w:p>
    <w:p w14:paraId="1C90D5B5" w14:textId="58BEEEF1" w:rsidR="005E75D7" w:rsidRDefault="005E75D7" w:rsidP="00013728">
      <w:pPr>
        <w:pStyle w:val="Default"/>
        <w:rPr>
          <w:rFonts w:ascii="Verdana" w:hAnsi="Verdana"/>
          <w:sz w:val="20"/>
          <w:szCs w:val="20"/>
          <w:lang w:val="en-GB"/>
        </w:rPr>
      </w:pPr>
      <w:r w:rsidRPr="009D4605">
        <w:rPr>
          <w:rFonts w:ascii="Verdana" w:hAnsi="Verdana"/>
          <w:sz w:val="20"/>
          <w:szCs w:val="20"/>
          <w:lang w:val="en-GB"/>
        </w:rPr>
        <w:t>The purpose of this survey is not to prioriti</w:t>
      </w:r>
      <w:r w:rsidR="00C2134B">
        <w:rPr>
          <w:rFonts w:ascii="Verdana" w:hAnsi="Verdana"/>
          <w:sz w:val="20"/>
          <w:szCs w:val="20"/>
          <w:lang w:val="en-GB"/>
        </w:rPr>
        <w:t>s</w:t>
      </w:r>
      <w:r w:rsidRPr="009D4605">
        <w:rPr>
          <w:rFonts w:ascii="Verdana" w:hAnsi="Verdana"/>
          <w:sz w:val="20"/>
          <w:szCs w:val="20"/>
          <w:lang w:val="en-GB"/>
        </w:rPr>
        <w:t xml:space="preserve">e solutions but </w:t>
      </w:r>
      <w:r w:rsidR="00581B29">
        <w:rPr>
          <w:rFonts w:ascii="Verdana" w:hAnsi="Verdana"/>
          <w:sz w:val="20"/>
          <w:szCs w:val="20"/>
          <w:lang w:val="en-GB"/>
        </w:rPr>
        <w:t xml:space="preserve">to </w:t>
      </w:r>
      <w:r w:rsidR="0018177C">
        <w:rPr>
          <w:rFonts w:ascii="Verdana" w:hAnsi="Verdana"/>
          <w:sz w:val="20"/>
          <w:szCs w:val="20"/>
          <w:lang w:val="en-GB"/>
        </w:rPr>
        <w:t xml:space="preserve">better understand the range </w:t>
      </w:r>
      <w:r w:rsidR="00EB089B">
        <w:rPr>
          <w:rFonts w:ascii="Verdana" w:hAnsi="Verdana"/>
          <w:sz w:val="20"/>
          <w:szCs w:val="20"/>
          <w:lang w:val="en-GB"/>
        </w:rPr>
        <w:t>of</w:t>
      </w:r>
      <w:r w:rsidR="0018177C">
        <w:rPr>
          <w:rFonts w:ascii="Verdana" w:hAnsi="Verdana"/>
          <w:sz w:val="20"/>
          <w:szCs w:val="20"/>
          <w:lang w:val="en-GB"/>
        </w:rPr>
        <w:t xml:space="preserve"> views and</w:t>
      </w:r>
      <w:r w:rsidR="00EB089B">
        <w:rPr>
          <w:rFonts w:ascii="Verdana" w:hAnsi="Verdana"/>
          <w:sz w:val="20"/>
          <w:szCs w:val="20"/>
          <w:lang w:val="en-GB"/>
        </w:rPr>
        <w:t xml:space="preserve"> the </w:t>
      </w:r>
      <w:r w:rsidR="0018177C">
        <w:rPr>
          <w:rFonts w:ascii="Verdana" w:hAnsi="Verdana"/>
          <w:sz w:val="20"/>
          <w:szCs w:val="20"/>
          <w:lang w:val="en-GB"/>
        </w:rPr>
        <w:t>degree to which there are already</w:t>
      </w:r>
      <w:r w:rsidRPr="009D4605">
        <w:rPr>
          <w:rFonts w:ascii="Verdana" w:hAnsi="Verdana"/>
          <w:sz w:val="20"/>
          <w:szCs w:val="20"/>
          <w:lang w:val="en-GB"/>
        </w:rPr>
        <w:t xml:space="preserve"> key areas of agreement</w:t>
      </w:r>
      <w:r w:rsidR="00EB089B">
        <w:rPr>
          <w:rFonts w:ascii="Verdana" w:hAnsi="Verdana"/>
          <w:sz w:val="20"/>
          <w:szCs w:val="20"/>
          <w:lang w:val="en-GB"/>
        </w:rPr>
        <w:t>.</w:t>
      </w:r>
      <w:r w:rsidRPr="009D4605">
        <w:rPr>
          <w:rFonts w:ascii="Verdana" w:hAnsi="Verdana"/>
          <w:sz w:val="20"/>
          <w:szCs w:val="20"/>
          <w:lang w:val="en-GB"/>
        </w:rPr>
        <w:t xml:space="preserve"> We invite members to provide their views with an open mind regarding possibilities for improvement.</w:t>
      </w:r>
    </w:p>
    <w:p w14:paraId="7025292A" w14:textId="5C06227C" w:rsidR="00581B29" w:rsidRDefault="00581B29" w:rsidP="00013728">
      <w:pPr>
        <w:pStyle w:val="Default"/>
        <w:rPr>
          <w:rFonts w:ascii="Verdana" w:hAnsi="Verdana"/>
          <w:sz w:val="20"/>
          <w:szCs w:val="20"/>
          <w:lang w:val="en-GB"/>
        </w:rPr>
      </w:pPr>
    </w:p>
    <w:p w14:paraId="7265DD57" w14:textId="727B30A6" w:rsidR="00581B29" w:rsidRPr="00581B29" w:rsidRDefault="00581B29" w:rsidP="00013728">
      <w:pPr>
        <w:pStyle w:val="Default"/>
        <w:rPr>
          <w:rFonts w:ascii="Verdana" w:hAnsi="Verdana"/>
          <w:sz w:val="20"/>
          <w:szCs w:val="20"/>
          <w:lang w:val="en-GB"/>
        </w:rPr>
      </w:pPr>
      <w:r w:rsidRPr="00581B29">
        <w:rPr>
          <w:rFonts w:ascii="Verdana" w:hAnsi="Verdana"/>
          <w:sz w:val="20"/>
          <w:szCs w:val="20"/>
          <w:lang w:val="en-GB"/>
        </w:rPr>
        <w:t xml:space="preserve">A comment box has </w:t>
      </w:r>
      <w:r>
        <w:rPr>
          <w:rFonts w:ascii="Verdana" w:hAnsi="Verdana"/>
          <w:sz w:val="20"/>
          <w:szCs w:val="20"/>
          <w:lang w:val="en-GB"/>
        </w:rPr>
        <w:t xml:space="preserve">been provided in each section to allow members to elaborate on their choices and to provide detailed feedback. </w:t>
      </w:r>
    </w:p>
    <w:p w14:paraId="7B6352A6" w14:textId="77777777" w:rsidR="005E75D7" w:rsidRPr="00581B29" w:rsidRDefault="005E75D7" w:rsidP="00013728">
      <w:pPr>
        <w:pStyle w:val="Default"/>
        <w:rPr>
          <w:rFonts w:ascii="Verdana" w:hAnsi="Verdana"/>
          <w:sz w:val="20"/>
          <w:szCs w:val="20"/>
          <w:lang w:val="en-GB"/>
        </w:rPr>
      </w:pPr>
    </w:p>
    <w:p w14:paraId="2C66989A" w14:textId="196F3A6F" w:rsidR="005E75D7" w:rsidRPr="009D4605" w:rsidRDefault="005E75D7" w:rsidP="00A66403">
      <w:pPr>
        <w:pStyle w:val="Default"/>
        <w:numPr>
          <w:ilvl w:val="0"/>
          <w:numId w:val="37"/>
        </w:numPr>
        <w:rPr>
          <w:rFonts w:ascii="Verdana" w:hAnsi="Verdana"/>
          <w:b/>
          <w:szCs w:val="32"/>
          <w:lang w:val="en-GB"/>
        </w:rPr>
      </w:pPr>
      <w:r w:rsidRPr="009D4605">
        <w:rPr>
          <w:rFonts w:ascii="Verdana" w:hAnsi="Verdana"/>
          <w:b/>
          <w:szCs w:val="32"/>
          <w:lang w:val="en-GB"/>
        </w:rPr>
        <w:t>Respondent information</w:t>
      </w:r>
    </w:p>
    <w:p w14:paraId="76F90DCE" w14:textId="1F643DEB" w:rsidR="005E75D7" w:rsidRPr="009D4605" w:rsidRDefault="005E75D7" w:rsidP="00013728">
      <w:pPr>
        <w:pStyle w:val="Default"/>
        <w:rPr>
          <w:rFonts w:ascii="Verdana" w:hAnsi="Verdana"/>
          <w:b/>
          <w:szCs w:val="32"/>
          <w:lang w:val="en-GB"/>
        </w:rPr>
      </w:pPr>
    </w:p>
    <w:p w14:paraId="4B938B13" w14:textId="3EB1431D" w:rsidR="005E75D7" w:rsidRPr="009D4605" w:rsidRDefault="005E75D7" w:rsidP="00013728">
      <w:pPr>
        <w:pStyle w:val="Default"/>
        <w:rPr>
          <w:rFonts w:ascii="Verdana" w:hAnsi="Verdana"/>
          <w:sz w:val="20"/>
          <w:szCs w:val="32"/>
          <w:lang w:val="en-GB"/>
        </w:rPr>
      </w:pPr>
      <w:r w:rsidRPr="00A66403">
        <w:rPr>
          <w:rFonts w:ascii="Verdana" w:hAnsi="Verdana"/>
          <w:b/>
          <w:sz w:val="20"/>
          <w:szCs w:val="32"/>
          <w:lang w:val="en-GB"/>
        </w:rPr>
        <w:t>Association</w:t>
      </w:r>
      <w:r w:rsidRPr="009D4605">
        <w:rPr>
          <w:rFonts w:ascii="Verdana" w:hAnsi="Verdana"/>
          <w:sz w:val="20"/>
          <w:szCs w:val="32"/>
          <w:lang w:val="en-GB"/>
        </w:rPr>
        <w:t xml:space="preserve">: </w:t>
      </w:r>
      <w:r w:rsidR="00265F68">
        <w:rPr>
          <w:rFonts w:ascii="Verdana" w:hAnsi="Verdana"/>
          <w:sz w:val="20"/>
          <w:szCs w:val="32"/>
          <w:lang w:val="en-GB"/>
        </w:rPr>
        <w:t>SLASPO</w:t>
      </w:r>
    </w:p>
    <w:p w14:paraId="764B3FD3" w14:textId="695B1B92" w:rsidR="005E75D7" w:rsidRPr="009D4605" w:rsidRDefault="005E75D7" w:rsidP="00013728">
      <w:pPr>
        <w:pStyle w:val="Default"/>
        <w:rPr>
          <w:rFonts w:ascii="Verdana" w:hAnsi="Verdana"/>
          <w:sz w:val="20"/>
          <w:szCs w:val="32"/>
          <w:lang w:val="en-GB"/>
        </w:rPr>
      </w:pPr>
    </w:p>
    <w:p w14:paraId="3FDC7F62" w14:textId="5F564BBB" w:rsidR="005E75D7" w:rsidRPr="009D4605" w:rsidRDefault="005E75D7" w:rsidP="00013728">
      <w:pPr>
        <w:pStyle w:val="Default"/>
        <w:rPr>
          <w:rFonts w:ascii="Verdana" w:hAnsi="Verdana"/>
          <w:sz w:val="20"/>
          <w:szCs w:val="32"/>
          <w:lang w:val="en-GB"/>
        </w:rPr>
      </w:pPr>
      <w:r w:rsidRPr="00A66403">
        <w:rPr>
          <w:rFonts w:ascii="Verdana" w:hAnsi="Verdana"/>
          <w:b/>
          <w:sz w:val="20"/>
          <w:szCs w:val="32"/>
          <w:lang w:val="en-GB"/>
        </w:rPr>
        <w:t>Contact details</w:t>
      </w:r>
      <w:r w:rsidRPr="009D4605">
        <w:rPr>
          <w:rFonts w:ascii="Verdana" w:hAnsi="Verdana"/>
          <w:sz w:val="20"/>
          <w:szCs w:val="32"/>
          <w:lang w:val="en-GB"/>
        </w:rPr>
        <w:t xml:space="preserve"> (name and email address):  </w:t>
      </w:r>
      <w:r w:rsidR="00A66403">
        <w:rPr>
          <w:rFonts w:ascii="Verdana" w:hAnsi="Verdana"/>
          <w:sz w:val="20"/>
          <w:szCs w:val="32"/>
          <w:lang w:val="en-GB"/>
        </w:rPr>
        <w:t>__________________________</w:t>
      </w:r>
    </w:p>
    <w:p w14:paraId="090FA4A7" w14:textId="77777777" w:rsidR="005E75D7" w:rsidRPr="009D4605" w:rsidRDefault="005E75D7" w:rsidP="00013728">
      <w:pPr>
        <w:pStyle w:val="Default"/>
        <w:rPr>
          <w:rFonts w:ascii="Verdana" w:hAnsi="Verdana"/>
          <w:sz w:val="20"/>
          <w:szCs w:val="20"/>
          <w:lang w:val="en-GB"/>
        </w:rPr>
      </w:pPr>
    </w:p>
    <w:p w14:paraId="382C4A2C" w14:textId="77777777" w:rsidR="00631472" w:rsidRPr="009D4605" w:rsidRDefault="00631472" w:rsidP="00013728">
      <w:pPr>
        <w:pStyle w:val="Default"/>
        <w:rPr>
          <w:rFonts w:ascii="Verdana" w:hAnsi="Verdana"/>
          <w:sz w:val="17"/>
          <w:szCs w:val="17"/>
          <w:lang w:val="en-GB"/>
        </w:rPr>
      </w:pPr>
    </w:p>
    <w:p w14:paraId="162659F8" w14:textId="77777777" w:rsidR="00631472" w:rsidRPr="009D4605" w:rsidRDefault="00631472" w:rsidP="00A66403">
      <w:pPr>
        <w:pStyle w:val="Default"/>
        <w:numPr>
          <w:ilvl w:val="0"/>
          <w:numId w:val="37"/>
        </w:numPr>
        <w:rPr>
          <w:rFonts w:ascii="Verdana" w:hAnsi="Verdana"/>
          <w:b/>
          <w:szCs w:val="32"/>
          <w:lang w:val="en-GB"/>
        </w:rPr>
      </w:pPr>
      <w:r w:rsidRPr="009D4605">
        <w:rPr>
          <w:rFonts w:ascii="Verdana" w:hAnsi="Verdana"/>
          <w:b/>
          <w:szCs w:val="32"/>
          <w:lang w:val="en-GB"/>
        </w:rPr>
        <w:t>High-level priorities</w:t>
      </w:r>
    </w:p>
    <w:p w14:paraId="58564CB8" w14:textId="77777777" w:rsidR="00631472" w:rsidRDefault="00631472" w:rsidP="00013728">
      <w:pPr>
        <w:pStyle w:val="Default"/>
        <w:rPr>
          <w:rFonts w:ascii="Verdana" w:hAnsi="Verdana"/>
          <w:sz w:val="17"/>
          <w:szCs w:val="17"/>
          <w:lang w:val="en-GB"/>
        </w:rPr>
      </w:pPr>
    </w:p>
    <w:p w14:paraId="01CA0F95" w14:textId="4B67C205" w:rsidR="008834B3" w:rsidRDefault="008834B3" w:rsidP="00013728">
      <w:pPr>
        <w:pStyle w:val="Default"/>
        <w:rPr>
          <w:rFonts w:ascii="Verdana" w:hAnsi="Verdana"/>
          <w:b/>
          <w:i/>
          <w:sz w:val="17"/>
          <w:szCs w:val="17"/>
          <w:lang w:val="en-GB"/>
        </w:rPr>
      </w:pPr>
      <w:r w:rsidRPr="00A66403">
        <w:rPr>
          <w:rFonts w:ascii="Verdana" w:hAnsi="Verdana"/>
          <w:b/>
          <w:i/>
          <w:sz w:val="17"/>
          <w:szCs w:val="17"/>
          <w:lang w:val="en-GB"/>
        </w:rPr>
        <w:t xml:space="preserve">Note that high-priority means </w:t>
      </w:r>
      <w:r w:rsidR="00581B29">
        <w:rPr>
          <w:rFonts w:ascii="Verdana" w:hAnsi="Verdana"/>
          <w:b/>
          <w:i/>
          <w:sz w:val="17"/>
          <w:szCs w:val="17"/>
          <w:lang w:val="en-GB"/>
        </w:rPr>
        <w:t xml:space="preserve">that </w:t>
      </w:r>
      <w:r w:rsidRPr="00A66403">
        <w:rPr>
          <w:rFonts w:ascii="Verdana" w:hAnsi="Verdana"/>
          <w:b/>
          <w:i/>
          <w:sz w:val="17"/>
          <w:szCs w:val="17"/>
          <w:lang w:val="en-GB"/>
        </w:rPr>
        <w:t xml:space="preserve">the issue is important </w:t>
      </w:r>
      <w:r w:rsidR="00581B29">
        <w:rPr>
          <w:rFonts w:ascii="Verdana" w:hAnsi="Verdana"/>
          <w:b/>
          <w:i/>
          <w:sz w:val="17"/>
          <w:szCs w:val="17"/>
          <w:lang w:val="en-GB"/>
        </w:rPr>
        <w:t xml:space="preserve">irrespective of whether </w:t>
      </w:r>
      <w:r w:rsidRPr="00A66403">
        <w:rPr>
          <w:rFonts w:ascii="Verdana" w:hAnsi="Verdana"/>
          <w:b/>
          <w:i/>
          <w:sz w:val="17"/>
          <w:szCs w:val="17"/>
          <w:lang w:val="en-GB"/>
        </w:rPr>
        <w:t>achieving improvements</w:t>
      </w:r>
      <w:r w:rsidR="00581B29">
        <w:rPr>
          <w:rFonts w:ascii="Verdana" w:hAnsi="Verdana"/>
          <w:b/>
          <w:i/>
          <w:sz w:val="17"/>
          <w:szCs w:val="17"/>
          <w:lang w:val="en-GB"/>
        </w:rPr>
        <w:t xml:space="preserve"> is</w:t>
      </w:r>
      <w:r w:rsidRPr="00A66403">
        <w:rPr>
          <w:rFonts w:ascii="Verdana" w:hAnsi="Verdana"/>
          <w:b/>
          <w:i/>
          <w:sz w:val="17"/>
          <w:szCs w:val="17"/>
          <w:lang w:val="en-GB"/>
        </w:rPr>
        <w:t xml:space="preserve"> key or having no change</w:t>
      </w:r>
      <w:r>
        <w:rPr>
          <w:rFonts w:ascii="Verdana" w:hAnsi="Verdana"/>
          <w:b/>
          <w:i/>
          <w:sz w:val="17"/>
          <w:szCs w:val="17"/>
          <w:lang w:val="en-GB"/>
        </w:rPr>
        <w:t xml:space="preserve"> is key</w:t>
      </w:r>
      <w:r w:rsidRPr="00A66403">
        <w:rPr>
          <w:rFonts w:ascii="Verdana" w:hAnsi="Verdana"/>
          <w:b/>
          <w:i/>
          <w:sz w:val="17"/>
          <w:szCs w:val="17"/>
          <w:lang w:val="en-GB"/>
        </w:rPr>
        <w:t>.</w:t>
      </w:r>
    </w:p>
    <w:p w14:paraId="6CBD9F38" w14:textId="77777777" w:rsidR="00631472" w:rsidRPr="009D4605" w:rsidRDefault="00631472" w:rsidP="00013728">
      <w:pPr>
        <w:pStyle w:val="Default"/>
        <w:rPr>
          <w:rFonts w:ascii="Verdana" w:hAnsi="Verdana"/>
          <w:sz w:val="17"/>
          <w:szCs w:val="17"/>
          <w:lang w:val="en-GB"/>
        </w:rPr>
      </w:pPr>
    </w:p>
    <w:tbl>
      <w:tblPr>
        <w:tblStyle w:val="Mriekatabuky"/>
        <w:tblW w:w="14230" w:type="dxa"/>
        <w:tblLook w:val="04A0" w:firstRow="1" w:lastRow="0" w:firstColumn="1" w:lastColumn="0" w:noHBand="0" w:noVBand="1"/>
      </w:tblPr>
      <w:tblGrid>
        <w:gridCol w:w="562"/>
        <w:gridCol w:w="6946"/>
        <w:gridCol w:w="1680"/>
        <w:gridCol w:w="1681"/>
        <w:gridCol w:w="1680"/>
        <w:gridCol w:w="1681"/>
      </w:tblGrid>
      <w:tr w:rsidR="001F1866" w:rsidRPr="009D4605" w14:paraId="7CEC6AB6" w14:textId="77777777" w:rsidTr="00A66403">
        <w:trPr>
          <w:trHeight w:val="397"/>
        </w:trPr>
        <w:tc>
          <w:tcPr>
            <w:tcW w:w="562" w:type="dxa"/>
            <w:vMerge w:val="restart"/>
            <w:shd w:val="clear" w:color="auto" w:fill="F2F2F2" w:themeFill="background1" w:themeFillShade="F2"/>
          </w:tcPr>
          <w:p w14:paraId="419208AD" w14:textId="77777777" w:rsidR="001F1866" w:rsidRPr="009D4605" w:rsidRDefault="001F1866" w:rsidP="00563F63">
            <w:pPr>
              <w:rPr>
                <w:rFonts w:ascii="Verdana" w:hAnsi="Verdana"/>
                <w:sz w:val="17"/>
                <w:szCs w:val="17"/>
                <w:lang w:val="en-GB"/>
              </w:rPr>
            </w:pPr>
            <w:r w:rsidRPr="009D4605">
              <w:rPr>
                <w:rFonts w:ascii="Verdana" w:hAnsi="Verdana"/>
                <w:sz w:val="17"/>
                <w:szCs w:val="17"/>
                <w:lang w:val="en-GB"/>
              </w:rPr>
              <w:t>1.</w:t>
            </w:r>
          </w:p>
        </w:tc>
        <w:tc>
          <w:tcPr>
            <w:tcW w:w="13668" w:type="dxa"/>
            <w:gridSpan w:val="5"/>
            <w:tcBorders>
              <w:bottom w:val="single" w:sz="4" w:space="0" w:color="auto"/>
            </w:tcBorders>
            <w:shd w:val="clear" w:color="auto" w:fill="F2F2F2" w:themeFill="background1" w:themeFillShade="F2"/>
            <w:vAlign w:val="center"/>
          </w:tcPr>
          <w:p w14:paraId="1A63ACE4" w14:textId="77777777" w:rsidR="001F1866" w:rsidRPr="009D4605" w:rsidRDefault="001F1866">
            <w:pPr>
              <w:autoSpaceDE w:val="0"/>
              <w:autoSpaceDN w:val="0"/>
              <w:adjustRightInd w:val="0"/>
              <w:rPr>
                <w:rFonts w:ascii="Verdana" w:hAnsi="Verdana"/>
                <w:sz w:val="17"/>
                <w:szCs w:val="17"/>
                <w:lang w:val="en-GB"/>
              </w:rPr>
            </w:pPr>
            <w:r w:rsidRPr="009D4605">
              <w:rPr>
                <w:rFonts w:ascii="Arial" w:eastAsia="Times New Roman" w:hAnsi="Arial" w:cs="Arial"/>
                <w:b/>
                <w:bCs/>
                <w:color w:val="000000"/>
                <w:sz w:val="20"/>
                <w:szCs w:val="20"/>
                <w:lang w:val="en-GB" w:eastAsia="en-GB"/>
              </w:rPr>
              <w:t>Which of the following are priority issues for the 2020 review in your market?</w:t>
            </w:r>
          </w:p>
        </w:tc>
      </w:tr>
      <w:tr w:rsidR="002C4C95" w:rsidRPr="009D4605" w14:paraId="4C2E730F" w14:textId="77777777" w:rsidTr="00A66403">
        <w:trPr>
          <w:trHeight w:val="397"/>
        </w:trPr>
        <w:tc>
          <w:tcPr>
            <w:tcW w:w="562" w:type="dxa"/>
            <w:vMerge/>
            <w:shd w:val="clear" w:color="auto" w:fill="F2F2F2" w:themeFill="background1" w:themeFillShade="F2"/>
          </w:tcPr>
          <w:p w14:paraId="14C6B7B0" w14:textId="77777777" w:rsidR="002C4C95" w:rsidRPr="009D4605" w:rsidRDefault="002C4C95" w:rsidP="001F1866">
            <w:pPr>
              <w:rPr>
                <w:rFonts w:ascii="Verdana" w:hAnsi="Verdana"/>
                <w:sz w:val="17"/>
                <w:szCs w:val="17"/>
                <w:lang w:val="en-GB"/>
              </w:rPr>
            </w:pPr>
          </w:p>
        </w:tc>
        <w:tc>
          <w:tcPr>
            <w:tcW w:w="6946" w:type="dxa"/>
            <w:tcBorders>
              <w:bottom w:val="single" w:sz="4" w:space="0" w:color="auto"/>
            </w:tcBorders>
            <w:shd w:val="clear" w:color="auto" w:fill="EDEDED" w:themeFill="accent3" w:themeFillTint="33"/>
            <w:vAlign w:val="center"/>
          </w:tcPr>
          <w:p w14:paraId="2681A040" w14:textId="77777777" w:rsidR="002C4C95" w:rsidRPr="009D4605" w:rsidRDefault="002C4C95">
            <w:pPr>
              <w:rPr>
                <w:rFonts w:ascii="Arial" w:eastAsia="Times New Roman" w:hAnsi="Arial" w:cs="Arial"/>
                <w:color w:val="666666"/>
                <w:sz w:val="20"/>
                <w:szCs w:val="20"/>
                <w:lang w:val="en-GB" w:eastAsia="en-GB"/>
              </w:rPr>
            </w:pPr>
            <w:r w:rsidRPr="009D4605">
              <w:rPr>
                <w:rFonts w:ascii="Arial" w:eastAsia="Times New Roman" w:hAnsi="Arial" w:cs="Arial"/>
                <w:color w:val="666666"/>
                <w:sz w:val="20"/>
                <w:szCs w:val="20"/>
                <w:lang w:val="en-GB" w:eastAsia="en-GB"/>
              </w:rPr>
              <w:t>Issue</w:t>
            </w:r>
          </w:p>
        </w:tc>
        <w:tc>
          <w:tcPr>
            <w:tcW w:w="1680" w:type="dxa"/>
            <w:tcBorders>
              <w:bottom w:val="single" w:sz="4" w:space="0" w:color="auto"/>
            </w:tcBorders>
            <w:shd w:val="clear" w:color="auto" w:fill="EDEDED" w:themeFill="accent3" w:themeFillTint="33"/>
            <w:vAlign w:val="center"/>
          </w:tcPr>
          <w:p w14:paraId="5EA5717A" w14:textId="37A41451" w:rsidR="002C4C95" w:rsidRPr="009D4605" w:rsidRDefault="008431FB">
            <w:pPr>
              <w:rPr>
                <w:rFonts w:ascii="Verdana" w:hAnsi="Verdana"/>
                <w:sz w:val="17"/>
                <w:szCs w:val="17"/>
              </w:rPr>
            </w:pPr>
            <w:r>
              <w:rPr>
                <w:rFonts w:ascii="Verdana" w:hAnsi="Verdana"/>
                <w:sz w:val="17"/>
                <w:szCs w:val="17"/>
                <w:lang w:val="en-GB"/>
              </w:rPr>
              <w:t>Not sure yet</w:t>
            </w:r>
          </w:p>
        </w:tc>
        <w:tc>
          <w:tcPr>
            <w:tcW w:w="1681" w:type="dxa"/>
            <w:tcBorders>
              <w:bottom w:val="single" w:sz="4" w:space="0" w:color="auto"/>
            </w:tcBorders>
            <w:shd w:val="clear" w:color="auto" w:fill="EDEDED" w:themeFill="accent3" w:themeFillTint="33"/>
            <w:vAlign w:val="center"/>
          </w:tcPr>
          <w:p w14:paraId="55ED6B66" w14:textId="2F225529" w:rsidR="002C4C95" w:rsidRPr="009D4605" w:rsidRDefault="008431FB">
            <w:pPr>
              <w:rPr>
                <w:rFonts w:ascii="Verdana" w:hAnsi="Verdana"/>
                <w:sz w:val="17"/>
                <w:szCs w:val="17"/>
                <w:lang w:val="en-GB"/>
              </w:rPr>
            </w:pPr>
            <w:r w:rsidRPr="009D4605">
              <w:rPr>
                <w:rFonts w:ascii="Verdana" w:hAnsi="Verdana"/>
                <w:sz w:val="17"/>
                <w:szCs w:val="17"/>
                <w:lang w:val="en-GB"/>
              </w:rPr>
              <w:t>High priority</w:t>
            </w:r>
          </w:p>
        </w:tc>
        <w:tc>
          <w:tcPr>
            <w:tcW w:w="1680" w:type="dxa"/>
            <w:tcBorders>
              <w:bottom w:val="single" w:sz="4" w:space="0" w:color="auto"/>
            </w:tcBorders>
            <w:shd w:val="clear" w:color="auto" w:fill="EDEDED" w:themeFill="accent3" w:themeFillTint="33"/>
            <w:vAlign w:val="center"/>
          </w:tcPr>
          <w:p w14:paraId="103E1215" w14:textId="77777777" w:rsidR="002C4C95" w:rsidRPr="009D4605" w:rsidRDefault="002C4C95">
            <w:pPr>
              <w:rPr>
                <w:rFonts w:ascii="Verdana" w:hAnsi="Verdana"/>
                <w:sz w:val="17"/>
                <w:szCs w:val="17"/>
                <w:lang w:val="en-GB"/>
              </w:rPr>
            </w:pPr>
            <w:r w:rsidRPr="009D4605">
              <w:rPr>
                <w:rFonts w:ascii="Verdana" w:hAnsi="Verdana"/>
                <w:sz w:val="17"/>
                <w:szCs w:val="17"/>
                <w:lang w:val="en-GB"/>
              </w:rPr>
              <w:t>Low priority</w:t>
            </w:r>
          </w:p>
        </w:tc>
        <w:tc>
          <w:tcPr>
            <w:tcW w:w="1681" w:type="dxa"/>
            <w:tcBorders>
              <w:bottom w:val="single" w:sz="4" w:space="0" w:color="auto"/>
            </w:tcBorders>
            <w:shd w:val="clear" w:color="auto" w:fill="EDEDED" w:themeFill="accent3" w:themeFillTint="33"/>
            <w:vAlign w:val="center"/>
          </w:tcPr>
          <w:p w14:paraId="384863EE" w14:textId="77777777" w:rsidR="002C4C95" w:rsidRPr="009D4605" w:rsidRDefault="002C4C95">
            <w:pPr>
              <w:rPr>
                <w:rFonts w:ascii="Verdana" w:hAnsi="Verdana"/>
                <w:sz w:val="17"/>
                <w:szCs w:val="17"/>
                <w:lang w:val="en-GB"/>
              </w:rPr>
            </w:pPr>
            <w:r w:rsidRPr="009D4605">
              <w:rPr>
                <w:rFonts w:ascii="Verdana" w:hAnsi="Verdana"/>
                <w:sz w:val="17"/>
                <w:szCs w:val="17"/>
                <w:lang w:val="en-GB"/>
              </w:rPr>
              <w:t>Not a priority</w:t>
            </w:r>
          </w:p>
        </w:tc>
      </w:tr>
      <w:tr w:rsidR="002C4C95" w:rsidRPr="009D4605" w14:paraId="68A4F1B8" w14:textId="77777777" w:rsidTr="00A66403">
        <w:trPr>
          <w:trHeight w:val="397"/>
        </w:trPr>
        <w:tc>
          <w:tcPr>
            <w:tcW w:w="562" w:type="dxa"/>
            <w:vMerge/>
            <w:tcBorders>
              <w:right w:val="single" w:sz="4" w:space="0" w:color="auto"/>
            </w:tcBorders>
            <w:shd w:val="clear" w:color="auto" w:fill="F2F2F2" w:themeFill="background1" w:themeFillShade="F2"/>
          </w:tcPr>
          <w:p w14:paraId="2D00D8DF" w14:textId="77777777" w:rsidR="002C4C95" w:rsidRPr="009D4605" w:rsidRDefault="002C4C95" w:rsidP="001F1866">
            <w:pPr>
              <w:rPr>
                <w:rFonts w:ascii="Verdana" w:hAnsi="Verdana"/>
                <w:sz w:val="17"/>
                <w:szCs w:val="17"/>
                <w:lang w:val="en-GB"/>
              </w:rPr>
            </w:pPr>
          </w:p>
        </w:tc>
        <w:tc>
          <w:tcPr>
            <w:tcW w:w="6946" w:type="dxa"/>
            <w:tcBorders>
              <w:top w:val="single" w:sz="4" w:space="0" w:color="auto"/>
              <w:left w:val="single" w:sz="4" w:space="0" w:color="auto"/>
              <w:bottom w:val="single" w:sz="4" w:space="0" w:color="D0CECE" w:themeColor="background2" w:themeShade="E6"/>
              <w:right w:val="single" w:sz="4" w:space="0" w:color="auto"/>
            </w:tcBorders>
            <w:vAlign w:val="center"/>
          </w:tcPr>
          <w:p w14:paraId="148CB55C" w14:textId="65FD6EA2" w:rsidR="002C4C95" w:rsidRPr="009D4605" w:rsidRDefault="002C4C95" w:rsidP="001F1866">
            <w:pPr>
              <w:rPr>
                <w:rFonts w:ascii="Verdana" w:hAnsi="Verdana"/>
                <w:sz w:val="17"/>
                <w:szCs w:val="17"/>
                <w:lang w:val="en-GB"/>
              </w:rPr>
            </w:pPr>
            <w:r w:rsidRPr="009D4605">
              <w:rPr>
                <w:rFonts w:ascii="Arial" w:eastAsia="Times New Roman" w:hAnsi="Arial" w:cs="Arial"/>
                <w:color w:val="666666"/>
                <w:sz w:val="20"/>
                <w:szCs w:val="20"/>
                <w:lang w:val="en-GB" w:eastAsia="en-GB"/>
              </w:rPr>
              <w:t xml:space="preserve">LTG - Volatility </w:t>
            </w:r>
            <w:r w:rsidR="00581B29">
              <w:rPr>
                <w:rFonts w:ascii="Arial" w:eastAsia="Times New Roman" w:hAnsi="Arial" w:cs="Arial"/>
                <w:color w:val="666666"/>
                <w:sz w:val="20"/>
                <w:szCs w:val="20"/>
                <w:lang w:val="en-GB" w:eastAsia="en-GB"/>
              </w:rPr>
              <w:t>a</w:t>
            </w:r>
            <w:r w:rsidRPr="009D4605">
              <w:rPr>
                <w:rFonts w:ascii="Arial" w:eastAsia="Times New Roman" w:hAnsi="Arial" w:cs="Arial"/>
                <w:color w:val="666666"/>
                <w:sz w:val="20"/>
                <w:szCs w:val="20"/>
                <w:lang w:val="en-GB" w:eastAsia="en-GB"/>
              </w:rPr>
              <w:t xml:space="preserve">djustment </w:t>
            </w:r>
          </w:p>
        </w:tc>
        <w:tc>
          <w:tcPr>
            <w:tcW w:w="1680" w:type="dxa"/>
            <w:tcBorders>
              <w:top w:val="single" w:sz="4" w:space="0" w:color="auto"/>
              <w:left w:val="single" w:sz="4" w:space="0" w:color="auto"/>
              <w:bottom w:val="single" w:sz="4" w:space="0" w:color="D0CECE" w:themeColor="background2" w:themeShade="E6"/>
              <w:right w:val="single" w:sz="4" w:space="0" w:color="auto"/>
            </w:tcBorders>
            <w:vAlign w:val="center"/>
          </w:tcPr>
          <w:p w14:paraId="6255B3FA" w14:textId="77777777" w:rsidR="002C4C95" w:rsidRPr="009D4605" w:rsidRDefault="002C4C95" w:rsidP="001F1866">
            <w:pPr>
              <w:rPr>
                <w:rFonts w:ascii="Verdana" w:hAnsi="Verdana"/>
                <w:sz w:val="17"/>
                <w:szCs w:val="17"/>
              </w:rPr>
            </w:pPr>
          </w:p>
        </w:tc>
        <w:tc>
          <w:tcPr>
            <w:tcW w:w="1681" w:type="dxa"/>
            <w:tcBorders>
              <w:top w:val="single" w:sz="4" w:space="0" w:color="auto"/>
              <w:left w:val="single" w:sz="4" w:space="0" w:color="auto"/>
              <w:bottom w:val="single" w:sz="4" w:space="0" w:color="D0CECE" w:themeColor="background2" w:themeShade="E6"/>
              <w:right w:val="single" w:sz="4" w:space="0" w:color="auto"/>
            </w:tcBorders>
            <w:vAlign w:val="center"/>
          </w:tcPr>
          <w:p w14:paraId="751655CC" w14:textId="3E796CB6" w:rsidR="002C4C95" w:rsidRPr="009D4605" w:rsidRDefault="00452774" w:rsidP="001F1866">
            <w:pPr>
              <w:rPr>
                <w:rFonts w:ascii="Verdana" w:hAnsi="Verdana"/>
                <w:sz w:val="17"/>
                <w:szCs w:val="17"/>
                <w:lang w:val="en-GB"/>
              </w:rPr>
            </w:pPr>
            <w:r>
              <w:rPr>
                <w:rFonts w:ascii="Verdana" w:hAnsi="Verdana"/>
                <w:sz w:val="17"/>
                <w:szCs w:val="17"/>
                <w:lang w:val="en-GB"/>
              </w:rPr>
              <w:t>X</w:t>
            </w:r>
            <w:r w:rsidR="003A4A2A">
              <w:rPr>
                <w:rFonts w:ascii="Verdana" w:hAnsi="Verdana"/>
                <w:sz w:val="17"/>
                <w:szCs w:val="17"/>
                <w:lang w:val="en-GB"/>
              </w:rPr>
              <w:t>X</w:t>
            </w:r>
          </w:p>
        </w:tc>
        <w:tc>
          <w:tcPr>
            <w:tcW w:w="1680" w:type="dxa"/>
            <w:tcBorders>
              <w:top w:val="single" w:sz="4" w:space="0" w:color="auto"/>
              <w:left w:val="single" w:sz="4" w:space="0" w:color="auto"/>
              <w:bottom w:val="single" w:sz="4" w:space="0" w:color="D0CECE" w:themeColor="background2" w:themeShade="E6"/>
              <w:right w:val="single" w:sz="4" w:space="0" w:color="auto"/>
            </w:tcBorders>
            <w:vAlign w:val="center"/>
          </w:tcPr>
          <w:p w14:paraId="74E668F8" w14:textId="7BC30DE6" w:rsidR="002C4C95" w:rsidRPr="009D4605" w:rsidRDefault="00595725" w:rsidP="001F1866">
            <w:pPr>
              <w:rPr>
                <w:rFonts w:ascii="Verdana" w:hAnsi="Verdana"/>
                <w:sz w:val="17"/>
                <w:szCs w:val="17"/>
                <w:lang w:val="en-GB"/>
              </w:rPr>
            </w:pPr>
            <w:r>
              <w:rPr>
                <w:rFonts w:ascii="Verdana" w:hAnsi="Verdana"/>
                <w:sz w:val="17"/>
                <w:szCs w:val="17"/>
                <w:lang w:val="en-GB"/>
              </w:rPr>
              <w:t>X</w:t>
            </w:r>
          </w:p>
        </w:tc>
        <w:tc>
          <w:tcPr>
            <w:tcW w:w="1681" w:type="dxa"/>
            <w:tcBorders>
              <w:top w:val="single" w:sz="4" w:space="0" w:color="auto"/>
              <w:left w:val="single" w:sz="4" w:space="0" w:color="auto"/>
              <w:bottom w:val="single" w:sz="4" w:space="0" w:color="D0CECE" w:themeColor="background2" w:themeShade="E6"/>
              <w:right w:val="single" w:sz="4" w:space="0" w:color="auto"/>
            </w:tcBorders>
            <w:vAlign w:val="center"/>
          </w:tcPr>
          <w:p w14:paraId="4655E7A8" w14:textId="2B171344" w:rsidR="00265F68" w:rsidRPr="009D4605" w:rsidRDefault="00265F68" w:rsidP="001F1866">
            <w:pPr>
              <w:rPr>
                <w:rFonts w:ascii="Verdana" w:hAnsi="Verdana"/>
                <w:sz w:val="17"/>
                <w:szCs w:val="17"/>
                <w:lang w:val="en-GB"/>
              </w:rPr>
            </w:pPr>
            <w:r>
              <w:rPr>
                <w:rFonts w:ascii="Verdana" w:hAnsi="Verdana"/>
                <w:sz w:val="17"/>
                <w:szCs w:val="17"/>
                <w:lang w:val="en-GB"/>
              </w:rPr>
              <w:t>X</w:t>
            </w:r>
            <w:r w:rsidR="00DF3DED">
              <w:rPr>
                <w:rFonts w:ascii="Verdana" w:hAnsi="Verdana"/>
                <w:sz w:val="17"/>
                <w:szCs w:val="17"/>
                <w:lang w:val="en-GB"/>
              </w:rPr>
              <w:t>X</w:t>
            </w:r>
            <w:r w:rsidR="005225ED">
              <w:rPr>
                <w:rFonts w:ascii="Verdana" w:hAnsi="Verdana"/>
                <w:sz w:val="17"/>
                <w:szCs w:val="17"/>
                <w:lang w:val="en-GB"/>
              </w:rPr>
              <w:t>X</w:t>
            </w:r>
          </w:p>
        </w:tc>
      </w:tr>
      <w:tr w:rsidR="002C4C95" w:rsidRPr="009D4605" w14:paraId="4F2556B7" w14:textId="77777777" w:rsidTr="00A66403">
        <w:trPr>
          <w:trHeight w:val="397"/>
        </w:trPr>
        <w:tc>
          <w:tcPr>
            <w:tcW w:w="562" w:type="dxa"/>
            <w:vMerge/>
            <w:tcBorders>
              <w:right w:val="single" w:sz="4" w:space="0" w:color="auto"/>
            </w:tcBorders>
            <w:shd w:val="clear" w:color="auto" w:fill="F2F2F2" w:themeFill="background1" w:themeFillShade="F2"/>
          </w:tcPr>
          <w:p w14:paraId="1ADA09F2" w14:textId="437056FF" w:rsidR="002C4C95" w:rsidRPr="009D4605" w:rsidRDefault="002C4C95"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39BC442F" w14:textId="3E66AA01" w:rsidR="002C4C95" w:rsidRPr="009D4605" w:rsidRDefault="002C4C95" w:rsidP="001F1866">
            <w:pPr>
              <w:autoSpaceDE w:val="0"/>
              <w:autoSpaceDN w:val="0"/>
              <w:adjustRightInd w:val="0"/>
              <w:rPr>
                <w:rFonts w:ascii="Verdana" w:hAnsi="Verdana"/>
                <w:sz w:val="17"/>
                <w:szCs w:val="17"/>
                <w:lang w:val="en-GB"/>
              </w:rPr>
            </w:pPr>
            <w:r w:rsidRPr="009D4605">
              <w:rPr>
                <w:rFonts w:ascii="Arial" w:eastAsia="Times New Roman" w:hAnsi="Arial" w:cs="Arial"/>
                <w:color w:val="666666"/>
                <w:sz w:val="20"/>
                <w:szCs w:val="20"/>
                <w:lang w:val="en-GB" w:eastAsia="en-GB"/>
              </w:rPr>
              <w:t xml:space="preserve">LTG - Matching </w:t>
            </w:r>
            <w:r w:rsidR="00581B29">
              <w:rPr>
                <w:rFonts w:ascii="Arial" w:eastAsia="Times New Roman" w:hAnsi="Arial" w:cs="Arial"/>
                <w:color w:val="666666"/>
                <w:sz w:val="20"/>
                <w:szCs w:val="20"/>
                <w:lang w:val="en-GB" w:eastAsia="en-GB"/>
              </w:rPr>
              <w:t>a</w:t>
            </w:r>
            <w:r w:rsidRPr="009D4605">
              <w:rPr>
                <w:rFonts w:ascii="Arial" w:eastAsia="Times New Roman" w:hAnsi="Arial" w:cs="Arial"/>
                <w:color w:val="666666"/>
                <w:sz w:val="20"/>
                <w:szCs w:val="20"/>
                <w:lang w:val="en-GB" w:eastAsia="en-GB"/>
              </w:rPr>
              <w:t>djustment</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1B2048C5" w14:textId="77777777" w:rsidR="002C4C95" w:rsidRPr="009D4605" w:rsidRDefault="002C4C95" w:rsidP="001F1866">
            <w:pPr>
              <w:autoSpaceDE w:val="0"/>
              <w:autoSpaceDN w:val="0"/>
              <w:adjustRightInd w:val="0"/>
              <w:rPr>
                <w:rFonts w:ascii="Verdana" w:hAnsi="Verdana"/>
                <w:sz w:val="17"/>
                <w:szCs w:val="17"/>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06908C8E" w14:textId="0E1D750E" w:rsidR="002C4C95" w:rsidRPr="009D4605" w:rsidRDefault="002C4C95" w:rsidP="001F1866">
            <w:pPr>
              <w:autoSpaceDE w:val="0"/>
              <w:autoSpaceDN w:val="0"/>
              <w:adjustRightInd w:val="0"/>
              <w:rPr>
                <w:rFonts w:ascii="Verdana" w:hAnsi="Verdana"/>
                <w:sz w:val="17"/>
                <w:szCs w:val="17"/>
                <w:lang w:val="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726CD004" w14:textId="77777777" w:rsidR="002C4C95" w:rsidRPr="009D4605" w:rsidRDefault="002C4C95" w:rsidP="001F1866">
            <w:pPr>
              <w:autoSpaceDE w:val="0"/>
              <w:autoSpaceDN w:val="0"/>
              <w:adjustRightInd w:val="0"/>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53751EA4" w14:textId="0BD3E14F" w:rsidR="003A4A2A" w:rsidRPr="009D4605" w:rsidRDefault="00452774" w:rsidP="001F1866">
            <w:pPr>
              <w:autoSpaceDE w:val="0"/>
              <w:autoSpaceDN w:val="0"/>
              <w:adjustRightInd w:val="0"/>
              <w:rPr>
                <w:rFonts w:ascii="Verdana" w:hAnsi="Verdana"/>
                <w:sz w:val="17"/>
                <w:szCs w:val="17"/>
                <w:lang w:val="en-GB"/>
              </w:rPr>
            </w:pPr>
            <w:r>
              <w:rPr>
                <w:rFonts w:ascii="Verdana" w:hAnsi="Verdana"/>
                <w:sz w:val="17"/>
                <w:szCs w:val="17"/>
                <w:lang w:val="en-GB"/>
              </w:rPr>
              <w:t>X</w:t>
            </w:r>
            <w:r w:rsidR="00265F68">
              <w:rPr>
                <w:rFonts w:ascii="Verdana" w:hAnsi="Verdana"/>
                <w:sz w:val="17"/>
                <w:szCs w:val="17"/>
                <w:lang w:val="en-GB"/>
              </w:rPr>
              <w:t>X</w:t>
            </w:r>
            <w:r w:rsidR="00DF3DED">
              <w:rPr>
                <w:rFonts w:ascii="Verdana" w:hAnsi="Verdana"/>
                <w:sz w:val="17"/>
                <w:szCs w:val="17"/>
                <w:lang w:val="en-GB"/>
              </w:rPr>
              <w:t>X</w:t>
            </w:r>
            <w:r w:rsidR="005225ED">
              <w:rPr>
                <w:rFonts w:ascii="Verdana" w:hAnsi="Verdana"/>
                <w:sz w:val="17"/>
                <w:szCs w:val="17"/>
                <w:lang w:val="en-GB"/>
              </w:rPr>
              <w:t>X</w:t>
            </w:r>
            <w:r w:rsidR="003A4A2A">
              <w:rPr>
                <w:rFonts w:ascii="Verdana" w:hAnsi="Verdana"/>
                <w:sz w:val="17"/>
                <w:szCs w:val="17"/>
                <w:lang w:val="en-GB"/>
              </w:rPr>
              <w:t>X</w:t>
            </w:r>
          </w:p>
        </w:tc>
      </w:tr>
      <w:tr w:rsidR="002C4C95" w:rsidRPr="009D4605" w14:paraId="7C67247D" w14:textId="77777777" w:rsidTr="00A66403">
        <w:trPr>
          <w:trHeight w:val="397"/>
        </w:trPr>
        <w:tc>
          <w:tcPr>
            <w:tcW w:w="562" w:type="dxa"/>
            <w:vMerge/>
            <w:tcBorders>
              <w:right w:val="single" w:sz="4" w:space="0" w:color="auto"/>
            </w:tcBorders>
            <w:shd w:val="clear" w:color="auto" w:fill="F2F2F2" w:themeFill="background1" w:themeFillShade="F2"/>
          </w:tcPr>
          <w:p w14:paraId="667C7BDA" w14:textId="305A1B3E" w:rsidR="002C4C95" w:rsidRPr="009D4605" w:rsidRDefault="002C4C95"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0A83E13" w14:textId="5A7015A9" w:rsidR="002C4C95" w:rsidRPr="009D4605" w:rsidRDefault="002C4C95" w:rsidP="001F1866">
            <w:pPr>
              <w:rPr>
                <w:rFonts w:ascii="Verdana" w:hAnsi="Verdana"/>
                <w:sz w:val="17"/>
                <w:szCs w:val="17"/>
                <w:lang w:val="en-GB"/>
              </w:rPr>
            </w:pPr>
            <w:r w:rsidRPr="009D4605">
              <w:rPr>
                <w:rFonts w:ascii="Arial" w:eastAsia="Times New Roman" w:hAnsi="Arial" w:cs="Arial"/>
                <w:color w:val="666666"/>
                <w:sz w:val="20"/>
                <w:szCs w:val="20"/>
                <w:lang w:val="en-GB" w:eastAsia="en-GB"/>
              </w:rPr>
              <w:t xml:space="preserve">LTG </w:t>
            </w:r>
            <w:r w:rsidR="008431FB">
              <w:rPr>
                <w:rFonts w:ascii="Arial" w:eastAsia="Times New Roman" w:hAnsi="Arial" w:cs="Arial"/>
                <w:color w:val="666666"/>
                <w:sz w:val="20"/>
                <w:szCs w:val="20"/>
                <w:lang w:val="en-GB" w:eastAsia="en-GB"/>
              </w:rPr>
              <w:t>-</w:t>
            </w:r>
            <w:r w:rsidRPr="009D4605">
              <w:rPr>
                <w:rFonts w:ascii="Arial" w:eastAsia="Times New Roman" w:hAnsi="Arial" w:cs="Arial"/>
                <w:color w:val="666666"/>
                <w:sz w:val="20"/>
                <w:szCs w:val="20"/>
                <w:lang w:val="en-GB" w:eastAsia="en-GB"/>
              </w:rPr>
              <w:t xml:space="preserve"> </w:t>
            </w:r>
            <w:r w:rsidR="008431FB">
              <w:rPr>
                <w:rFonts w:ascii="Arial" w:eastAsia="Times New Roman" w:hAnsi="Arial" w:cs="Arial"/>
                <w:color w:val="666666"/>
                <w:sz w:val="20"/>
                <w:szCs w:val="20"/>
                <w:lang w:val="en-GB" w:eastAsia="en-GB"/>
              </w:rPr>
              <w:t>R</w:t>
            </w:r>
            <w:r w:rsidRPr="009D4605">
              <w:rPr>
                <w:rFonts w:ascii="Arial" w:eastAsia="Times New Roman" w:hAnsi="Arial" w:cs="Arial"/>
                <w:color w:val="666666"/>
                <w:sz w:val="20"/>
                <w:szCs w:val="20"/>
                <w:lang w:val="en-GB" w:eastAsia="en-GB"/>
              </w:rPr>
              <w:t>isk-free curves</w:t>
            </w:r>
            <w:r w:rsidR="008431FB">
              <w:rPr>
                <w:rFonts w:ascii="Arial" w:eastAsia="Times New Roman" w:hAnsi="Arial" w:cs="Arial"/>
                <w:color w:val="666666"/>
                <w:sz w:val="20"/>
                <w:szCs w:val="20"/>
                <w:lang w:val="en-GB" w:eastAsia="en-GB"/>
              </w:rPr>
              <w:t xml:space="preserve"> – U</w:t>
            </w:r>
            <w:r w:rsidR="00581B29">
              <w:rPr>
                <w:rFonts w:ascii="Arial" w:eastAsia="Times New Roman" w:hAnsi="Arial" w:cs="Arial"/>
                <w:color w:val="666666"/>
                <w:sz w:val="20"/>
                <w:szCs w:val="20"/>
                <w:lang w:val="en-GB" w:eastAsia="en-GB"/>
              </w:rPr>
              <w:t>ltimate forward rate (U</w:t>
            </w:r>
            <w:r w:rsidR="008431FB">
              <w:rPr>
                <w:rFonts w:ascii="Arial" w:eastAsia="Times New Roman" w:hAnsi="Arial" w:cs="Arial"/>
                <w:color w:val="666666"/>
                <w:sz w:val="20"/>
                <w:szCs w:val="20"/>
                <w:lang w:val="en-GB" w:eastAsia="en-GB"/>
              </w:rPr>
              <w:t>FR</w:t>
            </w:r>
            <w:r w:rsidR="00581B29">
              <w:rPr>
                <w:rFonts w:ascii="Arial" w:eastAsia="Times New Roman" w:hAnsi="Arial" w:cs="Arial"/>
                <w:color w:val="666666"/>
                <w:sz w:val="20"/>
                <w:szCs w:val="20"/>
                <w:lang w:val="en-GB" w:eastAsia="en-GB"/>
              </w:rPr>
              <w:t>)</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20E4FAC1" w14:textId="77777777" w:rsidR="002C4C95" w:rsidRPr="00A66403" w:rsidRDefault="002C4C95" w:rsidP="001F1866">
            <w:pPr>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61623D9C" w14:textId="50031261" w:rsidR="002C4C95" w:rsidRPr="009D4605" w:rsidRDefault="002C4C95" w:rsidP="001F1866">
            <w:pPr>
              <w:rPr>
                <w:rFonts w:ascii="Verdana" w:hAnsi="Verdana"/>
                <w:sz w:val="17"/>
                <w:szCs w:val="17"/>
                <w:lang w:val="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0E27A4B" w14:textId="5A7747A0" w:rsidR="002C4C95" w:rsidRPr="009D4605" w:rsidRDefault="00452774" w:rsidP="001F1866">
            <w:pPr>
              <w:rPr>
                <w:rFonts w:ascii="Verdana" w:hAnsi="Verdana"/>
                <w:sz w:val="17"/>
                <w:szCs w:val="17"/>
                <w:lang w:val="en-GB"/>
              </w:rPr>
            </w:pPr>
            <w:r>
              <w:rPr>
                <w:rFonts w:ascii="Verdana" w:hAnsi="Verdana"/>
                <w:sz w:val="17"/>
                <w:szCs w:val="17"/>
                <w:lang w:val="en-GB"/>
              </w:rPr>
              <w:t>X</w:t>
            </w:r>
            <w:r w:rsidR="00595725">
              <w:rPr>
                <w:rFonts w:ascii="Verdana" w:hAnsi="Verdana"/>
                <w:sz w:val="17"/>
                <w:szCs w:val="17"/>
                <w:lang w:val="en-GB"/>
              </w:rPr>
              <w:t>X</w:t>
            </w:r>
            <w:r w:rsidR="003A4A2A">
              <w:rPr>
                <w:rFonts w:ascii="Verdana" w:hAnsi="Verdana"/>
                <w:sz w:val="17"/>
                <w:szCs w:val="17"/>
                <w:lang w:val="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B7A42F2" w14:textId="6829FE4A" w:rsidR="002C4C95" w:rsidRPr="009D4605" w:rsidRDefault="00265F68" w:rsidP="001F1866">
            <w:pPr>
              <w:rPr>
                <w:rFonts w:ascii="Verdana" w:hAnsi="Verdana"/>
                <w:sz w:val="17"/>
                <w:szCs w:val="17"/>
                <w:lang w:val="en-GB"/>
              </w:rPr>
            </w:pPr>
            <w:r>
              <w:rPr>
                <w:rFonts w:ascii="Verdana" w:hAnsi="Verdana"/>
                <w:sz w:val="17"/>
                <w:szCs w:val="17"/>
                <w:lang w:val="en-GB"/>
              </w:rPr>
              <w:t>X</w:t>
            </w:r>
            <w:r w:rsidR="00DF3DED">
              <w:rPr>
                <w:rFonts w:ascii="Verdana" w:hAnsi="Verdana"/>
                <w:sz w:val="17"/>
                <w:szCs w:val="17"/>
                <w:lang w:val="en-GB"/>
              </w:rPr>
              <w:t>X</w:t>
            </w:r>
            <w:r w:rsidR="005225ED">
              <w:rPr>
                <w:rFonts w:ascii="Verdana" w:hAnsi="Verdana"/>
                <w:sz w:val="17"/>
                <w:szCs w:val="17"/>
                <w:lang w:val="en-GB"/>
              </w:rPr>
              <w:t>X</w:t>
            </w:r>
          </w:p>
        </w:tc>
      </w:tr>
      <w:tr w:rsidR="008431FB" w:rsidRPr="009D4605" w14:paraId="27CA4205" w14:textId="77777777" w:rsidTr="00A66403">
        <w:trPr>
          <w:trHeight w:val="397"/>
        </w:trPr>
        <w:tc>
          <w:tcPr>
            <w:tcW w:w="562" w:type="dxa"/>
            <w:vMerge/>
            <w:tcBorders>
              <w:right w:val="single" w:sz="4" w:space="0" w:color="auto"/>
            </w:tcBorders>
            <w:shd w:val="clear" w:color="auto" w:fill="F2F2F2" w:themeFill="background1" w:themeFillShade="F2"/>
          </w:tcPr>
          <w:p w14:paraId="05260C66" w14:textId="77777777" w:rsidR="008431FB" w:rsidRPr="00A66403" w:rsidRDefault="008431FB"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FB65D41" w14:textId="2710AF6F" w:rsidR="008431FB" w:rsidRPr="00A66403" w:rsidRDefault="008431FB" w:rsidP="001F1866">
            <w:pPr>
              <w:rPr>
                <w:rFonts w:ascii="Arial" w:eastAsia="Times New Roman" w:hAnsi="Arial" w:cs="Arial"/>
                <w:color w:val="666666"/>
                <w:sz w:val="20"/>
                <w:szCs w:val="20"/>
                <w:lang w:val="en-GB" w:eastAsia="en-GB"/>
              </w:rPr>
            </w:pPr>
            <w:r w:rsidRPr="009D4605">
              <w:rPr>
                <w:rFonts w:ascii="Arial" w:eastAsia="Times New Roman" w:hAnsi="Arial" w:cs="Arial"/>
                <w:color w:val="666666"/>
                <w:sz w:val="20"/>
                <w:szCs w:val="20"/>
                <w:lang w:val="en-GB" w:eastAsia="en-GB"/>
              </w:rPr>
              <w:t xml:space="preserve">LTG - </w:t>
            </w:r>
            <w:r>
              <w:rPr>
                <w:rFonts w:ascii="Arial" w:eastAsia="Times New Roman" w:hAnsi="Arial" w:cs="Arial"/>
                <w:color w:val="666666"/>
                <w:sz w:val="20"/>
                <w:szCs w:val="20"/>
                <w:lang w:val="en-GB" w:eastAsia="en-GB"/>
              </w:rPr>
              <w:t>R</w:t>
            </w:r>
            <w:r w:rsidRPr="009D4605">
              <w:rPr>
                <w:rFonts w:ascii="Arial" w:eastAsia="Times New Roman" w:hAnsi="Arial" w:cs="Arial"/>
                <w:color w:val="666666"/>
                <w:sz w:val="20"/>
                <w:szCs w:val="20"/>
                <w:lang w:val="en-GB" w:eastAsia="en-GB"/>
              </w:rPr>
              <w:t>isk-free curves</w:t>
            </w:r>
            <w:r>
              <w:rPr>
                <w:rFonts w:ascii="Arial" w:eastAsia="Times New Roman" w:hAnsi="Arial" w:cs="Arial"/>
                <w:color w:val="666666"/>
                <w:sz w:val="20"/>
                <w:szCs w:val="20"/>
                <w:lang w:val="en-GB" w:eastAsia="en-GB"/>
              </w:rPr>
              <w:t xml:space="preserve"> – Last liquid point </w:t>
            </w:r>
            <w:r w:rsidR="00581B29">
              <w:rPr>
                <w:rFonts w:ascii="Arial" w:eastAsia="Times New Roman" w:hAnsi="Arial" w:cs="Arial"/>
                <w:color w:val="666666"/>
                <w:sz w:val="20"/>
                <w:szCs w:val="20"/>
                <w:lang w:val="en-GB" w:eastAsia="en-GB"/>
              </w:rPr>
              <w:t>(LLP)</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322442EF" w14:textId="77777777" w:rsidR="008431FB" w:rsidRPr="00A66403" w:rsidRDefault="008431FB" w:rsidP="001F1866">
            <w:pPr>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342886C5" w14:textId="77777777" w:rsidR="008431FB" w:rsidRPr="00A66403" w:rsidRDefault="008431FB" w:rsidP="001F1866">
            <w:pPr>
              <w:rPr>
                <w:rFonts w:ascii="Verdana" w:hAnsi="Verdana"/>
                <w:sz w:val="17"/>
                <w:szCs w:val="17"/>
                <w:lang w:val="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1C6F309" w14:textId="2D039A3F" w:rsidR="008431FB" w:rsidRPr="00A66403" w:rsidRDefault="00452774" w:rsidP="001F1866">
            <w:pPr>
              <w:rPr>
                <w:rFonts w:ascii="Verdana" w:hAnsi="Verdana"/>
                <w:sz w:val="17"/>
                <w:szCs w:val="17"/>
                <w:lang w:val="en-GB"/>
              </w:rPr>
            </w:pPr>
            <w:r>
              <w:rPr>
                <w:rFonts w:ascii="Verdana" w:hAnsi="Verdana"/>
                <w:sz w:val="17"/>
                <w:szCs w:val="17"/>
                <w:lang w:val="en-GB"/>
              </w:rPr>
              <w:t>X</w:t>
            </w:r>
            <w:r w:rsidR="003A4A2A">
              <w:rPr>
                <w:rFonts w:ascii="Verdana" w:hAnsi="Verdana"/>
                <w:sz w:val="17"/>
                <w:szCs w:val="17"/>
                <w:lang w:val="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8664DFB" w14:textId="2E0D3F6A" w:rsidR="008431FB" w:rsidRPr="00A66403" w:rsidRDefault="00265F68" w:rsidP="001F1866">
            <w:pPr>
              <w:rPr>
                <w:rFonts w:ascii="Verdana" w:hAnsi="Verdana"/>
                <w:sz w:val="17"/>
                <w:szCs w:val="17"/>
                <w:lang w:val="en-GB"/>
              </w:rPr>
            </w:pPr>
            <w:r>
              <w:rPr>
                <w:rFonts w:ascii="Verdana" w:hAnsi="Verdana"/>
                <w:sz w:val="17"/>
                <w:szCs w:val="17"/>
                <w:lang w:val="en-GB"/>
              </w:rPr>
              <w:t>X</w:t>
            </w:r>
            <w:r w:rsidR="00DF3DED">
              <w:rPr>
                <w:rFonts w:ascii="Verdana" w:hAnsi="Verdana"/>
                <w:sz w:val="17"/>
                <w:szCs w:val="17"/>
                <w:lang w:val="en-GB"/>
              </w:rPr>
              <w:t>X</w:t>
            </w:r>
            <w:r w:rsidR="005225ED">
              <w:rPr>
                <w:rFonts w:ascii="Verdana" w:hAnsi="Verdana"/>
                <w:sz w:val="17"/>
                <w:szCs w:val="17"/>
                <w:lang w:val="en-GB"/>
              </w:rPr>
              <w:t>X</w:t>
            </w:r>
          </w:p>
        </w:tc>
      </w:tr>
      <w:tr w:rsidR="008431FB" w:rsidRPr="009D4605" w14:paraId="256EC195" w14:textId="77777777" w:rsidTr="00A66403">
        <w:trPr>
          <w:trHeight w:val="397"/>
        </w:trPr>
        <w:tc>
          <w:tcPr>
            <w:tcW w:w="562" w:type="dxa"/>
            <w:vMerge/>
            <w:tcBorders>
              <w:right w:val="single" w:sz="4" w:space="0" w:color="auto"/>
            </w:tcBorders>
            <w:shd w:val="clear" w:color="auto" w:fill="F2F2F2" w:themeFill="background1" w:themeFillShade="F2"/>
          </w:tcPr>
          <w:p w14:paraId="3947EEDD" w14:textId="77777777" w:rsidR="008431FB" w:rsidRPr="00A66403" w:rsidRDefault="008431FB"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7A363C9" w14:textId="17352CB5" w:rsidR="008431FB" w:rsidRPr="00A66403" w:rsidRDefault="008431FB" w:rsidP="001F1866">
            <w:pPr>
              <w:rPr>
                <w:rFonts w:ascii="Arial" w:eastAsia="Times New Roman" w:hAnsi="Arial" w:cs="Arial"/>
                <w:color w:val="666666"/>
                <w:sz w:val="20"/>
                <w:szCs w:val="20"/>
                <w:lang w:val="en-GB" w:eastAsia="en-GB"/>
              </w:rPr>
            </w:pPr>
            <w:r w:rsidRPr="009D4605">
              <w:rPr>
                <w:rFonts w:ascii="Arial" w:eastAsia="Times New Roman" w:hAnsi="Arial" w:cs="Arial"/>
                <w:color w:val="666666"/>
                <w:sz w:val="20"/>
                <w:szCs w:val="20"/>
                <w:lang w:val="en-GB" w:eastAsia="en-GB"/>
              </w:rPr>
              <w:t xml:space="preserve">LTG </w:t>
            </w:r>
            <w:r>
              <w:rPr>
                <w:rFonts w:ascii="Arial" w:eastAsia="Times New Roman" w:hAnsi="Arial" w:cs="Arial"/>
                <w:color w:val="666666"/>
                <w:sz w:val="20"/>
                <w:szCs w:val="20"/>
                <w:lang w:val="en-GB" w:eastAsia="en-GB"/>
              </w:rPr>
              <w:t>-</w:t>
            </w:r>
            <w:r w:rsidRPr="009D4605">
              <w:rPr>
                <w:rFonts w:ascii="Arial" w:eastAsia="Times New Roman" w:hAnsi="Arial" w:cs="Arial"/>
                <w:color w:val="666666"/>
                <w:sz w:val="20"/>
                <w:szCs w:val="20"/>
                <w:lang w:val="en-GB" w:eastAsia="en-GB"/>
              </w:rPr>
              <w:t xml:space="preserve"> </w:t>
            </w:r>
            <w:r>
              <w:rPr>
                <w:rFonts w:ascii="Arial" w:eastAsia="Times New Roman" w:hAnsi="Arial" w:cs="Arial"/>
                <w:color w:val="666666"/>
                <w:sz w:val="20"/>
                <w:szCs w:val="20"/>
                <w:lang w:val="en-GB" w:eastAsia="en-GB"/>
              </w:rPr>
              <w:t>R</w:t>
            </w:r>
            <w:r w:rsidRPr="009D4605">
              <w:rPr>
                <w:rFonts w:ascii="Arial" w:eastAsia="Times New Roman" w:hAnsi="Arial" w:cs="Arial"/>
                <w:color w:val="666666"/>
                <w:sz w:val="20"/>
                <w:szCs w:val="20"/>
                <w:lang w:val="en-GB" w:eastAsia="en-GB"/>
              </w:rPr>
              <w:t>isk-free curves</w:t>
            </w:r>
            <w:r w:rsidRPr="00A66403">
              <w:rPr>
                <w:rFonts w:ascii="Arial" w:eastAsia="Times New Roman" w:hAnsi="Arial" w:cs="Arial"/>
                <w:color w:val="666666"/>
                <w:sz w:val="20"/>
                <w:szCs w:val="20"/>
                <w:lang w:val="en-GB" w:eastAsia="en-GB"/>
              </w:rPr>
              <w:t xml:space="preserve"> </w:t>
            </w:r>
            <w:r>
              <w:rPr>
                <w:rFonts w:ascii="Arial" w:eastAsia="Times New Roman" w:hAnsi="Arial" w:cs="Arial"/>
                <w:color w:val="666666"/>
                <w:sz w:val="20"/>
                <w:szCs w:val="20"/>
                <w:lang w:val="en-GB" w:eastAsia="en-GB"/>
              </w:rPr>
              <w:t>–</w:t>
            </w:r>
            <w:r w:rsidRPr="00A66403">
              <w:rPr>
                <w:rFonts w:ascii="Arial" w:eastAsia="Times New Roman" w:hAnsi="Arial" w:cs="Arial"/>
                <w:color w:val="666666"/>
                <w:sz w:val="20"/>
                <w:szCs w:val="20"/>
                <w:lang w:val="en-GB" w:eastAsia="en-GB"/>
              </w:rPr>
              <w:t xml:space="preserve"> C</w:t>
            </w:r>
            <w:r>
              <w:rPr>
                <w:rFonts w:ascii="Arial" w:eastAsia="Times New Roman" w:hAnsi="Arial" w:cs="Arial"/>
                <w:color w:val="666666"/>
                <w:sz w:val="20"/>
                <w:szCs w:val="20"/>
                <w:lang w:val="en-GB" w:eastAsia="en-GB"/>
              </w:rPr>
              <w:t xml:space="preserve">onvergence </w:t>
            </w:r>
            <w:r w:rsidR="00A86781">
              <w:rPr>
                <w:rFonts w:ascii="Arial" w:eastAsia="Times New Roman" w:hAnsi="Arial" w:cs="Arial"/>
                <w:color w:val="666666"/>
                <w:sz w:val="20"/>
                <w:szCs w:val="20"/>
                <w:lang w:val="en-GB" w:eastAsia="en-GB"/>
              </w:rPr>
              <w:t>point</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7237E524" w14:textId="77777777" w:rsidR="008431FB" w:rsidRPr="00A66403" w:rsidRDefault="008431FB" w:rsidP="001F1866">
            <w:pPr>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655E8F16" w14:textId="77777777" w:rsidR="008431FB" w:rsidRPr="00A66403" w:rsidRDefault="008431FB" w:rsidP="001F1866">
            <w:pPr>
              <w:rPr>
                <w:rFonts w:ascii="Verdana" w:hAnsi="Verdana"/>
                <w:sz w:val="17"/>
                <w:szCs w:val="17"/>
                <w:lang w:val="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77A42651" w14:textId="63A0027C" w:rsidR="008431FB" w:rsidRPr="00A66403" w:rsidRDefault="00452774" w:rsidP="001F1866">
            <w:pPr>
              <w:rPr>
                <w:rFonts w:ascii="Verdana" w:hAnsi="Verdana"/>
                <w:sz w:val="17"/>
                <w:szCs w:val="17"/>
                <w:lang w:val="en-GB"/>
              </w:rPr>
            </w:pPr>
            <w:r>
              <w:rPr>
                <w:rFonts w:ascii="Verdana" w:hAnsi="Verdana"/>
                <w:sz w:val="17"/>
                <w:szCs w:val="17"/>
                <w:lang w:val="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6F5EDDC5" w14:textId="7E41238C" w:rsidR="008431FB" w:rsidRPr="00A66403" w:rsidRDefault="00265F68" w:rsidP="001F1866">
            <w:pPr>
              <w:rPr>
                <w:rFonts w:ascii="Verdana" w:hAnsi="Verdana"/>
                <w:sz w:val="17"/>
                <w:szCs w:val="17"/>
                <w:lang w:val="en-GB"/>
              </w:rPr>
            </w:pPr>
            <w:r>
              <w:rPr>
                <w:rFonts w:ascii="Verdana" w:hAnsi="Verdana"/>
                <w:sz w:val="17"/>
                <w:szCs w:val="17"/>
                <w:lang w:val="en-GB"/>
              </w:rPr>
              <w:t>X</w:t>
            </w:r>
            <w:r w:rsidR="00DF3DED">
              <w:rPr>
                <w:rFonts w:ascii="Verdana" w:hAnsi="Verdana"/>
                <w:sz w:val="17"/>
                <w:szCs w:val="17"/>
                <w:lang w:val="en-GB"/>
              </w:rPr>
              <w:t>X</w:t>
            </w:r>
            <w:r w:rsidR="005225ED">
              <w:rPr>
                <w:rFonts w:ascii="Verdana" w:hAnsi="Verdana"/>
                <w:sz w:val="17"/>
                <w:szCs w:val="17"/>
                <w:lang w:val="en-GB"/>
              </w:rPr>
              <w:t>X</w:t>
            </w:r>
            <w:r w:rsidR="003A4A2A">
              <w:rPr>
                <w:rFonts w:ascii="Verdana" w:hAnsi="Verdana"/>
                <w:sz w:val="17"/>
                <w:szCs w:val="17"/>
                <w:lang w:val="en-GB"/>
              </w:rPr>
              <w:t>X</w:t>
            </w:r>
          </w:p>
        </w:tc>
      </w:tr>
      <w:tr w:rsidR="008431FB" w:rsidRPr="009D4605" w14:paraId="547BFDF0" w14:textId="77777777" w:rsidTr="00A66403">
        <w:trPr>
          <w:trHeight w:val="397"/>
        </w:trPr>
        <w:tc>
          <w:tcPr>
            <w:tcW w:w="562" w:type="dxa"/>
            <w:vMerge/>
            <w:tcBorders>
              <w:right w:val="single" w:sz="4" w:space="0" w:color="auto"/>
            </w:tcBorders>
            <w:shd w:val="clear" w:color="auto" w:fill="F2F2F2" w:themeFill="background1" w:themeFillShade="F2"/>
          </w:tcPr>
          <w:p w14:paraId="07C7A504" w14:textId="77777777" w:rsidR="008431FB" w:rsidRPr="00A66403" w:rsidRDefault="008431FB"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1123F0E" w14:textId="3800D251" w:rsidR="008431FB" w:rsidRPr="00A66403" w:rsidRDefault="008431FB" w:rsidP="001F1866">
            <w:pPr>
              <w:rPr>
                <w:rFonts w:ascii="Arial" w:eastAsia="Times New Roman" w:hAnsi="Arial" w:cs="Arial"/>
                <w:color w:val="666666"/>
                <w:sz w:val="20"/>
                <w:szCs w:val="20"/>
                <w:lang w:val="en-GB" w:eastAsia="en-GB"/>
              </w:rPr>
            </w:pPr>
            <w:r w:rsidRPr="009D4605">
              <w:rPr>
                <w:rFonts w:ascii="Arial" w:eastAsia="Times New Roman" w:hAnsi="Arial" w:cs="Arial"/>
                <w:color w:val="666666"/>
                <w:sz w:val="20"/>
                <w:szCs w:val="20"/>
                <w:lang w:val="en-GB" w:eastAsia="en-GB"/>
              </w:rPr>
              <w:t xml:space="preserve">LTG </w:t>
            </w:r>
            <w:r>
              <w:rPr>
                <w:rFonts w:ascii="Arial" w:eastAsia="Times New Roman" w:hAnsi="Arial" w:cs="Arial"/>
                <w:color w:val="666666"/>
                <w:sz w:val="20"/>
                <w:szCs w:val="20"/>
                <w:lang w:val="en-GB" w:eastAsia="en-GB"/>
              </w:rPr>
              <w:t>-</w:t>
            </w:r>
            <w:r w:rsidRPr="009D4605">
              <w:rPr>
                <w:rFonts w:ascii="Arial" w:eastAsia="Times New Roman" w:hAnsi="Arial" w:cs="Arial"/>
                <w:color w:val="666666"/>
                <w:sz w:val="20"/>
                <w:szCs w:val="20"/>
                <w:lang w:val="en-GB" w:eastAsia="en-GB"/>
              </w:rPr>
              <w:t xml:space="preserve"> </w:t>
            </w:r>
            <w:r>
              <w:rPr>
                <w:rFonts w:ascii="Arial" w:eastAsia="Times New Roman" w:hAnsi="Arial" w:cs="Arial"/>
                <w:color w:val="666666"/>
                <w:sz w:val="20"/>
                <w:szCs w:val="20"/>
                <w:lang w:val="en-GB" w:eastAsia="en-GB"/>
              </w:rPr>
              <w:t>R</w:t>
            </w:r>
            <w:r w:rsidRPr="009D4605">
              <w:rPr>
                <w:rFonts w:ascii="Arial" w:eastAsia="Times New Roman" w:hAnsi="Arial" w:cs="Arial"/>
                <w:color w:val="666666"/>
                <w:sz w:val="20"/>
                <w:szCs w:val="20"/>
                <w:lang w:val="en-GB" w:eastAsia="en-GB"/>
              </w:rPr>
              <w:t>isk-free curves</w:t>
            </w:r>
            <w:r w:rsidRPr="00A66403">
              <w:rPr>
                <w:rFonts w:ascii="Arial" w:eastAsia="Times New Roman" w:hAnsi="Arial" w:cs="Arial"/>
                <w:color w:val="666666"/>
                <w:sz w:val="20"/>
                <w:szCs w:val="20"/>
                <w:lang w:val="en-GB" w:eastAsia="en-GB"/>
              </w:rPr>
              <w:t xml:space="preserve"> </w:t>
            </w:r>
            <w:r>
              <w:rPr>
                <w:rFonts w:ascii="Arial" w:eastAsia="Times New Roman" w:hAnsi="Arial" w:cs="Arial"/>
                <w:color w:val="666666"/>
                <w:sz w:val="20"/>
                <w:szCs w:val="20"/>
                <w:lang w:val="en-GB" w:eastAsia="en-GB"/>
              </w:rPr>
              <w:t>–</w:t>
            </w:r>
            <w:r w:rsidRPr="00A66403">
              <w:rPr>
                <w:rFonts w:ascii="Arial" w:eastAsia="Times New Roman" w:hAnsi="Arial" w:cs="Arial"/>
                <w:color w:val="666666"/>
                <w:sz w:val="20"/>
                <w:szCs w:val="20"/>
                <w:lang w:val="en-GB" w:eastAsia="en-GB"/>
              </w:rPr>
              <w:t xml:space="preserve"> </w:t>
            </w:r>
            <w:r w:rsidR="00B81142">
              <w:rPr>
                <w:rFonts w:ascii="Arial" w:eastAsia="Times New Roman" w:hAnsi="Arial" w:cs="Arial"/>
                <w:color w:val="666666"/>
                <w:sz w:val="20"/>
                <w:szCs w:val="20"/>
                <w:lang w:val="en-GB" w:eastAsia="en-GB"/>
              </w:rPr>
              <w:t xml:space="preserve">Smith Wilson </w:t>
            </w:r>
            <w:r w:rsidR="004B4058">
              <w:rPr>
                <w:rFonts w:ascii="Arial" w:eastAsia="Times New Roman" w:hAnsi="Arial" w:cs="Arial"/>
                <w:color w:val="666666"/>
                <w:sz w:val="20"/>
                <w:szCs w:val="20"/>
                <w:lang w:val="en-GB" w:eastAsia="en-GB"/>
              </w:rPr>
              <w:t>e</w:t>
            </w:r>
            <w:r w:rsidR="00B81142">
              <w:rPr>
                <w:rFonts w:ascii="Arial" w:eastAsia="Times New Roman" w:hAnsi="Arial" w:cs="Arial"/>
                <w:color w:val="666666"/>
                <w:sz w:val="20"/>
                <w:szCs w:val="20"/>
                <w:lang w:val="en-GB" w:eastAsia="en-GB"/>
              </w:rPr>
              <w:t xml:space="preserve">xtrapolation </w:t>
            </w:r>
            <w:r>
              <w:rPr>
                <w:rFonts w:ascii="Arial" w:eastAsia="Times New Roman" w:hAnsi="Arial" w:cs="Arial"/>
                <w:color w:val="666666"/>
                <w:sz w:val="20"/>
                <w:szCs w:val="20"/>
                <w:lang w:val="en-GB" w:eastAsia="en-GB"/>
              </w:rPr>
              <w:t xml:space="preserve">methodology </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0409C332" w14:textId="77777777" w:rsidR="008431FB" w:rsidRPr="00A66403" w:rsidRDefault="008431FB" w:rsidP="001F1866">
            <w:pPr>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0592171B" w14:textId="77777777" w:rsidR="008431FB" w:rsidRPr="00A66403" w:rsidRDefault="008431FB" w:rsidP="001F1866">
            <w:pPr>
              <w:rPr>
                <w:rFonts w:ascii="Verdana" w:hAnsi="Verdana"/>
                <w:sz w:val="17"/>
                <w:szCs w:val="17"/>
                <w:lang w:val="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08D144A" w14:textId="77777777" w:rsidR="008431FB" w:rsidRPr="00A66403" w:rsidRDefault="008431FB" w:rsidP="001F1866">
            <w:pPr>
              <w:rPr>
                <w:rFonts w:ascii="Verdana" w:hAnsi="Verdana"/>
                <w:sz w:val="17"/>
                <w:szCs w:val="17"/>
                <w:lang w:val="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4F503E89" w14:textId="23FDA8B3" w:rsidR="008431FB" w:rsidRPr="00A66403" w:rsidRDefault="00452774" w:rsidP="001F1866">
            <w:pPr>
              <w:rPr>
                <w:rFonts w:ascii="Verdana" w:hAnsi="Verdana"/>
                <w:sz w:val="17"/>
                <w:szCs w:val="17"/>
                <w:lang w:val="en-GB"/>
              </w:rPr>
            </w:pPr>
            <w:r>
              <w:rPr>
                <w:rFonts w:ascii="Verdana" w:hAnsi="Verdana"/>
                <w:sz w:val="17"/>
                <w:szCs w:val="17"/>
                <w:lang w:val="en-GB"/>
              </w:rPr>
              <w:t>X</w:t>
            </w:r>
            <w:r w:rsidR="00265F68">
              <w:rPr>
                <w:rFonts w:ascii="Verdana" w:hAnsi="Verdana"/>
                <w:sz w:val="17"/>
                <w:szCs w:val="17"/>
                <w:lang w:val="en-GB"/>
              </w:rPr>
              <w:t>X</w:t>
            </w:r>
            <w:r w:rsidR="00DF3DED">
              <w:rPr>
                <w:rFonts w:ascii="Verdana" w:hAnsi="Verdana"/>
                <w:sz w:val="17"/>
                <w:szCs w:val="17"/>
                <w:lang w:val="en-GB"/>
              </w:rPr>
              <w:t>X</w:t>
            </w:r>
            <w:r w:rsidR="005225ED">
              <w:rPr>
                <w:rFonts w:ascii="Verdana" w:hAnsi="Verdana"/>
                <w:sz w:val="17"/>
                <w:szCs w:val="17"/>
                <w:lang w:val="en-GB"/>
              </w:rPr>
              <w:t>X</w:t>
            </w:r>
            <w:r w:rsidR="003A4A2A">
              <w:rPr>
                <w:rFonts w:ascii="Verdana" w:hAnsi="Verdana"/>
                <w:sz w:val="17"/>
                <w:szCs w:val="17"/>
                <w:lang w:val="en-GB"/>
              </w:rPr>
              <w:t>X</w:t>
            </w:r>
          </w:p>
        </w:tc>
      </w:tr>
      <w:tr w:rsidR="008431FB" w:rsidRPr="009D4605" w14:paraId="69CEB831" w14:textId="77777777" w:rsidTr="00A66403">
        <w:trPr>
          <w:trHeight w:val="397"/>
        </w:trPr>
        <w:tc>
          <w:tcPr>
            <w:tcW w:w="562" w:type="dxa"/>
            <w:vMerge/>
            <w:tcBorders>
              <w:right w:val="single" w:sz="4" w:space="0" w:color="auto"/>
            </w:tcBorders>
            <w:shd w:val="clear" w:color="auto" w:fill="F2F2F2" w:themeFill="background1" w:themeFillShade="F2"/>
          </w:tcPr>
          <w:p w14:paraId="3285C588" w14:textId="77777777" w:rsidR="008431FB" w:rsidRPr="00A66403" w:rsidRDefault="008431FB"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0F7C859" w14:textId="316DCA7C" w:rsidR="008431FB" w:rsidRPr="00A66403" w:rsidRDefault="008431FB" w:rsidP="001F1866">
            <w:pPr>
              <w:rPr>
                <w:rFonts w:ascii="Arial" w:eastAsia="Times New Roman" w:hAnsi="Arial" w:cs="Arial"/>
                <w:color w:val="666666"/>
                <w:sz w:val="20"/>
                <w:szCs w:val="20"/>
                <w:lang w:val="en-GB" w:eastAsia="en-GB"/>
              </w:rPr>
            </w:pPr>
            <w:r w:rsidRPr="009D4605">
              <w:rPr>
                <w:rFonts w:ascii="Arial" w:eastAsia="Times New Roman" w:hAnsi="Arial" w:cs="Arial"/>
                <w:color w:val="666666"/>
                <w:sz w:val="20"/>
                <w:szCs w:val="20"/>
                <w:lang w:val="en-GB" w:eastAsia="en-GB"/>
              </w:rPr>
              <w:t xml:space="preserve">LTG </w:t>
            </w:r>
            <w:r>
              <w:rPr>
                <w:rFonts w:ascii="Arial" w:eastAsia="Times New Roman" w:hAnsi="Arial" w:cs="Arial"/>
                <w:color w:val="666666"/>
                <w:sz w:val="20"/>
                <w:szCs w:val="20"/>
                <w:lang w:val="en-GB" w:eastAsia="en-GB"/>
              </w:rPr>
              <w:t>-</w:t>
            </w:r>
            <w:r w:rsidRPr="009D4605">
              <w:rPr>
                <w:rFonts w:ascii="Arial" w:eastAsia="Times New Roman" w:hAnsi="Arial" w:cs="Arial"/>
                <w:color w:val="666666"/>
                <w:sz w:val="20"/>
                <w:szCs w:val="20"/>
                <w:lang w:val="en-GB" w:eastAsia="en-GB"/>
              </w:rPr>
              <w:t xml:space="preserve"> </w:t>
            </w:r>
            <w:r>
              <w:rPr>
                <w:rFonts w:ascii="Arial" w:eastAsia="Times New Roman" w:hAnsi="Arial" w:cs="Arial"/>
                <w:color w:val="666666"/>
                <w:sz w:val="20"/>
                <w:szCs w:val="20"/>
                <w:lang w:val="en-GB" w:eastAsia="en-GB"/>
              </w:rPr>
              <w:t>R</w:t>
            </w:r>
            <w:r w:rsidRPr="009D4605">
              <w:rPr>
                <w:rFonts w:ascii="Arial" w:eastAsia="Times New Roman" w:hAnsi="Arial" w:cs="Arial"/>
                <w:color w:val="666666"/>
                <w:sz w:val="20"/>
                <w:szCs w:val="20"/>
                <w:lang w:val="en-GB" w:eastAsia="en-GB"/>
              </w:rPr>
              <w:t>isk-free curves</w:t>
            </w:r>
            <w:r w:rsidRPr="00A66403">
              <w:rPr>
                <w:rFonts w:ascii="Arial" w:eastAsia="Times New Roman" w:hAnsi="Arial" w:cs="Arial"/>
                <w:color w:val="666666"/>
                <w:sz w:val="20"/>
                <w:szCs w:val="20"/>
                <w:lang w:val="en-GB" w:eastAsia="en-GB"/>
              </w:rPr>
              <w:t xml:space="preserve"> </w:t>
            </w:r>
            <w:r>
              <w:rPr>
                <w:rFonts w:ascii="Arial" w:eastAsia="Times New Roman" w:hAnsi="Arial" w:cs="Arial"/>
                <w:color w:val="666666"/>
                <w:sz w:val="20"/>
                <w:szCs w:val="20"/>
                <w:lang w:val="en-GB" w:eastAsia="en-GB"/>
              </w:rPr>
              <w:t>–</w:t>
            </w:r>
            <w:r w:rsidRPr="00A66403">
              <w:rPr>
                <w:rFonts w:ascii="Arial" w:eastAsia="Times New Roman" w:hAnsi="Arial" w:cs="Arial"/>
                <w:color w:val="666666"/>
                <w:sz w:val="20"/>
                <w:szCs w:val="20"/>
                <w:lang w:val="en-GB" w:eastAsia="en-GB"/>
              </w:rPr>
              <w:t xml:space="preserve"> C</w:t>
            </w:r>
            <w:r>
              <w:rPr>
                <w:rFonts w:ascii="Arial" w:eastAsia="Times New Roman" w:hAnsi="Arial" w:cs="Arial"/>
                <w:color w:val="666666"/>
                <w:sz w:val="20"/>
                <w:szCs w:val="20"/>
                <w:lang w:val="en-GB" w:eastAsia="en-GB"/>
              </w:rPr>
              <w:t>redit Risk Adjustment</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4CCDE548" w14:textId="553D91CD" w:rsidR="008431FB" w:rsidRPr="00A66403" w:rsidRDefault="003A4A2A" w:rsidP="001F1866">
            <w:pPr>
              <w:rPr>
                <w:rFonts w:ascii="Verdana" w:hAnsi="Verdana"/>
                <w:sz w:val="17"/>
                <w:szCs w:val="17"/>
                <w:lang w:val="en-GB"/>
              </w:rPr>
            </w:pPr>
            <w:r>
              <w:rPr>
                <w:rFonts w:ascii="Verdana" w:hAnsi="Verdana"/>
                <w:sz w:val="17"/>
                <w:szCs w:val="17"/>
                <w:lang w:val="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11E1EB07" w14:textId="76AD2DBD" w:rsidR="008431FB" w:rsidRPr="00A66403" w:rsidRDefault="00DF3DED" w:rsidP="001F1866">
            <w:pPr>
              <w:rPr>
                <w:rFonts w:ascii="Verdana" w:hAnsi="Verdana"/>
                <w:sz w:val="17"/>
                <w:szCs w:val="17"/>
                <w:lang w:val="en-GB"/>
              </w:rPr>
            </w:pPr>
            <w:r>
              <w:rPr>
                <w:rFonts w:ascii="Verdana" w:hAnsi="Verdana"/>
                <w:sz w:val="17"/>
                <w:szCs w:val="17"/>
                <w:lang w:val="en-GB"/>
              </w:rPr>
              <w:t>X</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2302264A" w14:textId="65BF406F" w:rsidR="008431FB" w:rsidRPr="00A66403" w:rsidRDefault="00595725" w:rsidP="001F1866">
            <w:pPr>
              <w:rPr>
                <w:rFonts w:ascii="Verdana" w:hAnsi="Verdana"/>
                <w:sz w:val="17"/>
                <w:szCs w:val="17"/>
                <w:lang w:val="en-GB"/>
              </w:rPr>
            </w:pPr>
            <w:r>
              <w:rPr>
                <w:rFonts w:ascii="Verdana" w:hAnsi="Verdana"/>
                <w:sz w:val="17"/>
                <w:szCs w:val="17"/>
                <w:lang w:val="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2483A7F2" w14:textId="543F2CBC" w:rsidR="008431FB" w:rsidRPr="00A66403" w:rsidRDefault="00452774" w:rsidP="001F1866">
            <w:pPr>
              <w:rPr>
                <w:rFonts w:ascii="Verdana" w:hAnsi="Verdana"/>
                <w:sz w:val="17"/>
                <w:szCs w:val="17"/>
                <w:lang w:val="en-GB"/>
              </w:rPr>
            </w:pPr>
            <w:r>
              <w:rPr>
                <w:rFonts w:ascii="Verdana" w:hAnsi="Verdana"/>
                <w:sz w:val="17"/>
                <w:szCs w:val="17"/>
                <w:lang w:val="en-GB"/>
              </w:rPr>
              <w:t>X</w:t>
            </w:r>
            <w:r w:rsidR="00265F68">
              <w:rPr>
                <w:rFonts w:ascii="Verdana" w:hAnsi="Verdana"/>
                <w:sz w:val="17"/>
                <w:szCs w:val="17"/>
                <w:lang w:val="en-GB"/>
              </w:rPr>
              <w:t>X</w:t>
            </w:r>
            <w:r w:rsidR="005225ED">
              <w:rPr>
                <w:rFonts w:ascii="Verdana" w:hAnsi="Verdana"/>
                <w:sz w:val="17"/>
                <w:szCs w:val="17"/>
                <w:lang w:val="en-GB"/>
              </w:rPr>
              <w:t>X</w:t>
            </w:r>
          </w:p>
        </w:tc>
      </w:tr>
      <w:tr w:rsidR="002C4C95" w:rsidRPr="009D4605" w14:paraId="695B6F75" w14:textId="77777777" w:rsidTr="00A66403">
        <w:trPr>
          <w:trHeight w:val="397"/>
        </w:trPr>
        <w:tc>
          <w:tcPr>
            <w:tcW w:w="562" w:type="dxa"/>
            <w:vMerge/>
            <w:tcBorders>
              <w:right w:val="single" w:sz="4" w:space="0" w:color="auto"/>
            </w:tcBorders>
            <w:shd w:val="clear" w:color="auto" w:fill="F2F2F2" w:themeFill="background1" w:themeFillShade="F2"/>
          </w:tcPr>
          <w:p w14:paraId="00A29B2C" w14:textId="77777777" w:rsidR="002C4C95" w:rsidRPr="009D4605" w:rsidRDefault="002C4C95"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79279ECE" w14:textId="18FBCF23" w:rsidR="002C4C95" w:rsidRPr="009D4605" w:rsidRDefault="002C4C95" w:rsidP="001F1866">
            <w:pPr>
              <w:rPr>
                <w:rFonts w:ascii="Verdana" w:hAnsi="Verdana"/>
                <w:sz w:val="17"/>
                <w:szCs w:val="17"/>
                <w:lang w:val="en-GB"/>
              </w:rPr>
            </w:pPr>
            <w:r w:rsidRPr="009D4605">
              <w:rPr>
                <w:rFonts w:ascii="Arial" w:eastAsia="Times New Roman" w:hAnsi="Arial" w:cs="Arial"/>
                <w:color w:val="666666"/>
                <w:sz w:val="20"/>
                <w:szCs w:val="20"/>
                <w:lang w:val="en-GB" w:eastAsia="en-GB"/>
              </w:rPr>
              <w:t>LTG - Duration-based equity risk submodule</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6F5EF05B" w14:textId="360F36D9" w:rsidR="002C4C95" w:rsidRPr="00A66403" w:rsidRDefault="003A4A2A" w:rsidP="001F1866">
            <w:pPr>
              <w:rPr>
                <w:rFonts w:ascii="Verdana" w:hAnsi="Verdana"/>
                <w:sz w:val="17"/>
                <w:szCs w:val="17"/>
                <w:lang w:val="en-GB"/>
              </w:rPr>
            </w:pPr>
            <w:r>
              <w:rPr>
                <w:rFonts w:ascii="Verdana" w:hAnsi="Verdana"/>
                <w:sz w:val="17"/>
                <w:szCs w:val="17"/>
                <w:lang w:val="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00042B0B" w14:textId="0560D884" w:rsidR="002C4C95" w:rsidRPr="009D4605" w:rsidRDefault="002C4C95" w:rsidP="001F1866">
            <w:pPr>
              <w:rPr>
                <w:rFonts w:ascii="Verdana" w:hAnsi="Verdana"/>
                <w:sz w:val="17"/>
                <w:szCs w:val="17"/>
                <w:lang w:val="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3AF3FAB8" w14:textId="2633EDCF" w:rsidR="002C4C95" w:rsidRPr="009D4605" w:rsidRDefault="00452774" w:rsidP="001F1866">
            <w:pPr>
              <w:rPr>
                <w:rFonts w:ascii="Verdana" w:hAnsi="Verdana"/>
                <w:sz w:val="17"/>
                <w:szCs w:val="17"/>
                <w:lang w:val="en-GB"/>
              </w:rPr>
            </w:pPr>
            <w:r>
              <w:rPr>
                <w:rFonts w:ascii="Verdana" w:hAnsi="Verdana"/>
                <w:sz w:val="17"/>
                <w:szCs w:val="17"/>
                <w:lang w:val="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3CE647C0" w14:textId="16A4018A" w:rsidR="002C4C95" w:rsidRPr="009D4605" w:rsidRDefault="00265F68" w:rsidP="001F1866">
            <w:pPr>
              <w:rPr>
                <w:rFonts w:ascii="Verdana" w:hAnsi="Verdana"/>
                <w:sz w:val="17"/>
                <w:szCs w:val="17"/>
                <w:lang w:val="en-GB"/>
              </w:rPr>
            </w:pPr>
            <w:r>
              <w:rPr>
                <w:rFonts w:ascii="Verdana" w:hAnsi="Verdana"/>
                <w:sz w:val="17"/>
                <w:szCs w:val="17"/>
                <w:lang w:val="en-GB"/>
              </w:rPr>
              <w:t>X</w:t>
            </w:r>
            <w:r w:rsidR="00DF3DED">
              <w:rPr>
                <w:rFonts w:ascii="Verdana" w:hAnsi="Verdana"/>
                <w:sz w:val="17"/>
                <w:szCs w:val="17"/>
                <w:lang w:val="en-GB"/>
              </w:rPr>
              <w:t>X</w:t>
            </w:r>
            <w:r w:rsidR="005225ED">
              <w:rPr>
                <w:rFonts w:ascii="Verdana" w:hAnsi="Verdana"/>
                <w:sz w:val="17"/>
                <w:szCs w:val="17"/>
                <w:lang w:val="en-GB"/>
              </w:rPr>
              <w:t>X</w:t>
            </w:r>
          </w:p>
        </w:tc>
      </w:tr>
      <w:tr w:rsidR="002C4C95" w:rsidRPr="009D4605" w14:paraId="37AB8B70" w14:textId="77777777" w:rsidTr="00A66403">
        <w:trPr>
          <w:trHeight w:val="397"/>
        </w:trPr>
        <w:tc>
          <w:tcPr>
            <w:tcW w:w="562" w:type="dxa"/>
            <w:vMerge/>
            <w:tcBorders>
              <w:right w:val="single" w:sz="4" w:space="0" w:color="auto"/>
            </w:tcBorders>
            <w:shd w:val="clear" w:color="auto" w:fill="F2F2F2" w:themeFill="background1" w:themeFillShade="F2"/>
          </w:tcPr>
          <w:p w14:paraId="73CFCC1E" w14:textId="77777777" w:rsidR="002C4C95" w:rsidRPr="009D4605" w:rsidRDefault="002C4C95"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05D69B54" w14:textId="0F4623EC" w:rsidR="002C4C95" w:rsidRPr="009D4605" w:rsidRDefault="002C4C95" w:rsidP="001F1866">
            <w:pPr>
              <w:rPr>
                <w:rFonts w:ascii="Arial" w:eastAsia="Times New Roman" w:hAnsi="Arial" w:cs="Arial"/>
                <w:color w:val="666666"/>
                <w:sz w:val="20"/>
                <w:szCs w:val="20"/>
                <w:lang w:val="en-GB" w:eastAsia="en-GB"/>
              </w:rPr>
            </w:pPr>
            <w:r w:rsidRPr="009D4605">
              <w:rPr>
                <w:rFonts w:ascii="Arial" w:eastAsia="Times New Roman" w:hAnsi="Arial" w:cs="Arial"/>
                <w:color w:val="666666"/>
                <w:sz w:val="20"/>
                <w:szCs w:val="20"/>
                <w:lang w:val="en-GB" w:eastAsia="en-GB"/>
              </w:rPr>
              <w:t>LTG - Symmetric adjustment to equity risk</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77CF6E30" w14:textId="77777777" w:rsidR="002C4C95" w:rsidRPr="00A66403" w:rsidRDefault="002C4C95" w:rsidP="001F1866">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1511A5E2" w14:textId="2E68714D" w:rsidR="002C4C95" w:rsidRPr="009D4605" w:rsidRDefault="002C4C95" w:rsidP="001F1866">
            <w:pPr>
              <w:rPr>
                <w:rFonts w:ascii="Arial" w:eastAsia="Times New Roman" w:hAnsi="Arial" w:cs="Arial"/>
                <w:color w:val="666666"/>
                <w:sz w:val="20"/>
                <w:szCs w:val="20"/>
                <w:lang w:val="en-GB" w:eastAsia="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611583B3" w14:textId="00B7E05A" w:rsidR="002C4C95" w:rsidRPr="009D4605" w:rsidRDefault="00265F68" w:rsidP="001F1866">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X</w:t>
            </w:r>
            <w:r w:rsidR="003A4A2A">
              <w:rPr>
                <w:rFonts w:ascii="Arial" w:eastAsia="Times New Roman" w:hAnsi="Arial" w:cs="Arial"/>
                <w:color w:val="666666"/>
                <w:sz w:val="20"/>
                <w:szCs w:val="20"/>
                <w:lang w:val="en-GB" w:eastAsia="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16A5780" w14:textId="2CDBCB6C" w:rsidR="002C4C95" w:rsidRPr="009D4605" w:rsidRDefault="00452774" w:rsidP="001F1866">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X</w:t>
            </w:r>
            <w:r w:rsidR="00DF3DED">
              <w:rPr>
                <w:rFonts w:ascii="Arial" w:eastAsia="Times New Roman" w:hAnsi="Arial" w:cs="Arial"/>
                <w:color w:val="666666"/>
                <w:sz w:val="20"/>
                <w:szCs w:val="20"/>
                <w:lang w:val="en-GB" w:eastAsia="en-GB"/>
              </w:rPr>
              <w:t>X</w:t>
            </w:r>
            <w:r w:rsidR="005225ED">
              <w:rPr>
                <w:rFonts w:ascii="Arial" w:eastAsia="Times New Roman" w:hAnsi="Arial" w:cs="Arial"/>
                <w:color w:val="666666"/>
                <w:sz w:val="20"/>
                <w:szCs w:val="20"/>
                <w:lang w:val="en-GB" w:eastAsia="en-GB"/>
              </w:rPr>
              <w:t>X</w:t>
            </w:r>
          </w:p>
        </w:tc>
      </w:tr>
      <w:tr w:rsidR="002C4C95" w:rsidRPr="009D4605" w14:paraId="61A43A78" w14:textId="77777777" w:rsidTr="00A66403">
        <w:trPr>
          <w:trHeight w:val="397"/>
        </w:trPr>
        <w:tc>
          <w:tcPr>
            <w:tcW w:w="562" w:type="dxa"/>
            <w:vMerge/>
            <w:tcBorders>
              <w:right w:val="single" w:sz="4" w:space="0" w:color="auto"/>
            </w:tcBorders>
            <w:shd w:val="clear" w:color="auto" w:fill="F2F2F2" w:themeFill="background1" w:themeFillShade="F2"/>
          </w:tcPr>
          <w:p w14:paraId="4B111B88" w14:textId="77777777" w:rsidR="002C4C95" w:rsidRPr="009D4605" w:rsidRDefault="002C4C95"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6A5A140F" w14:textId="10DCBCAD" w:rsidR="002C4C95" w:rsidRPr="009D4605" w:rsidRDefault="002C4C95" w:rsidP="001F1866">
            <w:pPr>
              <w:rPr>
                <w:rFonts w:ascii="Arial" w:eastAsia="Times New Roman" w:hAnsi="Arial" w:cs="Arial"/>
                <w:color w:val="666666"/>
                <w:sz w:val="20"/>
                <w:szCs w:val="20"/>
                <w:lang w:val="en-GB" w:eastAsia="en-GB"/>
              </w:rPr>
            </w:pPr>
            <w:r w:rsidRPr="009D4605">
              <w:rPr>
                <w:rFonts w:ascii="Arial" w:eastAsia="Times New Roman" w:hAnsi="Arial" w:cs="Arial"/>
                <w:color w:val="666666"/>
                <w:sz w:val="20"/>
                <w:szCs w:val="20"/>
                <w:lang w:val="en-GB" w:eastAsia="en-GB"/>
              </w:rPr>
              <w:t>LTG - Extension of recovery period</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1DE82630" w14:textId="2926950B" w:rsidR="002C4C95" w:rsidRPr="00A66403" w:rsidRDefault="003A4A2A" w:rsidP="001F1866">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1CC0739F" w14:textId="27F93161" w:rsidR="002C4C95" w:rsidRPr="009D4605" w:rsidRDefault="002C4C95" w:rsidP="001F1866">
            <w:pPr>
              <w:rPr>
                <w:rFonts w:ascii="Arial" w:eastAsia="Times New Roman" w:hAnsi="Arial" w:cs="Arial"/>
                <w:color w:val="666666"/>
                <w:sz w:val="20"/>
                <w:szCs w:val="20"/>
                <w:lang w:val="en-GB" w:eastAsia="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E204B05" w14:textId="77777777" w:rsidR="002C4C95" w:rsidRPr="009D4605" w:rsidRDefault="002C4C95" w:rsidP="001F1866">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7EAB164" w14:textId="0717C23C" w:rsidR="002C4C95" w:rsidRPr="009D4605" w:rsidRDefault="00452774" w:rsidP="001F1866">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X</w:t>
            </w:r>
            <w:r w:rsidR="00265F68">
              <w:rPr>
                <w:rFonts w:ascii="Arial" w:eastAsia="Times New Roman" w:hAnsi="Arial" w:cs="Arial"/>
                <w:color w:val="666666"/>
                <w:sz w:val="20"/>
                <w:szCs w:val="20"/>
                <w:lang w:val="en-GB" w:eastAsia="en-GB"/>
              </w:rPr>
              <w:t>X</w:t>
            </w:r>
            <w:r w:rsidR="00DF3DED">
              <w:rPr>
                <w:rFonts w:ascii="Arial" w:eastAsia="Times New Roman" w:hAnsi="Arial" w:cs="Arial"/>
                <w:color w:val="666666"/>
                <w:sz w:val="20"/>
                <w:szCs w:val="20"/>
                <w:lang w:val="en-GB" w:eastAsia="en-GB"/>
              </w:rPr>
              <w:t>X</w:t>
            </w:r>
            <w:r w:rsidR="005225ED">
              <w:rPr>
                <w:rFonts w:ascii="Arial" w:eastAsia="Times New Roman" w:hAnsi="Arial" w:cs="Arial"/>
                <w:color w:val="666666"/>
                <w:sz w:val="20"/>
                <w:szCs w:val="20"/>
                <w:lang w:val="en-GB" w:eastAsia="en-GB"/>
              </w:rPr>
              <w:t>X</w:t>
            </w:r>
          </w:p>
        </w:tc>
      </w:tr>
      <w:tr w:rsidR="008431FB" w:rsidRPr="009D4605" w14:paraId="5A2609FC" w14:textId="77777777" w:rsidTr="00A66403">
        <w:trPr>
          <w:trHeight w:val="397"/>
        </w:trPr>
        <w:tc>
          <w:tcPr>
            <w:tcW w:w="562" w:type="dxa"/>
            <w:vMerge/>
            <w:tcBorders>
              <w:right w:val="single" w:sz="4" w:space="0" w:color="auto"/>
            </w:tcBorders>
            <w:shd w:val="clear" w:color="auto" w:fill="F2F2F2" w:themeFill="background1" w:themeFillShade="F2"/>
          </w:tcPr>
          <w:p w14:paraId="75A72142" w14:textId="77777777" w:rsidR="008431FB" w:rsidRPr="00A66403" w:rsidRDefault="008431FB" w:rsidP="001F1866">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27B3C96E" w14:textId="27623204" w:rsidR="008431FB" w:rsidRPr="00A66403" w:rsidRDefault="008431FB" w:rsidP="001F1866">
            <w:pPr>
              <w:rPr>
                <w:rFonts w:ascii="Arial" w:eastAsia="Times New Roman" w:hAnsi="Arial" w:cs="Arial"/>
                <w:color w:val="666666"/>
                <w:sz w:val="20"/>
                <w:szCs w:val="20"/>
                <w:lang w:val="en-GB" w:eastAsia="en-GB"/>
              </w:rPr>
            </w:pPr>
            <w:r w:rsidRPr="009D4605">
              <w:rPr>
                <w:rFonts w:ascii="Arial" w:eastAsia="Times New Roman" w:hAnsi="Arial" w:cs="Arial"/>
                <w:color w:val="666666"/>
                <w:sz w:val="20"/>
                <w:szCs w:val="20"/>
                <w:lang w:val="en-GB" w:eastAsia="en-GB"/>
              </w:rPr>
              <w:t>LTG - Transitional measures (TRFR/TMTP)</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37433C88" w14:textId="77777777" w:rsidR="008431FB" w:rsidRPr="00A66403" w:rsidRDefault="008431FB" w:rsidP="001F1866">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2975F065" w14:textId="77777777" w:rsidR="008431FB" w:rsidRPr="00A66403" w:rsidRDefault="008431FB" w:rsidP="001F1866">
            <w:pPr>
              <w:rPr>
                <w:rFonts w:ascii="Arial" w:eastAsia="Times New Roman" w:hAnsi="Arial" w:cs="Arial"/>
                <w:color w:val="666666"/>
                <w:sz w:val="20"/>
                <w:szCs w:val="20"/>
                <w:lang w:val="en-GB" w:eastAsia="en-GB"/>
              </w:rPr>
            </w:pP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2C941501" w14:textId="48309140" w:rsidR="008431FB" w:rsidRPr="00A66403" w:rsidRDefault="003A4A2A" w:rsidP="001F1866">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47F697B0" w14:textId="35831CAA" w:rsidR="008431FB" w:rsidRPr="00A66403" w:rsidRDefault="00452774" w:rsidP="001F1866">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X</w:t>
            </w:r>
            <w:r w:rsidR="00265F68">
              <w:rPr>
                <w:rFonts w:ascii="Arial" w:eastAsia="Times New Roman" w:hAnsi="Arial" w:cs="Arial"/>
                <w:color w:val="666666"/>
                <w:sz w:val="20"/>
                <w:szCs w:val="20"/>
                <w:lang w:val="en-GB" w:eastAsia="en-GB"/>
              </w:rPr>
              <w:t>X</w:t>
            </w:r>
            <w:r w:rsidR="00DF3DED">
              <w:rPr>
                <w:rFonts w:ascii="Arial" w:eastAsia="Times New Roman" w:hAnsi="Arial" w:cs="Arial"/>
                <w:color w:val="666666"/>
                <w:sz w:val="20"/>
                <w:szCs w:val="20"/>
                <w:lang w:val="en-GB" w:eastAsia="en-GB"/>
              </w:rPr>
              <w:t>X</w:t>
            </w:r>
            <w:r w:rsidR="005225ED">
              <w:rPr>
                <w:rFonts w:ascii="Arial" w:eastAsia="Times New Roman" w:hAnsi="Arial" w:cs="Arial"/>
                <w:color w:val="666666"/>
                <w:sz w:val="20"/>
                <w:szCs w:val="20"/>
                <w:lang w:val="en-GB" w:eastAsia="en-GB"/>
              </w:rPr>
              <w:t>X</w:t>
            </w:r>
          </w:p>
        </w:tc>
      </w:tr>
      <w:tr w:rsidR="002C4C95" w:rsidRPr="009D4605" w14:paraId="20FF974D" w14:textId="77777777" w:rsidTr="00A66403">
        <w:trPr>
          <w:trHeight w:val="397"/>
        </w:trPr>
        <w:tc>
          <w:tcPr>
            <w:tcW w:w="562" w:type="dxa"/>
            <w:vMerge/>
            <w:tcBorders>
              <w:right w:val="single" w:sz="4" w:space="0" w:color="auto"/>
            </w:tcBorders>
            <w:shd w:val="clear" w:color="auto" w:fill="F2F2F2" w:themeFill="background1" w:themeFillShade="F2"/>
          </w:tcPr>
          <w:p w14:paraId="7463F212" w14:textId="77777777" w:rsidR="002C4C95" w:rsidRPr="00A66403" w:rsidRDefault="002C4C95" w:rsidP="008E201A">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394A8CA2" w14:textId="77777777" w:rsidR="002C4C95" w:rsidRPr="009D4605" w:rsidDel="008834B3" w:rsidRDefault="002C4C95" w:rsidP="008E201A">
            <w:pPr>
              <w:rPr>
                <w:rFonts w:ascii="Arial" w:eastAsia="Times New Roman" w:hAnsi="Arial" w:cs="Arial"/>
                <w:color w:val="666666"/>
                <w:sz w:val="20"/>
                <w:szCs w:val="20"/>
                <w:lang w:eastAsia="en-GB"/>
              </w:rPr>
            </w:pPr>
            <w:r w:rsidRPr="009D4605">
              <w:rPr>
                <w:rFonts w:ascii="Arial" w:eastAsia="Times New Roman" w:hAnsi="Arial" w:cs="Arial"/>
                <w:color w:val="666666"/>
                <w:sz w:val="20"/>
                <w:szCs w:val="20"/>
                <w:lang w:val="en-GB" w:eastAsia="en-GB"/>
              </w:rPr>
              <w:t>Risk margin</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7CF46CF1" w14:textId="77777777" w:rsidR="002C4C95" w:rsidRPr="009D4605" w:rsidRDefault="002C4C95" w:rsidP="008E201A">
            <w:pPr>
              <w:rPr>
                <w:rFonts w:ascii="Arial" w:eastAsia="Times New Roman" w:hAnsi="Arial" w:cs="Arial"/>
                <w:color w:val="666666"/>
                <w:sz w:val="20"/>
                <w:szCs w:val="20"/>
                <w:lang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shd w:val="clear" w:color="auto" w:fill="FFFFFF" w:themeFill="background1"/>
            <w:vAlign w:val="center"/>
          </w:tcPr>
          <w:p w14:paraId="7C01F27F" w14:textId="0A4129D2" w:rsidR="002C4C95" w:rsidRPr="009D4605" w:rsidRDefault="00452774" w:rsidP="008E201A">
            <w:pPr>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X</w:t>
            </w:r>
            <w:r w:rsidR="00265F68">
              <w:rPr>
                <w:rFonts w:ascii="Arial" w:eastAsia="Times New Roman" w:hAnsi="Arial" w:cs="Arial"/>
                <w:color w:val="666666"/>
                <w:sz w:val="20"/>
                <w:szCs w:val="20"/>
                <w:lang w:eastAsia="en-GB"/>
              </w:rPr>
              <w:t>X</w:t>
            </w:r>
            <w:r w:rsidR="00595725">
              <w:rPr>
                <w:rFonts w:ascii="Arial" w:eastAsia="Times New Roman" w:hAnsi="Arial" w:cs="Arial"/>
                <w:color w:val="666666"/>
                <w:sz w:val="20"/>
                <w:szCs w:val="20"/>
                <w:lang w:eastAsia="en-GB"/>
              </w:rPr>
              <w:t>X</w:t>
            </w:r>
            <w:r w:rsidR="005225ED">
              <w:rPr>
                <w:rFonts w:ascii="Arial" w:eastAsia="Times New Roman" w:hAnsi="Arial" w:cs="Arial"/>
                <w:color w:val="666666"/>
                <w:sz w:val="20"/>
                <w:szCs w:val="20"/>
                <w:lang w:eastAsia="en-GB"/>
              </w:rPr>
              <w:t>X</w:t>
            </w:r>
            <w:r w:rsidR="003A4A2A">
              <w:rPr>
                <w:rFonts w:ascii="Arial" w:eastAsia="Times New Roman" w:hAnsi="Arial" w:cs="Arial"/>
                <w:color w:val="666666"/>
                <w:sz w:val="20"/>
                <w:szCs w:val="20"/>
                <w:lang w:eastAsia="en-GB"/>
              </w:rPr>
              <w:t>X</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71C0F58F" w14:textId="77777777" w:rsidR="002C4C95" w:rsidRPr="009D4605" w:rsidRDefault="002C4C95" w:rsidP="008E201A">
            <w:pPr>
              <w:rPr>
                <w:rFonts w:ascii="Arial" w:eastAsia="Times New Roman" w:hAnsi="Arial" w:cs="Arial"/>
                <w:color w:val="666666"/>
                <w:sz w:val="20"/>
                <w:szCs w:val="20"/>
                <w:lang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2995FDF" w14:textId="6A2741D2" w:rsidR="002C4C95" w:rsidRPr="009D4605" w:rsidRDefault="00DF3DED" w:rsidP="008E201A">
            <w:pPr>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X</w:t>
            </w:r>
          </w:p>
        </w:tc>
      </w:tr>
      <w:tr w:rsidR="008431FB" w:rsidRPr="009D4605" w14:paraId="36EA4873" w14:textId="77777777" w:rsidTr="00A66403">
        <w:trPr>
          <w:trHeight w:val="397"/>
        </w:trPr>
        <w:tc>
          <w:tcPr>
            <w:tcW w:w="562" w:type="dxa"/>
            <w:vMerge/>
            <w:tcBorders>
              <w:right w:val="single" w:sz="4" w:space="0" w:color="auto"/>
            </w:tcBorders>
            <w:shd w:val="clear" w:color="auto" w:fill="F2F2F2" w:themeFill="background1" w:themeFillShade="F2"/>
          </w:tcPr>
          <w:p w14:paraId="085C1BAD" w14:textId="77777777" w:rsidR="008431FB" w:rsidRPr="009D4605" w:rsidRDefault="008431FB" w:rsidP="008E201A">
            <w:pPr>
              <w:rPr>
                <w:rFonts w:ascii="Verdana" w:hAnsi="Verdana"/>
                <w:sz w:val="17"/>
                <w:szCs w:val="17"/>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09E5FE3" w14:textId="77777777" w:rsidR="008431FB" w:rsidRPr="00A66403" w:rsidDel="008834B3" w:rsidRDefault="008431FB" w:rsidP="008E201A">
            <w:pPr>
              <w:rPr>
                <w:rFonts w:ascii="Arial" w:eastAsia="Times New Roman" w:hAnsi="Arial" w:cs="Arial"/>
                <w:color w:val="666666"/>
                <w:sz w:val="20"/>
                <w:szCs w:val="20"/>
                <w:lang w:val="en-GB" w:eastAsia="en-GB"/>
              </w:rPr>
            </w:pPr>
            <w:r w:rsidRPr="009D4605">
              <w:rPr>
                <w:rFonts w:ascii="Arial" w:eastAsia="Times New Roman" w:hAnsi="Arial" w:cs="Arial"/>
                <w:color w:val="666666"/>
                <w:sz w:val="20"/>
                <w:szCs w:val="20"/>
                <w:lang w:val="en-GB" w:eastAsia="en-GB"/>
              </w:rPr>
              <w:t>Recalibration of market risk SCR (including dynamic VA)</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444DE27D" w14:textId="77777777" w:rsidR="008431FB" w:rsidRPr="00A66403" w:rsidRDefault="008431FB" w:rsidP="008E201A">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66D16F77" w14:textId="00EE05C1" w:rsidR="008431FB" w:rsidRPr="00A66403" w:rsidRDefault="00DF3DED" w:rsidP="008E201A">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X</w:t>
            </w:r>
            <w:r w:rsidR="00595725">
              <w:rPr>
                <w:rFonts w:ascii="Arial" w:eastAsia="Times New Roman" w:hAnsi="Arial" w:cs="Arial"/>
                <w:color w:val="666666"/>
                <w:sz w:val="20"/>
                <w:szCs w:val="20"/>
                <w:lang w:val="en-GB" w:eastAsia="en-GB"/>
              </w:rPr>
              <w:t>X</w:t>
            </w:r>
            <w:r w:rsidR="003A4A2A">
              <w:rPr>
                <w:rFonts w:ascii="Arial" w:eastAsia="Times New Roman" w:hAnsi="Arial" w:cs="Arial"/>
                <w:color w:val="666666"/>
                <w:sz w:val="20"/>
                <w:szCs w:val="20"/>
                <w:lang w:val="en-GB" w:eastAsia="en-GB"/>
              </w:rPr>
              <w:t>X</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0BAE0692" w14:textId="45BA1ECE" w:rsidR="008431FB" w:rsidRPr="00A66403" w:rsidRDefault="00452774" w:rsidP="008E201A">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X</w:t>
            </w:r>
            <w:r w:rsidR="00265F68">
              <w:rPr>
                <w:rFonts w:ascii="Arial" w:eastAsia="Times New Roman" w:hAnsi="Arial" w:cs="Arial"/>
                <w:color w:val="666666"/>
                <w:sz w:val="20"/>
                <w:szCs w:val="20"/>
                <w:lang w:val="en-GB" w:eastAsia="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2E3EB674" w14:textId="585B8C27" w:rsidR="008431FB" w:rsidRPr="00A66403" w:rsidRDefault="005225ED" w:rsidP="008E201A">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X</w:t>
            </w:r>
          </w:p>
        </w:tc>
      </w:tr>
      <w:tr w:rsidR="008431FB" w:rsidRPr="009D4605" w14:paraId="34411D9E" w14:textId="77777777" w:rsidTr="00A66403">
        <w:trPr>
          <w:trHeight w:val="397"/>
        </w:trPr>
        <w:tc>
          <w:tcPr>
            <w:tcW w:w="562" w:type="dxa"/>
            <w:vMerge/>
            <w:tcBorders>
              <w:right w:val="single" w:sz="4" w:space="0" w:color="auto"/>
            </w:tcBorders>
            <w:shd w:val="clear" w:color="auto" w:fill="F2F2F2" w:themeFill="background1" w:themeFillShade="F2"/>
          </w:tcPr>
          <w:p w14:paraId="54EA221E" w14:textId="77777777" w:rsidR="008431FB" w:rsidRPr="00A66403" w:rsidRDefault="008431FB" w:rsidP="00D9387C">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352BB789" w14:textId="77777777" w:rsidR="008431FB" w:rsidRPr="009D4605" w:rsidRDefault="008431FB" w:rsidP="00D9387C">
            <w:pPr>
              <w:rPr>
                <w:rFonts w:ascii="Arial" w:eastAsia="Times New Roman" w:hAnsi="Arial" w:cs="Arial"/>
                <w:color w:val="666666"/>
                <w:sz w:val="20"/>
                <w:szCs w:val="20"/>
                <w:lang w:eastAsia="en-GB"/>
              </w:rPr>
            </w:pPr>
            <w:r w:rsidRPr="009D4605">
              <w:rPr>
                <w:rFonts w:ascii="Arial" w:eastAsia="Times New Roman" w:hAnsi="Arial" w:cs="Arial"/>
                <w:color w:val="666666"/>
                <w:sz w:val="20"/>
                <w:szCs w:val="20"/>
                <w:lang w:val="en-GB" w:eastAsia="en-GB"/>
              </w:rPr>
              <w:t>Improvements to reporting</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34547DB" w14:textId="77777777" w:rsidR="008431FB" w:rsidRPr="009D4605" w:rsidRDefault="008431FB" w:rsidP="00D9387C">
            <w:pPr>
              <w:rPr>
                <w:rFonts w:ascii="Arial" w:eastAsia="Times New Roman" w:hAnsi="Arial" w:cs="Arial"/>
                <w:color w:val="666666"/>
                <w:sz w:val="20"/>
                <w:szCs w:val="20"/>
                <w:lang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692CC60E" w14:textId="465F73E3" w:rsidR="008431FB" w:rsidRPr="009D4605" w:rsidRDefault="00265F68" w:rsidP="00D9387C">
            <w:pPr>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X</w:t>
            </w:r>
            <w:r w:rsidR="00DF3DED">
              <w:rPr>
                <w:rFonts w:ascii="Arial" w:eastAsia="Times New Roman" w:hAnsi="Arial" w:cs="Arial"/>
                <w:color w:val="666666"/>
                <w:sz w:val="20"/>
                <w:szCs w:val="20"/>
                <w:lang w:eastAsia="en-GB"/>
              </w:rPr>
              <w:t>X</w:t>
            </w:r>
            <w:r w:rsidR="00595725">
              <w:rPr>
                <w:rFonts w:ascii="Arial" w:eastAsia="Times New Roman" w:hAnsi="Arial" w:cs="Arial"/>
                <w:color w:val="666666"/>
                <w:sz w:val="20"/>
                <w:szCs w:val="20"/>
                <w:lang w:eastAsia="en-GB"/>
              </w:rPr>
              <w:t>X</w:t>
            </w:r>
            <w:r w:rsidR="005225ED">
              <w:rPr>
                <w:rFonts w:ascii="Arial" w:eastAsia="Times New Roman" w:hAnsi="Arial" w:cs="Arial"/>
                <w:color w:val="666666"/>
                <w:sz w:val="20"/>
                <w:szCs w:val="20"/>
                <w:lang w:eastAsia="en-GB"/>
              </w:rPr>
              <w:t>X</w:t>
            </w:r>
            <w:r w:rsidR="003A4A2A">
              <w:rPr>
                <w:rFonts w:ascii="Arial" w:eastAsia="Times New Roman" w:hAnsi="Arial" w:cs="Arial"/>
                <w:color w:val="666666"/>
                <w:sz w:val="20"/>
                <w:szCs w:val="20"/>
                <w:lang w:eastAsia="en-GB"/>
              </w:rPr>
              <w:t>X</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75B6E545" w14:textId="590662C1" w:rsidR="008431FB" w:rsidRPr="009D4605" w:rsidRDefault="00452774" w:rsidP="00D9387C">
            <w:pPr>
              <w:rPr>
                <w:rFonts w:ascii="Arial" w:eastAsia="Times New Roman" w:hAnsi="Arial" w:cs="Arial"/>
                <w:color w:val="666666"/>
                <w:sz w:val="20"/>
                <w:szCs w:val="20"/>
                <w:lang w:eastAsia="en-GB"/>
              </w:rPr>
            </w:pPr>
            <w:r>
              <w:rPr>
                <w:rFonts w:ascii="Arial" w:eastAsia="Times New Roman" w:hAnsi="Arial" w:cs="Arial"/>
                <w:color w:val="666666"/>
                <w:sz w:val="20"/>
                <w:szCs w:val="20"/>
                <w:lang w:eastAsia="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04866E46" w14:textId="77777777" w:rsidR="008431FB" w:rsidRPr="009D4605" w:rsidRDefault="008431FB" w:rsidP="00D9387C">
            <w:pPr>
              <w:rPr>
                <w:rFonts w:ascii="Arial" w:eastAsia="Times New Roman" w:hAnsi="Arial" w:cs="Arial"/>
                <w:color w:val="666666"/>
                <w:sz w:val="20"/>
                <w:szCs w:val="20"/>
                <w:lang w:eastAsia="en-GB"/>
              </w:rPr>
            </w:pPr>
          </w:p>
        </w:tc>
      </w:tr>
      <w:tr w:rsidR="008431FB" w:rsidRPr="009D4605" w14:paraId="2E4741C0" w14:textId="77777777" w:rsidTr="00A66403">
        <w:trPr>
          <w:trHeight w:val="397"/>
        </w:trPr>
        <w:tc>
          <w:tcPr>
            <w:tcW w:w="562" w:type="dxa"/>
            <w:vMerge/>
            <w:tcBorders>
              <w:right w:val="single" w:sz="4" w:space="0" w:color="auto"/>
            </w:tcBorders>
            <w:shd w:val="clear" w:color="auto" w:fill="F2F2F2" w:themeFill="background1" w:themeFillShade="F2"/>
          </w:tcPr>
          <w:p w14:paraId="4119F3FD" w14:textId="77777777" w:rsidR="008431FB" w:rsidRPr="009D4605" w:rsidRDefault="008431FB" w:rsidP="00D9387C">
            <w:pPr>
              <w:rPr>
                <w:rFonts w:ascii="Verdana" w:hAnsi="Verdana"/>
                <w:sz w:val="17"/>
                <w:szCs w:val="17"/>
              </w:rPr>
            </w:pPr>
          </w:p>
        </w:tc>
        <w:tc>
          <w:tcPr>
            <w:tcW w:w="6946"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BB21697" w14:textId="77777777" w:rsidR="008431FB" w:rsidRPr="00A66403" w:rsidRDefault="008431FB" w:rsidP="00D9387C">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 xml:space="preserve">Making </w:t>
            </w:r>
            <w:r w:rsidRPr="009D4605">
              <w:rPr>
                <w:rFonts w:ascii="Arial" w:eastAsia="Times New Roman" w:hAnsi="Arial" w:cs="Arial"/>
                <w:color w:val="666666"/>
                <w:sz w:val="20"/>
                <w:szCs w:val="20"/>
                <w:lang w:val="en-GB" w:eastAsia="en-GB"/>
              </w:rPr>
              <w:t>proportionality</w:t>
            </w:r>
            <w:r>
              <w:rPr>
                <w:rFonts w:ascii="Arial" w:eastAsia="Times New Roman" w:hAnsi="Arial" w:cs="Arial"/>
                <w:color w:val="666666"/>
                <w:sz w:val="20"/>
                <w:szCs w:val="20"/>
                <w:lang w:val="en-GB" w:eastAsia="en-GB"/>
              </w:rPr>
              <w:t xml:space="preserve"> work in practice</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645C43E2" w14:textId="77777777" w:rsidR="008431FB" w:rsidRPr="00A66403" w:rsidRDefault="008431FB" w:rsidP="00D9387C">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1A1964FE" w14:textId="260FD6E6" w:rsidR="008431FB" w:rsidRPr="00A66403" w:rsidRDefault="00DF3DED" w:rsidP="00D9387C">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X</w:t>
            </w:r>
            <w:r w:rsidR="00595725">
              <w:rPr>
                <w:rFonts w:ascii="Arial" w:eastAsia="Times New Roman" w:hAnsi="Arial" w:cs="Arial"/>
                <w:color w:val="666666"/>
                <w:sz w:val="20"/>
                <w:szCs w:val="20"/>
                <w:lang w:val="en-GB" w:eastAsia="en-GB"/>
              </w:rPr>
              <w:t>X</w:t>
            </w:r>
            <w:r w:rsidR="005225ED">
              <w:rPr>
                <w:rFonts w:ascii="Arial" w:eastAsia="Times New Roman" w:hAnsi="Arial" w:cs="Arial"/>
                <w:color w:val="666666"/>
                <w:sz w:val="20"/>
                <w:szCs w:val="20"/>
                <w:lang w:val="en-GB" w:eastAsia="en-GB"/>
              </w:rPr>
              <w:t>X</w:t>
            </w:r>
          </w:p>
        </w:tc>
        <w:tc>
          <w:tcPr>
            <w:tcW w:w="1680"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B441859" w14:textId="028E8E48" w:rsidR="008431FB" w:rsidRPr="00A66403" w:rsidRDefault="00452774" w:rsidP="00D9387C">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X</w:t>
            </w:r>
            <w:r w:rsidR="00265F68">
              <w:rPr>
                <w:rFonts w:ascii="Arial" w:eastAsia="Times New Roman" w:hAnsi="Arial" w:cs="Arial"/>
                <w:color w:val="666666"/>
                <w:sz w:val="20"/>
                <w:szCs w:val="20"/>
                <w:lang w:val="en-GB" w:eastAsia="en-GB"/>
              </w:rPr>
              <w:t>X</w:t>
            </w:r>
          </w:p>
        </w:tc>
        <w:tc>
          <w:tcPr>
            <w:tcW w:w="1681" w:type="dxa"/>
            <w:tcBorders>
              <w:top w:val="single" w:sz="4" w:space="0" w:color="D0CECE" w:themeColor="background2" w:themeShade="E6"/>
              <w:left w:val="single" w:sz="4" w:space="0" w:color="auto"/>
              <w:bottom w:val="single" w:sz="4" w:space="0" w:color="D0CECE" w:themeColor="background2" w:themeShade="E6"/>
              <w:right w:val="single" w:sz="4" w:space="0" w:color="auto"/>
            </w:tcBorders>
            <w:vAlign w:val="center"/>
          </w:tcPr>
          <w:p w14:paraId="5E66F163" w14:textId="77777777" w:rsidR="008431FB" w:rsidRPr="00A66403" w:rsidRDefault="008431FB" w:rsidP="00D9387C">
            <w:pPr>
              <w:rPr>
                <w:rFonts w:ascii="Arial" w:eastAsia="Times New Roman" w:hAnsi="Arial" w:cs="Arial"/>
                <w:color w:val="666666"/>
                <w:sz w:val="20"/>
                <w:szCs w:val="20"/>
                <w:lang w:val="en-GB" w:eastAsia="en-GB"/>
              </w:rPr>
            </w:pPr>
          </w:p>
        </w:tc>
      </w:tr>
      <w:tr w:rsidR="00BD658B" w:rsidRPr="009D4605" w14:paraId="0FDB32C3" w14:textId="77777777" w:rsidTr="00A66403">
        <w:trPr>
          <w:trHeight w:val="397"/>
        </w:trPr>
        <w:tc>
          <w:tcPr>
            <w:tcW w:w="562" w:type="dxa"/>
            <w:vMerge/>
            <w:tcBorders>
              <w:right w:val="single" w:sz="4" w:space="0" w:color="auto"/>
            </w:tcBorders>
            <w:shd w:val="clear" w:color="auto" w:fill="F2F2F2" w:themeFill="background1" w:themeFillShade="F2"/>
          </w:tcPr>
          <w:p w14:paraId="7EB233F8" w14:textId="77777777" w:rsidR="008431FB" w:rsidRPr="009D4605" w:rsidRDefault="008431FB" w:rsidP="00D9387C">
            <w:pPr>
              <w:rPr>
                <w:rFonts w:ascii="Verdana" w:hAnsi="Verdana"/>
                <w:sz w:val="17"/>
                <w:szCs w:val="17"/>
                <w:lang w:val="en-GB"/>
              </w:rPr>
            </w:pPr>
          </w:p>
        </w:tc>
        <w:tc>
          <w:tcPr>
            <w:tcW w:w="6946" w:type="dxa"/>
            <w:tcBorders>
              <w:top w:val="single" w:sz="4" w:space="0" w:color="D0CECE" w:themeColor="background2" w:themeShade="E6"/>
              <w:left w:val="single" w:sz="4" w:space="0" w:color="auto"/>
              <w:bottom w:val="single" w:sz="4" w:space="0" w:color="auto"/>
              <w:right w:val="single" w:sz="4" w:space="0" w:color="auto"/>
            </w:tcBorders>
            <w:vAlign w:val="center"/>
          </w:tcPr>
          <w:p w14:paraId="1580AD67" w14:textId="37811581" w:rsidR="008431FB" w:rsidRPr="009D4605" w:rsidRDefault="008431FB" w:rsidP="00D9387C">
            <w:pPr>
              <w:rPr>
                <w:rFonts w:ascii="Arial" w:eastAsia="Times New Roman" w:hAnsi="Arial" w:cs="Arial"/>
                <w:color w:val="666666"/>
                <w:sz w:val="20"/>
                <w:szCs w:val="20"/>
                <w:lang w:val="en-GB" w:eastAsia="en-GB"/>
              </w:rPr>
            </w:pPr>
            <w:r w:rsidRPr="009D4605">
              <w:rPr>
                <w:rFonts w:ascii="Arial" w:eastAsia="Times New Roman" w:hAnsi="Arial" w:cs="Arial"/>
                <w:color w:val="666666"/>
                <w:sz w:val="20"/>
                <w:szCs w:val="20"/>
                <w:lang w:val="en-GB" w:eastAsia="en-GB"/>
              </w:rPr>
              <w:t xml:space="preserve">Other issues (please </w:t>
            </w:r>
            <w:r>
              <w:rPr>
                <w:rFonts w:ascii="Arial" w:eastAsia="Times New Roman" w:hAnsi="Arial" w:cs="Arial"/>
                <w:color w:val="666666"/>
                <w:sz w:val="20"/>
                <w:szCs w:val="20"/>
                <w:lang w:val="en-GB" w:eastAsia="en-GB"/>
              </w:rPr>
              <w:t xml:space="preserve">provide details in section </w:t>
            </w:r>
            <w:r w:rsidR="00EB089B">
              <w:rPr>
                <w:rFonts w:ascii="Arial" w:eastAsia="Times New Roman" w:hAnsi="Arial" w:cs="Arial"/>
                <w:color w:val="666666"/>
                <w:sz w:val="20"/>
                <w:szCs w:val="20"/>
                <w:lang w:val="en-GB" w:eastAsia="en-GB"/>
              </w:rPr>
              <w:t>7</w:t>
            </w:r>
            <w:r>
              <w:rPr>
                <w:rFonts w:ascii="Arial" w:eastAsia="Times New Roman" w:hAnsi="Arial" w:cs="Arial"/>
                <w:color w:val="666666"/>
                <w:sz w:val="20"/>
                <w:szCs w:val="20"/>
                <w:lang w:val="en-GB" w:eastAsia="en-GB"/>
              </w:rPr>
              <w:t xml:space="preserve"> of survey)</w:t>
            </w:r>
          </w:p>
        </w:tc>
        <w:tc>
          <w:tcPr>
            <w:tcW w:w="1680" w:type="dxa"/>
            <w:tcBorders>
              <w:top w:val="single" w:sz="4" w:space="0" w:color="D0CECE" w:themeColor="background2" w:themeShade="E6"/>
              <w:left w:val="single" w:sz="4" w:space="0" w:color="auto"/>
              <w:bottom w:val="single" w:sz="4" w:space="0" w:color="auto"/>
              <w:right w:val="single" w:sz="4" w:space="0" w:color="auto"/>
            </w:tcBorders>
            <w:vAlign w:val="center"/>
          </w:tcPr>
          <w:p w14:paraId="68C450CF" w14:textId="77777777" w:rsidR="008431FB" w:rsidRPr="00A66403" w:rsidRDefault="008431FB" w:rsidP="00D9387C">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auto"/>
              <w:right w:val="single" w:sz="4" w:space="0" w:color="auto"/>
            </w:tcBorders>
            <w:vAlign w:val="center"/>
          </w:tcPr>
          <w:p w14:paraId="04890916" w14:textId="48B3EE5A" w:rsidR="008431FB" w:rsidRPr="009D4605" w:rsidRDefault="005225ED" w:rsidP="00D9387C">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X</w:t>
            </w:r>
          </w:p>
        </w:tc>
        <w:tc>
          <w:tcPr>
            <w:tcW w:w="1680" w:type="dxa"/>
            <w:tcBorders>
              <w:top w:val="single" w:sz="4" w:space="0" w:color="D0CECE" w:themeColor="background2" w:themeShade="E6"/>
              <w:left w:val="single" w:sz="4" w:space="0" w:color="auto"/>
              <w:bottom w:val="single" w:sz="4" w:space="0" w:color="auto"/>
              <w:right w:val="single" w:sz="4" w:space="0" w:color="auto"/>
            </w:tcBorders>
            <w:vAlign w:val="center"/>
          </w:tcPr>
          <w:p w14:paraId="182E3B1B" w14:textId="77777777" w:rsidR="008431FB" w:rsidRPr="009D4605" w:rsidRDefault="008431FB" w:rsidP="00D9387C">
            <w:pPr>
              <w:rPr>
                <w:rFonts w:ascii="Arial" w:eastAsia="Times New Roman" w:hAnsi="Arial" w:cs="Arial"/>
                <w:color w:val="666666"/>
                <w:sz w:val="20"/>
                <w:szCs w:val="20"/>
                <w:lang w:val="en-GB" w:eastAsia="en-GB"/>
              </w:rPr>
            </w:pPr>
          </w:p>
        </w:tc>
        <w:tc>
          <w:tcPr>
            <w:tcW w:w="1681" w:type="dxa"/>
            <w:tcBorders>
              <w:top w:val="single" w:sz="4" w:space="0" w:color="D0CECE" w:themeColor="background2" w:themeShade="E6"/>
              <w:left w:val="single" w:sz="4" w:space="0" w:color="auto"/>
              <w:bottom w:val="single" w:sz="4" w:space="0" w:color="auto"/>
              <w:right w:val="single" w:sz="4" w:space="0" w:color="auto"/>
            </w:tcBorders>
            <w:vAlign w:val="center"/>
          </w:tcPr>
          <w:p w14:paraId="409E316E" w14:textId="44F684B4" w:rsidR="008431FB" w:rsidRPr="009D4605" w:rsidRDefault="00265F68" w:rsidP="00D9387C">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X</w:t>
            </w:r>
            <w:r w:rsidR="00DF3DED">
              <w:rPr>
                <w:rFonts w:ascii="Arial" w:eastAsia="Times New Roman" w:hAnsi="Arial" w:cs="Arial"/>
                <w:color w:val="666666"/>
                <w:sz w:val="20"/>
                <w:szCs w:val="20"/>
                <w:lang w:val="en-GB" w:eastAsia="en-GB"/>
              </w:rPr>
              <w:t>X</w:t>
            </w:r>
          </w:p>
        </w:tc>
      </w:tr>
      <w:tr w:rsidR="00BD658B" w:rsidRPr="009D4605" w14:paraId="34D01719" w14:textId="77777777" w:rsidTr="00906B13">
        <w:trPr>
          <w:trHeight w:val="397"/>
        </w:trPr>
        <w:tc>
          <w:tcPr>
            <w:tcW w:w="562" w:type="dxa"/>
            <w:vMerge w:val="restart"/>
            <w:tcBorders>
              <w:right w:val="single" w:sz="4" w:space="0" w:color="auto"/>
            </w:tcBorders>
            <w:shd w:val="clear" w:color="auto" w:fill="F2F2F2" w:themeFill="background1" w:themeFillShade="F2"/>
          </w:tcPr>
          <w:p w14:paraId="3995512C" w14:textId="77777777" w:rsidR="00BD658B" w:rsidRPr="009D4605" w:rsidRDefault="00BD658B" w:rsidP="00BD658B">
            <w:pPr>
              <w:rPr>
                <w:rFonts w:ascii="Verdana" w:hAnsi="Verdana"/>
                <w:sz w:val="17"/>
                <w:szCs w:val="17"/>
              </w:rPr>
            </w:pPr>
            <w:r>
              <w:rPr>
                <w:rFonts w:ascii="Verdana" w:hAnsi="Verdana"/>
                <w:sz w:val="17"/>
                <w:szCs w:val="17"/>
              </w:rPr>
              <w:t>2.</w:t>
            </w:r>
          </w:p>
          <w:p w14:paraId="736CC68E" w14:textId="7331A854" w:rsidR="00BD658B" w:rsidRPr="009D4605" w:rsidRDefault="00BD658B" w:rsidP="00BD658B">
            <w:pPr>
              <w:rPr>
                <w:rFonts w:ascii="Verdana" w:hAnsi="Verdana"/>
                <w:sz w:val="17"/>
                <w:szCs w:val="17"/>
              </w:rPr>
            </w:pPr>
          </w:p>
        </w:tc>
        <w:tc>
          <w:tcPr>
            <w:tcW w:w="13668" w:type="dxa"/>
            <w:gridSpan w:val="5"/>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BF3033C" w14:textId="00FCDF21" w:rsidR="00BD658B" w:rsidRPr="00A66403" w:rsidRDefault="00BD658B" w:rsidP="00BD658B">
            <w:pPr>
              <w:rPr>
                <w:rFonts w:ascii="Arial" w:eastAsia="Times New Roman" w:hAnsi="Arial" w:cs="Arial"/>
                <w:color w:val="666666"/>
                <w:sz w:val="20"/>
                <w:szCs w:val="20"/>
                <w:lang w:val="en-GB" w:eastAsia="en-GB"/>
              </w:rPr>
            </w:pPr>
            <w:r w:rsidRPr="009D4605">
              <w:rPr>
                <w:rFonts w:ascii="Arial" w:eastAsia="Times New Roman" w:hAnsi="Arial" w:cs="Arial"/>
                <w:b/>
                <w:bCs/>
                <w:color w:val="000000"/>
                <w:sz w:val="20"/>
                <w:szCs w:val="20"/>
                <w:lang w:val="en-GB" w:eastAsia="en-GB"/>
              </w:rPr>
              <w:t xml:space="preserve">Comments </w:t>
            </w:r>
            <w:r w:rsidR="00500990">
              <w:rPr>
                <w:rFonts w:ascii="Arial" w:eastAsia="Times New Roman" w:hAnsi="Arial" w:cs="Arial"/>
                <w:b/>
                <w:bCs/>
                <w:color w:val="000000"/>
                <w:sz w:val="20"/>
                <w:szCs w:val="20"/>
                <w:lang w:val="en-GB" w:eastAsia="en-GB"/>
              </w:rPr>
              <w:t>on high-level priorities</w:t>
            </w:r>
          </w:p>
        </w:tc>
      </w:tr>
      <w:tr w:rsidR="00265F68" w:rsidRPr="009D4605" w14:paraId="78DB9CD7" w14:textId="77777777" w:rsidTr="001202D4">
        <w:trPr>
          <w:trHeight w:val="397"/>
        </w:trPr>
        <w:tc>
          <w:tcPr>
            <w:tcW w:w="562" w:type="dxa"/>
            <w:vMerge/>
            <w:tcBorders>
              <w:right w:val="single" w:sz="4" w:space="0" w:color="auto"/>
            </w:tcBorders>
            <w:shd w:val="clear" w:color="auto" w:fill="F2F2F2" w:themeFill="background1" w:themeFillShade="F2"/>
          </w:tcPr>
          <w:p w14:paraId="332FE38B" w14:textId="640D72B2" w:rsidR="00265F68" w:rsidRPr="00A66403" w:rsidRDefault="00265F68" w:rsidP="00265F68">
            <w:pPr>
              <w:rPr>
                <w:rFonts w:ascii="Verdana" w:hAnsi="Verdana"/>
                <w:sz w:val="17"/>
                <w:szCs w:val="17"/>
                <w:lang w:val="en-GB"/>
              </w:rPr>
            </w:pPr>
          </w:p>
        </w:tc>
        <w:tc>
          <w:tcPr>
            <w:tcW w:w="13668" w:type="dxa"/>
            <w:gridSpan w:val="5"/>
            <w:tcBorders>
              <w:top w:val="single" w:sz="4" w:space="0" w:color="D0CECE" w:themeColor="background2" w:themeShade="E6"/>
              <w:left w:val="single" w:sz="4" w:space="0" w:color="auto"/>
              <w:bottom w:val="single" w:sz="4" w:space="0" w:color="auto"/>
              <w:right w:val="single" w:sz="4" w:space="0" w:color="auto"/>
            </w:tcBorders>
            <w:vAlign w:val="center"/>
          </w:tcPr>
          <w:p w14:paraId="19FBDC67" w14:textId="77777777" w:rsidR="00265F68" w:rsidRPr="00F340E0" w:rsidRDefault="00265F68" w:rsidP="00265F68">
            <w:pPr>
              <w:rPr>
                <w:rFonts w:ascii="Arial" w:eastAsia="Times New Roman" w:hAnsi="Arial" w:cs="Arial"/>
                <w:color w:val="666666"/>
                <w:sz w:val="20"/>
                <w:szCs w:val="20"/>
                <w:lang w:val="en-AU" w:eastAsia="en-GB"/>
              </w:rPr>
            </w:pPr>
            <w:r w:rsidRPr="00F340E0">
              <w:rPr>
                <w:rFonts w:ascii="Arial" w:eastAsia="Times New Roman" w:hAnsi="Arial" w:cs="Arial"/>
                <w:color w:val="666666"/>
                <w:sz w:val="20"/>
                <w:szCs w:val="20"/>
                <w:lang w:val="en-AU" w:eastAsia="en-GB"/>
              </w:rPr>
              <w:t>Risk Margin for claims provision based on Costs of capital method leads to very low prudency of technical provisions.</w:t>
            </w:r>
          </w:p>
          <w:p w14:paraId="2B814728" w14:textId="77777777" w:rsidR="00265F68" w:rsidRDefault="00265F68" w:rsidP="00265F68">
            <w:pPr>
              <w:rPr>
                <w:rFonts w:ascii="Arial" w:eastAsia="Times New Roman" w:hAnsi="Arial" w:cs="Arial"/>
                <w:color w:val="666666"/>
                <w:sz w:val="20"/>
                <w:szCs w:val="20"/>
                <w:lang w:val="en-AU" w:eastAsia="en-GB"/>
              </w:rPr>
            </w:pPr>
            <w:r w:rsidRPr="00F340E0">
              <w:rPr>
                <w:rFonts w:ascii="Arial" w:eastAsia="Times New Roman" w:hAnsi="Arial" w:cs="Arial"/>
                <w:color w:val="666666"/>
                <w:sz w:val="20"/>
                <w:szCs w:val="20"/>
                <w:lang w:val="en-AU" w:eastAsia="en-GB"/>
              </w:rPr>
              <w:t>Improvements to reporting – to make reporting more effective especially reduce redundancies.</w:t>
            </w:r>
          </w:p>
          <w:p w14:paraId="56ED9CD6" w14:textId="623A6393" w:rsidR="003A4A2A" w:rsidRDefault="003A4A2A" w:rsidP="00265F68">
            <w:pPr>
              <w:rPr>
                <w:rFonts w:ascii="Arial" w:eastAsia="Times New Roman" w:hAnsi="Arial" w:cs="Arial"/>
                <w:color w:val="666666"/>
                <w:sz w:val="20"/>
                <w:szCs w:val="20"/>
                <w:lang w:val="en-AU" w:eastAsia="en-GB"/>
              </w:rPr>
            </w:pPr>
            <w:bookmarkStart w:id="0" w:name="_GoBack"/>
            <w:r>
              <w:rPr>
                <w:rFonts w:ascii="Arial" w:eastAsia="Times New Roman" w:hAnsi="Arial" w:cs="Arial"/>
                <w:color w:val="666666"/>
                <w:sz w:val="20"/>
                <w:szCs w:val="20"/>
                <w:lang w:val="en-GB" w:eastAsia="en-GB"/>
              </w:rPr>
              <w:t xml:space="preserve">VA – main impact on figures – O&amp;G </w:t>
            </w:r>
            <w:proofErr w:type="spellStart"/>
            <w:r>
              <w:rPr>
                <w:rFonts w:ascii="Arial" w:eastAsia="Times New Roman" w:hAnsi="Arial" w:cs="Arial"/>
                <w:color w:val="666666"/>
                <w:sz w:val="20"/>
                <w:szCs w:val="20"/>
                <w:lang w:val="en-GB" w:eastAsia="en-GB"/>
              </w:rPr>
              <w:t>etc</w:t>
            </w:r>
            <w:proofErr w:type="spellEnd"/>
          </w:p>
          <w:bookmarkEnd w:id="0"/>
          <w:p w14:paraId="57C34284" w14:textId="1993816E" w:rsidR="005225ED" w:rsidRPr="00A66403" w:rsidRDefault="005225ED" w:rsidP="00265F68">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Based on objective data (value of assets, market share, etc.)</w:t>
            </w:r>
          </w:p>
        </w:tc>
      </w:tr>
    </w:tbl>
    <w:p w14:paraId="67372899" w14:textId="77777777" w:rsidR="00563F63" w:rsidRPr="009D4605" w:rsidRDefault="00563F63" w:rsidP="00563F63">
      <w:pPr>
        <w:rPr>
          <w:rFonts w:ascii="Verdana" w:hAnsi="Verdana"/>
          <w:sz w:val="17"/>
          <w:szCs w:val="17"/>
        </w:rPr>
      </w:pPr>
    </w:p>
    <w:p w14:paraId="4A1D538B" w14:textId="77777777" w:rsidR="00013728" w:rsidRPr="00A66403" w:rsidRDefault="0018177C" w:rsidP="00A66403">
      <w:pPr>
        <w:pStyle w:val="Odsekzoznamu"/>
        <w:numPr>
          <w:ilvl w:val="0"/>
          <w:numId w:val="37"/>
        </w:numPr>
        <w:autoSpaceDE w:val="0"/>
        <w:autoSpaceDN w:val="0"/>
        <w:adjustRightInd w:val="0"/>
        <w:spacing w:line="240" w:lineRule="auto"/>
        <w:rPr>
          <w:b/>
          <w:color w:val="000000"/>
          <w:sz w:val="24"/>
        </w:rPr>
      </w:pPr>
      <w:r w:rsidRPr="00A66403">
        <w:rPr>
          <w:b/>
          <w:color w:val="000000"/>
          <w:sz w:val="24"/>
        </w:rPr>
        <w:t xml:space="preserve">Views on </w:t>
      </w:r>
      <w:r w:rsidR="00631472" w:rsidRPr="00A66403">
        <w:rPr>
          <w:b/>
          <w:color w:val="000000"/>
          <w:sz w:val="24"/>
        </w:rPr>
        <w:t>LTG measures</w:t>
      </w:r>
    </w:p>
    <w:p w14:paraId="621ACCCB" w14:textId="77777777" w:rsidR="00013728" w:rsidRPr="009D4605" w:rsidRDefault="00013728" w:rsidP="00013728">
      <w:pPr>
        <w:autoSpaceDE w:val="0"/>
        <w:autoSpaceDN w:val="0"/>
        <w:adjustRightInd w:val="0"/>
        <w:spacing w:after="0" w:line="240" w:lineRule="auto"/>
        <w:rPr>
          <w:rFonts w:ascii="Verdana" w:hAnsi="Verdana" w:cs="Times New Roman"/>
          <w:color w:val="000000"/>
          <w:sz w:val="17"/>
          <w:szCs w:val="17"/>
        </w:rPr>
      </w:pPr>
    </w:p>
    <w:tbl>
      <w:tblPr>
        <w:tblStyle w:val="Mriekatabuky"/>
        <w:tblW w:w="14230" w:type="dxa"/>
        <w:tblCellMar>
          <w:top w:w="28" w:type="dxa"/>
          <w:bottom w:w="28" w:type="dxa"/>
        </w:tblCellMar>
        <w:tblLook w:val="04A0" w:firstRow="1" w:lastRow="0" w:firstColumn="1" w:lastColumn="0" w:noHBand="0" w:noVBand="1"/>
      </w:tblPr>
      <w:tblGrid>
        <w:gridCol w:w="562"/>
        <w:gridCol w:w="6946"/>
        <w:gridCol w:w="2240"/>
        <w:gridCol w:w="2241"/>
        <w:gridCol w:w="2241"/>
      </w:tblGrid>
      <w:tr w:rsidR="003E54BE" w:rsidRPr="009D4605" w14:paraId="1D44DF2B" w14:textId="77777777" w:rsidTr="00A66403">
        <w:trPr>
          <w:trHeight w:val="397"/>
        </w:trPr>
        <w:tc>
          <w:tcPr>
            <w:tcW w:w="562" w:type="dxa"/>
            <w:vMerge w:val="restart"/>
            <w:shd w:val="clear" w:color="auto" w:fill="F2F2F2" w:themeFill="background1" w:themeFillShade="F2"/>
          </w:tcPr>
          <w:p w14:paraId="392F64A8" w14:textId="6E22CDD4" w:rsidR="003E54BE" w:rsidRPr="00EB6D40" w:rsidRDefault="003E54BE" w:rsidP="003E54BE">
            <w:pPr>
              <w:rPr>
                <w:rFonts w:ascii="Verdana" w:hAnsi="Verdana"/>
                <w:sz w:val="17"/>
                <w:szCs w:val="17"/>
                <w:lang w:val="en-GB"/>
              </w:rPr>
            </w:pPr>
            <w:r w:rsidRPr="00A66403">
              <w:rPr>
                <w:rFonts w:ascii="Verdana" w:hAnsi="Verdana"/>
                <w:sz w:val="17"/>
                <w:szCs w:val="17"/>
              </w:rPr>
              <w:t>3</w:t>
            </w:r>
            <w:r w:rsidRPr="00EB6D40">
              <w:rPr>
                <w:rFonts w:ascii="Verdana" w:hAnsi="Verdana"/>
                <w:sz w:val="17"/>
                <w:szCs w:val="17"/>
              </w:rPr>
              <w:t>.</w:t>
            </w:r>
          </w:p>
        </w:tc>
        <w:tc>
          <w:tcPr>
            <w:tcW w:w="6946" w:type="dxa"/>
            <w:tcBorders>
              <w:bottom w:val="single" w:sz="4" w:space="0" w:color="auto"/>
            </w:tcBorders>
            <w:shd w:val="clear" w:color="auto" w:fill="F2F2F2" w:themeFill="background1" w:themeFillShade="F2"/>
            <w:vAlign w:val="center"/>
          </w:tcPr>
          <w:p w14:paraId="6B524304" w14:textId="483F214C" w:rsidR="003E54BE" w:rsidRPr="00A66403" w:rsidRDefault="003E54BE" w:rsidP="003E54BE">
            <w:pPr>
              <w:autoSpaceDE w:val="0"/>
              <w:autoSpaceDN w:val="0"/>
              <w:adjustRightInd w:val="0"/>
              <w:rPr>
                <w:rFonts w:ascii="Verdana" w:hAnsi="Verdana"/>
                <w:sz w:val="17"/>
                <w:szCs w:val="17"/>
                <w:lang w:val="en-GB"/>
              </w:rPr>
            </w:pPr>
            <w:r>
              <w:rPr>
                <w:rFonts w:ascii="Arial" w:eastAsia="Times New Roman" w:hAnsi="Arial" w:cs="Arial"/>
                <w:b/>
                <w:bCs/>
                <w:color w:val="000000"/>
                <w:sz w:val="20"/>
                <w:szCs w:val="20"/>
                <w:lang w:val="en-GB" w:eastAsia="en-GB"/>
              </w:rPr>
              <w:t xml:space="preserve">Are you interested in </w:t>
            </w:r>
            <w:r w:rsidRPr="009D4605">
              <w:rPr>
                <w:rFonts w:ascii="Arial" w:eastAsia="Times New Roman" w:hAnsi="Arial" w:cs="Arial"/>
                <w:b/>
                <w:bCs/>
                <w:color w:val="000000"/>
                <w:sz w:val="20"/>
                <w:szCs w:val="20"/>
                <w:lang w:val="en-GB" w:eastAsia="en-GB"/>
              </w:rPr>
              <w:t xml:space="preserve">further investigation of both </w:t>
            </w:r>
            <w:r>
              <w:rPr>
                <w:rFonts w:ascii="Arial" w:eastAsia="Times New Roman" w:hAnsi="Arial" w:cs="Arial"/>
                <w:b/>
                <w:bCs/>
                <w:color w:val="000000"/>
                <w:sz w:val="20"/>
                <w:szCs w:val="20"/>
                <w:lang w:val="en-GB" w:eastAsia="en-GB"/>
              </w:rPr>
              <w:t xml:space="preserve">of the following </w:t>
            </w:r>
            <w:r w:rsidRPr="009D4605">
              <w:rPr>
                <w:rFonts w:ascii="Arial" w:eastAsia="Times New Roman" w:hAnsi="Arial" w:cs="Arial"/>
                <w:b/>
                <w:bCs/>
                <w:color w:val="000000"/>
                <w:sz w:val="20"/>
                <w:szCs w:val="20"/>
                <w:lang w:val="en-GB" w:eastAsia="en-GB"/>
              </w:rPr>
              <w:t>emerging proposals for improvements to the Volatility Adjustment?</w:t>
            </w:r>
          </w:p>
        </w:tc>
        <w:tc>
          <w:tcPr>
            <w:tcW w:w="2240" w:type="dxa"/>
            <w:tcBorders>
              <w:bottom w:val="single" w:sz="4" w:space="0" w:color="auto"/>
            </w:tcBorders>
            <w:shd w:val="clear" w:color="auto" w:fill="F2F2F2" w:themeFill="background1" w:themeFillShade="F2"/>
            <w:vAlign w:val="center"/>
          </w:tcPr>
          <w:p w14:paraId="4DE1E9FC" w14:textId="3E700C8F" w:rsidR="003E54BE" w:rsidRPr="009D4605" w:rsidRDefault="003E54BE" w:rsidP="003E54BE">
            <w:pPr>
              <w:autoSpaceDE w:val="0"/>
              <w:autoSpaceDN w:val="0"/>
              <w:adjustRightInd w:val="0"/>
              <w:rPr>
                <w:rFonts w:ascii="Verdana" w:hAnsi="Verdana"/>
                <w:sz w:val="17"/>
                <w:szCs w:val="17"/>
              </w:rPr>
            </w:pPr>
            <w:r>
              <w:rPr>
                <w:rFonts w:ascii="Verdana" w:hAnsi="Verdana"/>
                <w:sz w:val="17"/>
                <w:szCs w:val="17"/>
                <w:lang w:val="en-GB"/>
              </w:rPr>
              <w:t>Not sure yet</w:t>
            </w:r>
          </w:p>
        </w:tc>
        <w:tc>
          <w:tcPr>
            <w:tcW w:w="2241" w:type="dxa"/>
            <w:tcBorders>
              <w:bottom w:val="single" w:sz="4" w:space="0" w:color="auto"/>
            </w:tcBorders>
            <w:shd w:val="clear" w:color="auto" w:fill="F2F2F2" w:themeFill="background1" w:themeFillShade="F2"/>
            <w:vAlign w:val="center"/>
          </w:tcPr>
          <w:p w14:paraId="6EDA5A5C" w14:textId="6964BDF8" w:rsidR="003E54BE" w:rsidRPr="009D4605" w:rsidRDefault="003E54BE" w:rsidP="003E54BE">
            <w:pPr>
              <w:autoSpaceDE w:val="0"/>
              <w:autoSpaceDN w:val="0"/>
              <w:adjustRightInd w:val="0"/>
              <w:rPr>
                <w:rFonts w:ascii="Verdana" w:hAnsi="Verdana"/>
                <w:sz w:val="17"/>
                <w:szCs w:val="17"/>
              </w:rPr>
            </w:pPr>
            <w:r>
              <w:rPr>
                <w:rFonts w:ascii="Verdana" w:hAnsi="Verdana"/>
                <w:sz w:val="17"/>
                <w:szCs w:val="17"/>
                <w:lang w:val="en-GB"/>
              </w:rPr>
              <w:t xml:space="preserve">Yes (please </w:t>
            </w:r>
            <w:r w:rsidR="00C2134B">
              <w:rPr>
                <w:rFonts w:ascii="Verdana" w:hAnsi="Verdana"/>
                <w:sz w:val="17"/>
                <w:szCs w:val="17"/>
                <w:lang w:val="en-GB"/>
              </w:rPr>
              <w:t>comment</w:t>
            </w:r>
            <w:r>
              <w:rPr>
                <w:rFonts w:ascii="Verdana" w:hAnsi="Verdana"/>
                <w:sz w:val="17"/>
                <w:szCs w:val="17"/>
                <w:lang w:val="en-GB"/>
              </w:rPr>
              <w:t>)</w:t>
            </w:r>
          </w:p>
        </w:tc>
        <w:tc>
          <w:tcPr>
            <w:tcW w:w="2241" w:type="dxa"/>
            <w:tcBorders>
              <w:bottom w:val="single" w:sz="4" w:space="0" w:color="auto"/>
            </w:tcBorders>
            <w:shd w:val="clear" w:color="auto" w:fill="F2F2F2" w:themeFill="background1" w:themeFillShade="F2"/>
            <w:vAlign w:val="center"/>
          </w:tcPr>
          <w:p w14:paraId="6A3563DC" w14:textId="40406B15" w:rsidR="003E54BE" w:rsidRPr="009D4605" w:rsidRDefault="003E54BE" w:rsidP="003E54BE">
            <w:pPr>
              <w:autoSpaceDE w:val="0"/>
              <w:autoSpaceDN w:val="0"/>
              <w:adjustRightInd w:val="0"/>
              <w:rPr>
                <w:rFonts w:ascii="Verdana" w:hAnsi="Verdana"/>
                <w:sz w:val="17"/>
                <w:szCs w:val="17"/>
                <w:lang w:val="en-GB"/>
              </w:rPr>
            </w:pPr>
            <w:r w:rsidRPr="009D4605">
              <w:rPr>
                <w:rFonts w:ascii="Verdana" w:hAnsi="Verdana"/>
                <w:sz w:val="17"/>
                <w:szCs w:val="17"/>
                <w:lang w:val="en-GB"/>
              </w:rPr>
              <w:t>No</w:t>
            </w:r>
          </w:p>
        </w:tc>
      </w:tr>
      <w:tr w:rsidR="003E54BE" w:rsidRPr="009D4605" w14:paraId="6D55BA14" w14:textId="77777777" w:rsidTr="00A66403">
        <w:trPr>
          <w:trHeight w:val="397"/>
        </w:trPr>
        <w:tc>
          <w:tcPr>
            <w:tcW w:w="562" w:type="dxa"/>
            <w:vMerge/>
            <w:shd w:val="clear" w:color="auto" w:fill="F2F2F2" w:themeFill="background1" w:themeFillShade="F2"/>
          </w:tcPr>
          <w:p w14:paraId="4B7AEB5D" w14:textId="77777777" w:rsidR="003E54BE" w:rsidRPr="00EB6D40" w:rsidRDefault="003E54BE" w:rsidP="003E54BE">
            <w:pPr>
              <w:rPr>
                <w:rFonts w:ascii="Verdana" w:hAnsi="Verdana"/>
                <w:sz w:val="17"/>
                <w:szCs w:val="17"/>
                <w:lang w:val="en-GB"/>
              </w:rPr>
            </w:pPr>
          </w:p>
        </w:tc>
        <w:tc>
          <w:tcPr>
            <w:tcW w:w="6946" w:type="dxa"/>
            <w:tcBorders>
              <w:top w:val="single" w:sz="4" w:space="0" w:color="auto"/>
              <w:bottom w:val="single" w:sz="6" w:space="0" w:color="D3D8D3"/>
              <w:right w:val="single" w:sz="4" w:space="0" w:color="auto"/>
            </w:tcBorders>
            <w:vAlign w:val="center"/>
          </w:tcPr>
          <w:p w14:paraId="45A41A9D" w14:textId="77777777" w:rsidR="003E54BE" w:rsidRPr="009D4605" w:rsidRDefault="003E54BE" w:rsidP="003E54BE">
            <w:pPr>
              <w:rPr>
                <w:rFonts w:ascii="Verdana" w:hAnsi="Verdana"/>
                <w:sz w:val="17"/>
                <w:szCs w:val="17"/>
                <w:lang w:val="en-GB"/>
              </w:rPr>
            </w:pPr>
            <w:r w:rsidRPr="009D4605">
              <w:rPr>
                <w:rFonts w:ascii="Arial" w:eastAsia="Times New Roman" w:hAnsi="Arial" w:cs="Arial"/>
                <w:color w:val="666666"/>
                <w:sz w:val="20"/>
                <w:szCs w:val="20"/>
                <w:lang w:val="en-GB" w:eastAsia="en-GB"/>
              </w:rPr>
              <w:t>Significant recalibration of the existing methodology (</w:t>
            </w:r>
            <w:proofErr w:type="spellStart"/>
            <w:r w:rsidRPr="009D4605">
              <w:rPr>
                <w:rFonts w:ascii="Arial" w:eastAsia="Times New Roman" w:hAnsi="Arial" w:cs="Arial"/>
                <w:color w:val="666666"/>
                <w:sz w:val="20"/>
                <w:szCs w:val="20"/>
                <w:lang w:val="en-GB" w:eastAsia="en-GB"/>
              </w:rPr>
              <w:t>eg</w:t>
            </w:r>
            <w:proofErr w:type="spellEnd"/>
            <w:r w:rsidRPr="009D4605">
              <w:rPr>
                <w:rFonts w:ascii="Arial" w:eastAsia="Times New Roman" w:hAnsi="Arial" w:cs="Arial"/>
                <w:color w:val="666666"/>
                <w:sz w:val="20"/>
                <w:szCs w:val="20"/>
                <w:lang w:val="en-GB" w:eastAsia="en-GB"/>
              </w:rPr>
              <w:t xml:space="preserve"> increase application ratio, change representative portfolio, redesign country adjustment)? </w:t>
            </w:r>
          </w:p>
        </w:tc>
        <w:tc>
          <w:tcPr>
            <w:tcW w:w="2240" w:type="dxa"/>
            <w:tcBorders>
              <w:top w:val="single" w:sz="4" w:space="0" w:color="auto"/>
              <w:left w:val="single" w:sz="4" w:space="0" w:color="auto"/>
              <w:bottom w:val="single" w:sz="4" w:space="0" w:color="BFBFBF" w:themeColor="background1" w:themeShade="BF"/>
              <w:right w:val="single" w:sz="4" w:space="0" w:color="auto"/>
            </w:tcBorders>
            <w:vAlign w:val="center"/>
          </w:tcPr>
          <w:p w14:paraId="3BBE7EC9" w14:textId="750ADF22" w:rsidR="003E54BE" w:rsidRPr="00A66403" w:rsidRDefault="00452774" w:rsidP="003E54BE">
            <w:pPr>
              <w:rPr>
                <w:rFonts w:ascii="Verdana" w:hAnsi="Verdana"/>
                <w:sz w:val="17"/>
                <w:szCs w:val="17"/>
                <w:lang w:val="en-GB"/>
              </w:rPr>
            </w:pPr>
            <w:r>
              <w:rPr>
                <w:rFonts w:ascii="Verdana" w:hAnsi="Verdana"/>
                <w:sz w:val="17"/>
                <w:szCs w:val="17"/>
                <w:lang w:val="en-GB"/>
              </w:rPr>
              <w:t>X</w:t>
            </w:r>
            <w:r w:rsidR="00595725">
              <w:rPr>
                <w:rFonts w:ascii="Verdana" w:hAnsi="Verdana"/>
                <w:sz w:val="17"/>
                <w:szCs w:val="17"/>
                <w:lang w:val="en-GB"/>
              </w:rPr>
              <w:t>X</w:t>
            </w:r>
            <w:r w:rsidR="003A4A2A">
              <w:rPr>
                <w:rFonts w:ascii="Verdana" w:hAnsi="Verdana"/>
                <w:sz w:val="17"/>
                <w:szCs w:val="17"/>
                <w:lang w:val="en-GB"/>
              </w:rPr>
              <w:t>X</w:t>
            </w:r>
          </w:p>
        </w:tc>
        <w:tc>
          <w:tcPr>
            <w:tcW w:w="2241" w:type="dxa"/>
            <w:tcBorders>
              <w:top w:val="single" w:sz="4" w:space="0" w:color="auto"/>
              <w:left w:val="single" w:sz="4" w:space="0" w:color="auto"/>
              <w:bottom w:val="single" w:sz="4" w:space="0" w:color="BFBFBF" w:themeColor="background1" w:themeShade="BF"/>
              <w:right w:val="single" w:sz="4" w:space="0" w:color="auto"/>
            </w:tcBorders>
            <w:vAlign w:val="center"/>
          </w:tcPr>
          <w:p w14:paraId="439DD772" w14:textId="35D15BE0" w:rsidR="003E54BE" w:rsidRPr="009D4605" w:rsidRDefault="003E54BE" w:rsidP="003E54BE">
            <w:pPr>
              <w:rPr>
                <w:rFonts w:ascii="Verdana" w:hAnsi="Verdana"/>
                <w:sz w:val="17"/>
                <w:szCs w:val="17"/>
                <w:lang w:val="en-GB"/>
              </w:rPr>
            </w:pPr>
          </w:p>
        </w:tc>
        <w:tc>
          <w:tcPr>
            <w:tcW w:w="2241" w:type="dxa"/>
            <w:tcBorders>
              <w:top w:val="single" w:sz="4" w:space="0" w:color="auto"/>
              <w:left w:val="single" w:sz="4" w:space="0" w:color="auto"/>
              <w:bottom w:val="single" w:sz="4" w:space="0" w:color="BFBFBF" w:themeColor="background1" w:themeShade="BF"/>
              <w:right w:val="single" w:sz="4" w:space="0" w:color="auto"/>
            </w:tcBorders>
            <w:vAlign w:val="center"/>
          </w:tcPr>
          <w:p w14:paraId="195F0529" w14:textId="4AD91FC5" w:rsidR="003E54BE" w:rsidRPr="009D4605" w:rsidRDefault="00265F68" w:rsidP="003E54BE">
            <w:pPr>
              <w:rPr>
                <w:rFonts w:ascii="Verdana" w:hAnsi="Verdana"/>
                <w:sz w:val="17"/>
                <w:szCs w:val="17"/>
                <w:lang w:val="en-GB"/>
              </w:rPr>
            </w:pPr>
            <w:r>
              <w:rPr>
                <w:rFonts w:ascii="Verdana" w:hAnsi="Verdana"/>
                <w:sz w:val="17"/>
                <w:szCs w:val="17"/>
                <w:lang w:val="en-GB"/>
              </w:rPr>
              <w:t>X</w:t>
            </w:r>
            <w:r w:rsidR="00DF3DED">
              <w:rPr>
                <w:rFonts w:ascii="Verdana" w:hAnsi="Verdana"/>
                <w:sz w:val="17"/>
                <w:szCs w:val="17"/>
                <w:lang w:val="en-GB"/>
              </w:rPr>
              <w:t>X</w:t>
            </w:r>
            <w:r w:rsidR="005225ED">
              <w:rPr>
                <w:rFonts w:ascii="Verdana" w:hAnsi="Verdana"/>
                <w:sz w:val="17"/>
                <w:szCs w:val="17"/>
                <w:lang w:val="en-GB"/>
              </w:rPr>
              <w:t>X</w:t>
            </w:r>
          </w:p>
        </w:tc>
      </w:tr>
      <w:tr w:rsidR="003E54BE" w:rsidRPr="009D4605" w14:paraId="4FFE1E4B" w14:textId="77777777" w:rsidTr="00A66403">
        <w:trPr>
          <w:trHeight w:val="397"/>
        </w:trPr>
        <w:tc>
          <w:tcPr>
            <w:tcW w:w="562" w:type="dxa"/>
            <w:vMerge/>
            <w:shd w:val="clear" w:color="auto" w:fill="F2F2F2" w:themeFill="background1" w:themeFillShade="F2"/>
          </w:tcPr>
          <w:p w14:paraId="0CD07659" w14:textId="77777777" w:rsidR="003E54BE" w:rsidRPr="00EB6D40" w:rsidRDefault="003E54BE" w:rsidP="003E54BE">
            <w:pPr>
              <w:rPr>
                <w:rFonts w:ascii="Verdana" w:hAnsi="Verdana"/>
                <w:sz w:val="17"/>
                <w:szCs w:val="17"/>
                <w:lang w:val="en-GB"/>
              </w:rPr>
            </w:pPr>
          </w:p>
        </w:tc>
        <w:tc>
          <w:tcPr>
            <w:tcW w:w="6946" w:type="dxa"/>
            <w:tcBorders>
              <w:bottom w:val="single" w:sz="4" w:space="0" w:color="auto"/>
              <w:right w:val="single" w:sz="4" w:space="0" w:color="auto"/>
            </w:tcBorders>
            <w:vAlign w:val="center"/>
          </w:tcPr>
          <w:p w14:paraId="3458E928" w14:textId="77777777" w:rsidR="003E54BE" w:rsidRPr="009D4605" w:rsidRDefault="003E54BE" w:rsidP="003E54BE">
            <w:pPr>
              <w:rPr>
                <w:rFonts w:ascii="Verdana" w:hAnsi="Verdana"/>
                <w:sz w:val="17"/>
                <w:szCs w:val="17"/>
                <w:lang w:val="en-GB"/>
              </w:rPr>
            </w:pPr>
            <w:r w:rsidRPr="009D4605">
              <w:rPr>
                <w:rFonts w:ascii="Arial" w:eastAsia="Times New Roman" w:hAnsi="Arial" w:cs="Arial"/>
                <w:color w:val="666666"/>
                <w:sz w:val="20"/>
                <w:szCs w:val="20"/>
                <w:lang w:val="en-GB" w:eastAsia="en-GB"/>
              </w:rPr>
              <w:t>Introduction of VA v2.0 which is based on own assets allocations but standardised spreads (sometimes referred to as a "WAMP" approach)?</w:t>
            </w:r>
          </w:p>
        </w:tc>
        <w:tc>
          <w:tcPr>
            <w:tcW w:w="2240" w:type="dxa"/>
            <w:tcBorders>
              <w:top w:val="single" w:sz="4" w:space="0" w:color="BFBFBF" w:themeColor="background1" w:themeShade="BF"/>
              <w:left w:val="single" w:sz="4" w:space="0" w:color="auto"/>
              <w:bottom w:val="single" w:sz="4" w:space="0" w:color="auto"/>
              <w:right w:val="single" w:sz="4" w:space="0" w:color="auto"/>
            </w:tcBorders>
            <w:vAlign w:val="center"/>
          </w:tcPr>
          <w:p w14:paraId="15876C44" w14:textId="3D1F084C" w:rsidR="003E54BE" w:rsidRPr="00A66403" w:rsidRDefault="00452774" w:rsidP="003E54BE">
            <w:pPr>
              <w:rPr>
                <w:rFonts w:ascii="Verdana" w:hAnsi="Verdana"/>
                <w:sz w:val="17"/>
                <w:szCs w:val="17"/>
                <w:lang w:val="en-GB"/>
              </w:rPr>
            </w:pPr>
            <w:r>
              <w:rPr>
                <w:rFonts w:ascii="Verdana" w:hAnsi="Verdana"/>
                <w:sz w:val="17"/>
                <w:szCs w:val="17"/>
                <w:lang w:val="en-GB"/>
              </w:rPr>
              <w:t>X</w:t>
            </w:r>
            <w:r w:rsidR="00595725">
              <w:rPr>
                <w:rFonts w:ascii="Verdana" w:hAnsi="Verdana"/>
                <w:sz w:val="17"/>
                <w:szCs w:val="17"/>
                <w:lang w:val="en-GB"/>
              </w:rPr>
              <w:t>X</w:t>
            </w:r>
            <w:r w:rsidR="003A4A2A">
              <w:rPr>
                <w:rFonts w:ascii="Verdana" w:hAnsi="Verdana"/>
                <w:sz w:val="17"/>
                <w:szCs w:val="17"/>
                <w:lang w:val="en-GB"/>
              </w:rPr>
              <w:t>X</w:t>
            </w:r>
          </w:p>
        </w:tc>
        <w:tc>
          <w:tcPr>
            <w:tcW w:w="2241" w:type="dxa"/>
            <w:tcBorders>
              <w:top w:val="single" w:sz="4" w:space="0" w:color="BFBFBF" w:themeColor="background1" w:themeShade="BF"/>
              <w:left w:val="single" w:sz="4" w:space="0" w:color="auto"/>
              <w:bottom w:val="single" w:sz="4" w:space="0" w:color="auto"/>
              <w:right w:val="single" w:sz="4" w:space="0" w:color="auto"/>
            </w:tcBorders>
            <w:vAlign w:val="center"/>
          </w:tcPr>
          <w:p w14:paraId="51F57F8B" w14:textId="7FCA78C0" w:rsidR="003E54BE" w:rsidRPr="009D4605" w:rsidRDefault="003E54BE" w:rsidP="003E54BE">
            <w:pPr>
              <w:rPr>
                <w:rFonts w:ascii="Verdana" w:hAnsi="Verdana"/>
                <w:sz w:val="17"/>
                <w:szCs w:val="17"/>
                <w:lang w:val="en-GB"/>
              </w:rPr>
            </w:pPr>
          </w:p>
        </w:tc>
        <w:tc>
          <w:tcPr>
            <w:tcW w:w="2241" w:type="dxa"/>
            <w:tcBorders>
              <w:top w:val="single" w:sz="4" w:space="0" w:color="BFBFBF" w:themeColor="background1" w:themeShade="BF"/>
              <w:left w:val="single" w:sz="4" w:space="0" w:color="auto"/>
              <w:bottom w:val="single" w:sz="4" w:space="0" w:color="auto"/>
              <w:right w:val="single" w:sz="4" w:space="0" w:color="auto"/>
            </w:tcBorders>
            <w:vAlign w:val="center"/>
          </w:tcPr>
          <w:p w14:paraId="522AD36F" w14:textId="06A494FF" w:rsidR="003E54BE" w:rsidRPr="009D4605" w:rsidRDefault="00265F68" w:rsidP="003E54BE">
            <w:pPr>
              <w:rPr>
                <w:rFonts w:ascii="Verdana" w:hAnsi="Verdana"/>
                <w:sz w:val="17"/>
                <w:szCs w:val="17"/>
                <w:lang w:val="en-GB"/>
              </w:rPr>
            </w:pPr>
            <w:r>
              <w:rPr>
                <w:rFonts w:ascii="Verdana" w:hAnsi="Verdana"/>
                <w:sz w:val="17"/>
                <w:szCs w:val="17"/>
                <w:lang w:val="en-GB"/>
              </w:rPr>
              <w:t>X</w:t>
            </w:r>
            <w:r w:rsidR="00DF3DED">
              <w:rPr>
                <w:rFonts w:ascii="Verdana" w:hAnsi="Verdana"/>
                <w:sz w:val="17"/>
                <w:szCs w:val="17"/>
                <w:lang w:val="en-GB"/>
              </w:rPr>
              <w:t>X</w:t>
            </w:r>
            <w:r w:rsidR="005225ED">
              <w:rPr>
                <w:rFonts w:ascii="Verdana" w:hAnsi="Verdana"/>
                <w:sz w:val="17"/>
                <w:szCs w:val="17"/>
                <w:lang w:val="en-GB"/>
              </w:rPr>
              <w:t>X</w:t>
            </w:r>
          </w:p>
        </w:tc>
      </w:tr>
      <w:tr w:rsidR="003E54BE" w:rsidRPr="009D4605" w14:paraId="0EDA5E3E" w14:textId="77777777" w:rsidTr="00A66403">
        <w:trPr>
          <w:trHeight w:val="397"/>
        </w:trPr>
        <w:tc>
          <w:tcPr>
            <w:tcW w:w="562" w:type="dxa"/>
            <w:vMerge w:val="restart"/>
            <w:shd w:val="clear" w:color="auto" w:fill="F2F2F2" w:themeFill="background1" w:themeFillShade="F2"/>
          </w:tcPr>
          <w:p w14:paraId="62DCFC56" w14:textId="38ED2E03" w:rsidR="003E54BE" w:rsidRPr="00EB6D40" w:rsidRDefault="003E54BE" w:rsidP="003E54BE">
            <w:pPr>
              <w:rPr>
                <w:rFonts w:ascii="Verdana" w:hAnsi="Verdana"/>
                <w:sz w:val="17"/>
                <w:szCs w:val="17"/>
                <w:lang w:val="en-GB"/>
              </w:rPr>
            </w:pPr>
            <w:r w:rsidRPr="00A66403">
              <w:rPr>
                <w:rFonts w:ascii="Verdana" w:hAnsi="Verdana"/>
                <w:sz w:val="17"/>
                <w:szCs w:val="17"/>
              </w:rPr>
              <w:t>4</w:t>
            </w:r>
            <w:r w:rsidRPr="00EB6D40">
              <w:rPr>
                <w:rFonts w:ascii="Verdana" w:hAnsi="Verdana"/>
                <w:sz w:val="17"/>
                <w:szCs w:val="17"/>
              </w:rPr>
              <w:t>.</w:t>
            </w:r>
          </w:p>
        </w:tc>
        <w:tc>
          <w:tcPr>
            <w:tcW w:w="6946" w:type="dxa"/>
            <w:vMerge w:val="restart"/>
            <w:tcBorders>
              <w:top w:val="single" w:sz="4" w:space="0" w:color="auto"/>
            </w:tcBorders>
            <w:shd w:val="clear" w:color="auto" w:fill="F2F2F2" w:themeFill="background1" w:themeFillShade="F2"/>
            <w:vAlign w:val="center"/>
          </w:tcPr>
          <w:p w14:paraId="05C93381" w14:textId="77777777" w:rsidR="003E54BE" w:rsidRPr="00A66403" w:rsidRDefault="003E54BE" w:rsidP="003E54BE">
            <w:pPr>
              <w:autoSpaceDE w:val="0"/>
              <w:autoSpaceDN w:val="0"/>
              <w:adjustRightInd w:val="0"/>
              <w:rPr>
                <w:rFonts w:ascii="Verdana" w:hAnsi="Verdana"/>
                <w:sz w:val="17"/>
                <w:szCs w:val="17"/>
                <w:lang w:val="en-GB"/>
              </w:rPr>
            </w:pPr>
            <w:r w:rsidRPr="009D4605">
              <w:rPr>
                <w:rFonts w:ascii="Arial" w:eastAsia="Times New Roman" w:hAnsi="Arial" w:cs="Arial"/>
                <w:b/>
                <w:bCs/>
                <w:color w:val="000000"/>
                <w:sz w:val="20"/>
                <w:szCs w:val="20"/>
                <w:lang w:val="en-GB" w:eastAsia="en-GB"/>
              </w:rPr>
              <w:t>Do you support changes to the eligibility criteria for the Matching Adjustment?</w:t>
            </w:r>
          </w:p>
          <w:p w14:paraId="710098C6" w14:textId="49AFE00A" w:rsidR="003E54BE" w:rsidRPr="00A66403" w:rsidRDefault="003E54BE" w:rsidP="003E54BE">
            <w:pPr>
              <w:rPr>
                <w:rFonts w:ascii="Verdana" w:hAnsi="Verdana"/>
                <w:sz w:val="17"/>
                <w:szCs w:val="17"/>
                <w:lang w:val="en-GB"/>
              </w:rPr>
            </w:pPr>
          </w:p>
        </w:tc>
        <w:tc>
          <w:tcPr>
            <w:tcW w:w="2240" w:type="dxa"/>
            <w:tcBorders>
              <w:top w:val="single" w:sz="4" w:space="0" w:color="auto"/>
              <w:bottom w:val="single" w:sz="4" w:space="0" w:color="auto"/>
            </w:tcBorders>
            <w:shd w:val="clear" w:color="auto" w:fill="F2F2F2" w:themeFill="background1" w:themeFillShade="F2"/>
            <w:vAlign w:val="center"/>
          </w:tcPr>
          <w:p w14:paraId="3EF1C8B6" w14:textId="1CB3FC93" w:rsidR="003E54BE" w:rsidRPr="009D4605" w:rsidRDefault="003E54BE" w:rsidP="003E54BE">
            <w:pPr>
              <w:autoSpaceDE w:val="0"/>
              <w:autoSpaceDN w:val="0"/>
              <w:adjustRightInd w:val="0"/>
              <w:rPr>
                <w:rFonts w:ascii="Verdana" w:hAnsi="Verdana"/>
                <w:sz w:val="17"/>
                <w:szCs w:val="17"/>
              </w:rPr>
            </w:pPr>
            <w:r>
              <w:rPr>
                <w:rFonts w:ascii="Verdana" w:hAnsi="Verdana"/>
                <w:sz w:val="17"/>
                <w:szCs w:val="17"/>
                <w:lang w:val="en-GB"/>
              </w:rPr>
              <w:t>Not sure yet</w:t>
            </w:r>
          </w:p>
        </w:tc>
        <w:tc>
          <w:tcPr>
            <w:tcW w:w="2241" w:type="dxa"/>
            <w:tcBorders>
              <w:top w:val="single" w:sz="4" w:space="0" w:color="auto"/>
              <w:bottom w:val="single" w:sz="4" w:space="0" w:color="auto"/>
            </w:tcBorders>
            <w:shd w:val="clear" w:color="auto" w:fill="F2F2F2" w:themeFill="background1" w:themeFillShade="F2"/>
            <w:vAlign w:val="center"/>
          </w:tcPr>
          <w:p w14:paraId="5CADC45C" w14:textId="64A714D1" w:rsidR="003E54BE" w:rsidRPr="009D4605" w:rsidRDefault="003E54BE" w:rsidP="003E54BE">
            <w:pPr>
              <w:autoSpaceDE w:val="0"/>
              <w:autoSpaceDN w:val="0"/>
              <w:adjustRightInd w:val="0"/>
              <w:rPr>
                <w:rFonts w:ascii="Verdana" w:hAnsi="Verdana"/>
                <w:sz w:val="17"/>
                <w:szCs w:val="17"/>
              </w:rPr>
            </w:pPr>
            <w:r>
              <w:rPr>
                <w:rFonts w:ascii="Verdana" w:hAnsi="Verdana"/>
                <w:sz w:val="17"/>
                <w:szCs w:val="17"/>
                <w:lang w:val="en-GB"/>
              </w:rPr>
              <w:t xml:space="preserve">Yes (please </w:t>
            </w:r>
            <w:r w:rsidR="00C2134B">
              <w:rPr>
                <w:rFonts w:ascii="Verdana" w:hAnsi="Verdana"/>
                <w:sz w:val="17"/>
                <w:szCs w:val="17"/>
                <w:lang w:val="en-GB"/>
              </w:rPr>
              <w:t>comment</w:t>
            </w:r>
            <w:r>
              <w:rPr>
                <w:rFonts w:ascii="Verdana" w:hAnsi="Verdana"/>
                <w:sz w:val="17"/>
                <w:szCs w:val="17"/>
                <w:lang w:val="en-GB"/>
              </w:rPr>
              <w:t>)</w:t>
            </w:r>
          </w:p>
        </w:tc>
        <w:tc>
          <w:tcPr>
            <w:tcW w:w="2241" w:type="dxa"/>
            <w:tcBorders>
              <w:top w:val="single" w:sz="4" w:space="0" w:color="auto"/>
              <w:bottom w:val="single" w:sz="4" w:space="0" w:color="auto"/>
            </w:tcBorders>
            <w:shd w:val="clear" w:color="auto" w:fill="F2F2F2" w:themeFill="background1" w:themeFillShade="F2"/>
            <w:vAlign w:val="center"/>
          </w:tcPr>
          <w:p w14:paraId="52C947F5" w14:textId="26C5B0F7" w:rsidR="003E54BE" w:rsidRPr="009D4605" w:rsidRDefault="003E54BE" w:rsidP="003E54BE">
            <w:pPr>
              <w:autoSpaceDE w:val="0"/>
              <w:autoSpaceDN w:val="0"/>
              <w:adjustRightInd w:val="0"/>
              <w:rPr>
                <w:rFonts w:ascii="Verdana" w:hAnsi="Verdana"/>
                <w:sz w:val="17"/>
                <w:szCs w:val="17"/>
                <w:lang w:val="en-GB"/>
              </w:rPr>
            </w:pPr>
            <w:r w:rsidRPr="009D4605">
              <w:rPr>
                <w:rFonts w:ascii="Verdana" w:hAnsi="Verdana"/>
                <w:sz w:val="17"/>
                <w:szCs w:val="17"/>
                <w:lang w:val="en-GB"/>
              </w:rPr>
              <w:t>No</w:t>
            </w:r>
          </w:p>
        </w:tc>
      </w:tr>
      <w:tr w:rsidR="003E54BE" w:rsidRPr="009D4605" w14:paraId="74C3CD4E" w14:textId="77777777" w:rsidTr="00A66403">
        <w:trPr>
          <w:trHeight w:val="397"/>
        </w:trPr>
        <w:tc>
          <w:tcPr>
            <w:tcW w:w="562" w:type="dxa"/>
            <w:vMerge/>
            <w:shd w:val="clear" w:color="auto" w:fill="F2F2F2" w:themeFill="background1" w:themeFillShade="F2"/>
          </w:tcPr>
          <w:p w14:paraId="6A5E3B00" w14:textId="77777777" w:rsidR="003E54BE" w:rsidRPr="00A66403" w:rsidRDefault="003E54BE" w:rsidP="003E54BE">
            <w:pPr>
              <w:rPr>
                <w:rFonts w:ascii="Verdana" w:hAnsi="Verdana"/>
                <w:sz w:val="17"/>
                <w:szCs w:val="17"/>
                <w:highlight w:val="yellow"/>
                <w:lang w:val="en-GB"/>
              </w:rPr>
            </w:pPr>
          </w:p>
        </w:tc>
        <w:tc>
          <w:tcPr>
            <w:tcW w:w="6946" w:type="dxa"/>
            <w:vMerge/>
            <w:tcBorders>
              <w:right w:val="single" w:sz="4" w:space="0" w:color="auto"/>
            </w:tcBorders>
            <w:vAlign w:val="center"/>
          </w:tcPr>
          <w:p w14:paraId="783BA397" w14:textId="10CACC4F" w:rsidR="003E54BE" w:rsidRPr="009D4605" w:rsidRDefault="003E54BE" w:rsidP="003E54BE">
            <w:pPr>
              <w:rPr>
                <w:rFonts w:ascii="Verdana" w:hAnsi="Verdana"/>
                <w:sz w:val="17"/>
                <w:szCs w:val="17"/>
              </w:rPr>
            </w:pPr>
          </w:p>
        </w:tc>
        <w:tc>
          <w:tcPr>
            <w:tcW w:w="2240" w:type="dxa"/>
            <w:tcBorders>
              <w:top w:val="single" w:sz="4" w:space="0" w:color="auto"/>
              <w:left w:val="single" w:sz="4" w:space="0" w:color="auto"/>
              <w:bottom w:val="single" w:sz="4" w:space="0" w:color="BFBFBF" w:themeColor="background1" w:themeShade="BF"/>
              <w:right w:val="single" w:sz="4" w:space="0" w:color="auto"/>
            </w:tcBorders>
            <w:vAlign w:val="center"/>
          </w:tcPr>
          <w:p w14:paraId="22FFD211" w14:textId="72F4B89A" w:rsidR="003E54BE" w:rsidRPr="009D4605" w:rsidRDefault="00452774" w:rsidP="003E54BE">
            <w:pPr>
              <w:rPr>
                <w:rFonts w:ascii="Verdana" w:hAnsi="Verdana"/>
                <w:sz w:val="17"/>
                <w:szCs w:val="17"/>
              </w:rPr>
            </w:pPr>
            <w:r>
              <w:rPr>
                <w:rFonts w:ascii="Verdana" w:hAnsi="Verdana"/>
                <w:sz w:val="17"/>
                <w:szCs w:val="17"/>
              </w:rPr>
              <w:t>X</w:t>
            </w:r>
            <w:r w:rsidR="00265F68">
              <w:rPr>
                <w:rFonts w:ascii="Verdana" w:hAnsi="Verdana"/>
                <w:sz w:val="17"/>
                <w:szCs w:val="17"/>
              </w:rPr>
              <w:t>X</w:t>
            </w:r>
            <w:r w:rsidR="005225ED">
              <w:rPr>
                <w:rFonts w:ascii="Verdana" w:hAnsi="Verdana"/>
                <w:sz w:val="17"/>
                <w:szCs w:val="17"/>
              </w:rPr>
              <w:t>X</w:t>
            </w:r>
          </w:p>
        </w:tc>
        <w:tc>
          <w:tcPr>
            <w:tcW w:w="2241" w:type="dxa"/>
            <w:tcBorders>
              <w:top w:val="single" w:sz="4" w:space="0" w:color="auto"/>
              <w:left w:val="single" w:sz="4" w:space="0" w:color="auto"/>
              <w:bottom w:val="single" w:sz="4" w:space="0" w:color="BFBFBF" w:themeColor="background1" w:themeShade="BF"/>
              <w:right w:val="single" w:sz="4" w:space="0" w:color="auto"/>
            </w:tcBorders>
            <w:vAlign w:val="center"/>
          </w:tcPr>
          <w:p w14:paraId="4B2A938B" w14:textId="2BD17714" w:rsidR="003E54BE" w:rsidRPr="009D4605" w:rsidRDefault="003E54BE" w:rsidP="003E54BE">
            <w:pPr>
              <w:rPr>
                <w:rFonts w:ascii="Verdana" w:hAnsi="Verdana"/>
                <w:sz w:val="17"/>
                <w:szCs w:val="17"/>
              </w:rPr>
            </w:pPr>
          </w:p>
        </w:tc>
        <w:tc>
          <w:tcPr>
            <w:tcW w:w="2241" w:type="dxa"/>
            <w:tcBorders>
              <w:top w:val="single" w:sz="4" w:space="0" w:color="auto"/>
              <w:left w:val="single" w:sz="4" w:space="0" w:color="auto"/>
              <w:bottom w:val="single" w:sz="4" w:space="0" w:color="BFBFBF" w:themeColor="background1" w:themeShade="BF"/>
              <w:right w:val="single" w:sz="4" w:space="0" w:color="auto"/>
            </w:tcBorders>
            <w:vAlign w:val="center"/>
          </w:tcPr>
          <w:p w14:paraId="3C0A5DF8" w14:textId="6A8E29A4" w:rsidR="003E54BE" w:rsidRPr="009D4605" w:rsidRDefault="00DF3DED" w:rsidP="003E54BE">
            <w:pPr>
              <w:rPr>
                <w:rFonts w:ascii="Verdana" w:hAnsi="Verdana"/>
                <w:sz w:val="17"/>
                <w:szCs w:val="17"/>
                <w:lang w:val="en-GB"/>
              </w:rPr>
            </w:pPr>
            <w:r>
              <w:rPr>
                <w:rFonts w:ascii="Verdana" w:hAnsi="Verdana"/>
                <w:sz w:val="17"/>
                <w:szCs w:val="17"/>
                <w:lang w:val="en-GB"/>
              </w:rPr>
              <w:t>X</w:t>
            </w:r>
            <w:r w:rsidR="00595725">
              <w:rPr>
                <w:rFonts w:ascii="Verdana" w:hAnsi="Verdana"/>
                <w:sz w:val="17"/>
                <w:szCs w:val="17"/>
                <w:lang w:val="en-GB"/>
              </w:rPr>
              <w:t>X</w:t>
            </w:r>
            <w:r w:rsidR="003A4A2A">
              <w:rPr>
                <w:rFonts w:ascii="Verdana" w:hAnsi="Verdana"/>
                <w:sz w:val="17"/>
                <w:szCs w:val="17"/>
                <w:lang w:val="en-GB"/>
              </w:rPr>
              <w:t>X</w:t>
            </w:r>
          </w:p>
        </w:tc>
      </w:tr>
      <w:tr w:rsidR="003E54BE" w:rsidRPr="009D4605" w14:paraId="2A46F8AD" w14:textId="77777777" w:rsidTr="00A66403">
        <w:trPr>
          <w:trHeight w:val="397"/>
        </w:trPr>
        <w:tc>
          <w:tcPr>
            <w:tcW w:w="562" w:type="dxa"/>
            <w:vMerge w:val="restart"/>
            <w:shd w:val="clear" w:color="auto" w:fill="F2F2F2" w:themeFill="background1" w:themeFillShade="F2"/>
          </w:tcPr>
          <w:p w14:paraId="58726188" w14:textId="538AD857" w:rsidR="003E54BE" w:rsidRPr="009D4605" w:rsidRDefault="007A315B" w:rsidP="003E54BE">
            <w:pPr>
              <w:rPr>
                <w:rFonts w:ascii="Verdana" w:hAnsi="Verdana"/>
                <w:sz w:val="17"/>
                <w:szCs w:val="17"/>
                <w:lang w:val="en-GB"/>
              </w:rPr>
            </w:pPr>
            <w:r>
              <w:rPr>
                <w:rFonts w:ascii="Verdana" w:hAnsi="Verdana"/>
                <w:sz w:val="17"/>
                <w:szCs w:val="17"/>
                <w:lang w:val="en-GB"/>
              </w:rPr>
              <w:t>5</w:t>
            </w:r>
            <w:r w:rsidR="003E54BE" w:rsidRPr="009D4605">
              <w:rPr>
                <w:rFonts w:ascii="Verdana" w:hAnsi="Verdana"/>
                <w:sz w:val="17"/>
                <w:szCs w:val="17"/>
                <w:lang w:val="en-GB"/>
              </w:rPr>
              <w:t>.</w:t>
            </w:r>
          </w:p>
        </w:tc>
        <w:tc>
          <w:tcPr>
            <w:tcW w:w="6946" w:type="dxa"/>
            <w:vMerge w:val="restart"/>
            <w:shd w:val="clear" w:color="auto" w:fill="F2F2F2" w:themeFill="background1" w:themeFillShade="F2"/>
            <w:vAlign w:val="center"/>
          </w:tcPr>
          <w:p w14:paraId="4E11D378" w14:textId="77777777" w:rsidR="003E54BE" w:rsidRPr="00A66403" w:rsidRDefault="003E54BE" w:rsidP="003E54BE">
            <w:pPr>
              <w:autoSpaceDE w:val="0"/>
              <w:autoSpaceDN w:val="0"/>
              <w:adjustRightInd w:val="0"/>
              <w:rPr>
                <w:rFonts w:ascii="Verdana" w:hAnsi="Verdana"/>
                <w:sz w:val="17"/>
                <w:szCs w:val="17"/>
                <w:lang w:val="en-GB"/>
              </w:rPr>
            </w:pPr>
            <w:r w:rsidRPr="009D4605">
              <w:rPr>
                <w:rFonts w:ascii="Arial" w:eastAsia="Times New Roman" w:hAnsi="Arial" w:cs="Arial"/>
                <w:b/>
                <w:bCs/>
                <w:color w:val="000000"/>
                <w:sz w:val="20"/>
                <w:szCs w:val="20"/>
                <w:lang w:val="en-GB" w:eastAsia="en-GB"/>
              </w:rPr>
              <w:t>Do you support the inclusion of the non-fixed income asset returns (i.e. property, infrastructure, equity etc.) in the VA and/or MA?</w:t>
            </w:r>
          </w:p>
        </w:tc>
        <w:tc>
          <w:tcPr>
            <w:tcW w:w="2240" w:type="dxa"/>
            <w:tcBorders>
              <w:bottom w:val="single" w:sz="4" w:space="0" w:color="auto"/>
            </w:tcBorders>
            <w:shd w:val="clear" w:color="auto" w:fill="F2F2F2" w:themeFill="background1" w:themeFillShade="F2"/>
            <w:vAlign w:val="center"/>
          </w:tcPr>
          <w:p w14:paraId="1CEA7EAF" w14:textId="3B48BD5F" w:rsidR="003E54BE" w:rsidRPr="009D4605" w:rsidRDefault="003E54BE" w:rsidP="003E54BE">
            <w:pPr>
              <w:autoSpaceDE w:val="0"/>
              <w:autoSpaceDN w:val="0"/>
              <w:adjustRightInd w:val="0"/>
              <w:rPr>
                <w:rFonts w:ascii="Verdana" w:hAnsi="Verdana"/>
                <w:sz w:val="17"/>
                <w:szCs w:val="17"/>
              </w:rPr>
            </w:pPr>
            <w:r>
              <w:rPr>
                <w:rFonts w:ascii="Verdana" w:hAnsi="Verdana"/>
                <w:sz w:val="17"/>
                <w:szCs w:val="17"/>
                <w:lang w:val="en-GB"/>
              </w:rPr>
              <w:t>Not sure yet</w:t>
            </w:r>
          </w:p>
        </w:tc>
        <w:tc>
          <w:tcPr>
            <w:tcW w:w="2241" w:type="dxa"/>
            <w:tcBorders>
              <w:bottom w:val="single" w:sz="4" w:space="0" w:color="auto"/>
            </w:tcBorders>
            <w:shd w:val="clear" w:color="auto" w:fill="F2F2F2" w:themeFill="background1" w:themeFillShade="F2"/>
            <w:vAlign w:val="center"/>
          </w:tcPr>
          <w:p w14:paraId="6B0ABC1D" w14:textId="5F726061" w:rsidR="003E54BE" w:rsidRPr="009D4605" w:rsidRDefault="003E54BE" w:rsidP="003E54BE">
            <w:pPr>
              <w:autoSpaceDE w:val="0"/>
              <w:autoSpaceDN w:val="0"/>
              <w:adjustRightInd w:val="0"/>
              <w:rPr>
                <w:rFonts w:ascii="Verdana" w:hAnsi="Verdana"/>
                <w:sz w:val="17"/>
                <w:szCs w:val="17"/>
              </w:rPr>
            </w:pPr>
            <w:r>
              <w:rPr>
                <w:rFonts w:ascii="Verdana" w:hAnsi="Verdana"/>
                <w:sz w:val="17"/>
                <w:szCs w:val="17"/>
                <w:lang w:val="en-GB"/>
              </w:rPr>
              <w:t xml:space="preserve">Yes (please </w:t>
            </w:r>
            <w:r w:rsidR="00C2134B">
              <w:rPr>
                <w:rFonts w:ascii="Verdana" w:hAnsi="Verdana"/>
                <w:sz w:val="17"/>
                <w:szCs w:val="17"/>
                <w:lang w:val="en-GB"/>
              </w:rPr>
              <w:t>comment</w:t>
            </w:r>
            <w:r>
              <w:rPr>
                <w:rFonts w:ascii="Verdana" w:hAnsi="Verdana"/>
                <w:sz w:val="17"/>
                <w:szCs w:val="17"/>
                <w:lang w:val="en-GB"/>
              </w:rPr>
              <w:t>)</w:t>
            </w:r>
          </w:p>
        </w:tc>
        <w:tc>
          <w:tcPr>
            <w:tcW w:w="2241" w:type="dxa"/>
            <w:tcBorders>
              <w:bottom w:val="single" w:sz="4" w:space="0" w:color="auto"/>
            </w:tcBorders>
            <w:shd w:val="clear" w:color="auto" w:fill="F2F2F2" w:themeFill="background1" w:themeFillShade="F2"/>
            <w:vAlign w:val="center"/>
          </w:tcPr>
          <w:p w14:paraId="37148BE1" w14:textId="3C508C11" w:rsidR="003E54BE" w:rsidRPr="009D4605" w:rsidRDefault="003E54BE" w:rsidP="003E54BE">
            <w:pPr>
              <w:autoSpaceDE w:val="0"/>
              <w:autoSpaceDN w:val="0"/>
              <w:adjustRightInd w:val="0"/>
              <w:rPr>
                <w:rFonts w:ascii="Verdana" w:hAnsi="Verdana"/>
                <w:sz w:val="17"/>
                <w:szCs w:val="17"/>
                <w:lang w:val="en-GB"/>
              </w:rPr>
            </w:pPr>
            <w:r w:rsidRPr="009D4605">
              <w:rPr>
                <w:rFonts w:ascii="Verdana" w:hAnsi="Verdana"/>
                <w:sz w:val="17"/>
                <w:szCs w:val="17"/>
                <w:lang w:val="en-GB"/>
              </w:rPr>
              <w:t>No</w:t>
            </w:r>
          </w:p>
        </w:tc>
      </w:tr>
      <w:tr w:rsidR="003E54BE" w:rsidRPr="009D4605" w14:paraId="2C683DF6" w14:textId="2CE2DDBA" w:rsidTr="00A66403">
        <w:trPr>
          <w:trHeight w:val="397"/>
        </w:trPr>
        <w:tc>
          <w:tcPr>
            <w:tcW w:w="562" w:type="dxa"/>
            <w:vMerge/>
            <w:shd w:val="clear" w:color="auto" w:fill="F2F2F2" w:themeFill="background1" w:themeFillShade="F2"/>
          </w:tcPr>
          <w:p w14:paraId="7FBED8B0" w14:textId="77777777" w:rsidR="003E54BE" w:rsidRPr="009D4605" w:rsidRDefault="003E54BE" w:rsidP="003E54BE">
            <w:pPr>
              <w:rPr>
                <w:rFonts w:ascii="Verdana" w:hAnsi="Verdana"/>
                <w:sz w:val="17"/>
                <w:szCs w:val="17"/>
                <w:lang w:val="en-GB"/>
              </w:rPr>
            </w:pPr>
          </w:p>
        </w:tc>
        <w:tc>
          <w:tcPr>
            <w:tcW w:w="6946" w:type="dxa"/>
            <w:vMerge/>
            <w:tcBorders>
              <w:bottom w:val="single" w:sz="4" w:space="0" w:color="auto"/>
              <w:right w:val="single" w:sz="4" w:space="0" w:color="auto"/>
            </w:tcBorders>
            <w:vAlign w:val="center"/>
          </w:tcPr>
          <w:p w14:paraId="578BE1F4" w14:textId="548A546D" w:rsidR="003E54BE" w:rsidRPr="009D4605" w:rsidRDefault="003E54BE" w:rsidP="003E54BE">
            <w:pPr>
              <w:rPr>
                <w:rFonts w:ascii="Verdana" w:hAnsi="Verdana"/>
                <w:sz w:val="17"/>
                <w:szCs w:val="17"/>
                <w:lang w:val="en-GB"/>
              </w:rPr>
            </w:pPr>
          </w:p>
        </w:tc>
        <w:tc>
          <w:tcPr>
            <w:tcW w:w="2240" w:type="dxa"/>
            <w:tcBorders>
              <w:top w:val="single" w:sz="4" w:space="0" w:color="BFBFBF" w:themeColor="background1" w:themeShade="BF"/>
              <w:left w:val="single" w:sz="4" w:space="0" w:color="auto"/>
              <w:bottom w:val="single" w:sz="4" w:space="0" w:color="auto"/>
              <w:right w:val="single" w:sz="4" w:space="0" w:color="auto"/>
            </w:tcBorders>
            <w:vAlign w:val="center"/>
          </w:tcPr>
          <w:p w14:paraId="1661026A" w14:textId="315ACE1A" w:rsidR="003E54BE" w:rsidRPr="009D4605" w:rsidRDefault="00452774" w:rsidP="003E54BE">
            <w:pPr>
              <w:rPr>
                <w:rFonts w:ascii="Verdana" w:hAnsi="Verdana"/>
                <w:sz w:val="17"/>
                <w:szCs w:val="17"/>
              </w:rPr>
            </w:pPr>
            <w:r>
              <w:rPr>
                <w:rFonts w:ascii="Verdana" w:hAnsi="Verdana"/>
                <w:sz w:val="17"/>
                <w:szCs w:val="17"/>
              </w:rPr>
              <w:t>X</w:t>
            </w:r>
            <w:r w:rsidR="00265F68">
              <w:rPr>
                <w:rFonts w:ascii="Verdana" w:hAnsi="Verdana"/>
                <w:sz w:val="17"/>
                <w:szCs w:val="17"/>
              </w:rPr>
              <w:t>X</w:t>
            </w:r>
            <w:r w:rsidR="00595725">
              <w:rPr>
                <w:rFonts w:ascii="Verdana" w:hAnsi="Verdana"/>
                <w:sz w:val="17"/>
                <w:szCs w:val="17"/>
              </w:rPr>
              <w:t>X</w:t>
            </w:r>
            <w:r w:rsidR="005225ED">
              <w:rPr>
                <w:rFonts w:ascii="Verdana" w:hAnsi="Verdana"/>
                <w:sz w:val="17"/>
                <w:szCs w:val="17"/>
              </w:rPr>
              <w:t>X</w:t>
            </w:r>
          </w:p>
        </w:tc>
        <w:tc>
          <w:tcPr>
            <w:tcW w:w="2241" w:type="dxa"/>
            <w:tcBorders>
              <w:top w:val="single" w:sz="4" w:space="0" w:color="BFBFBF" w:themeColor="background1" w:themeShade="BF"/>
              <w:left w:val="single" w:sz="4" w:space="0" w:color="auto"/>
              <w:bottom w:val="single" w:sz="4" w:space="0" w:color="auto"/>
              <w:right w:val="single" w:sz="4" w:space="0" w:color="auto"/>
            </w:tcBorders>
            <w:vAlign w:val="center"/>
          </w:tcPr>
          <w:p w14:paraId="22A647D2" w14:textId="6AE07734" w:rsidR="003E54BE" w:rsidRPr="009D4605" w:rsidRDefault="003A4A2A" w:rsidP="003E54BE">
            <w:pPr>
              <w:rPr>
                <w:rFonts w:ascii="Verdana" w:hAnsi="Verdana"/>
                <w:sz w:val="17"/>
                <w:szCs w:val="17"/>
              </w:rPr>
            </w:pPr>
            <w:r>
              <w:rPr>
                <w:rFonts w:ascii="Verdana" w:hAnsi="Verdana"/>
                <w:sz w:val="17"/>
                <w:szCs w:val="17"/>
              </w:rPr>
              <w:t>X</w:t>
            </w:r>
          </w:p>
        </w:tc>
        <w:tc>
          <w:tcPr>
            <w:tcW w:w="2241" w:type="dxa"/>
            <w:tcBorders>
              <w:top w:val="single" w:sz="4" w:space="0" w:color="BFBFBF" w:themeColor="background1" w:themeShade="BF"/>
              <w:left w:val="single" w:sz="4" w:space="0" w:color="auto"/>
              <w:bottom w:val="single" w:sz="4" w:space="0" w:color="auto"/>
              <w:right w:val="single" w:sz="4" w:space="0" w:color="auto"/>
            </w:tcBorders>
            <w:vAlign w:val="center"/>
          </w:tcPr>
          <w:p w14:paraId="601DF650" w14:textId="4A9F47E7" w:rsidR="003E54BE" w:rsidRPr="009D4605" w:rsidRDefault="00DF3DED" w:rsidP="003E54BE">
            <w:pPr>
              <w:rPr>
                <w:rFonts w:ascii="Verdana" w:hAnsi="Verdana"/>
                <w:sz w:val="17"/>
                <w:szCs w:val="17"/>
              </w:rPr>
            </w:pPr>
            <w:r>
              <w:rPr>
                <w:rFonts w:ascii="Verdana" w:hAnsi="Verdana"/>
                <w:sz w:val="17"/>
                <w:szCs w:val="17"/>
              </w:rPr>
              <w:t>X</w:t>
            </w:r>
          </w:p>
        </w:tc>
      </w:tr>
      <w:tr w:rsidR="003E54BE" w:rsidRPr="009D4605" w14:paraId="2A152265" w14:textId="77777777" w:rsidTr="00A66403">
        <w:trPr>
          <w:trHeight w:val="397"/>
        </w:trPr>
        <w:tc>
          <w:tcPr>
            <w:tcW w:w="562" w:type="dxa"/>
            <w:vMerge w:val="restart"/>
            <w:shd w:val="clear" w:color="auto" w:fill="F2F2F2" w:themeFill="background1" w:themeFillShade="F2"/>
          </w:tcPr>
          <w:p w14:paraId="50981869" w14:textId="4F291EB8" w:rsidR="003E54BE" w:rsidRDefault="007A315B" w:rsidP="003E54BE">
            <w:pPr>
              <w:rPr>
                <w:rFonts w:ascii="Verdana" w:hAnsi="Verdana"/>
                <w:sz w:val="17"/>
                <w:szCs w:val="17"/>
              </w:rPr>
            </w:pPr>
            <w:r>
              <w:rPr>
                <w:rFonts w:ascii="Verdana" w:hAnsi="Verdana"/>
                <w:sz w:val="17"/>
                <w:szCs w:val="17"/>
              </w:rPr>
              <w:lastRenderedPageBreak/>
              <w:t>6</w:t>
            </w:r>
            <w:r w:rsidR="003E54BE">
              <w:rPr>
                <w:rFonts w:ascii="Verdana" w:hAnsi="Verdana"/>
                <w:sz w:val="17"/>
                <w:szCs w:val="17"/>
              </w:rPr>
              <w:t>.</w:t>
            </w:r>
          </w:p>
        </w:tc>
        <w:tc>
          <w:tcPr>
            <w:tcW w:w="6946" w:type="dxa"/>
            <w:tcBorders>
              <w:top w:val="single" w:sz="4" w:space="0" w:color="auto"/>
              <w:bottom w:val="single" w:sz="4" w:space="0" w:color="auto"/>
            </w:tcBorders>
            <w:shd w:val="clear" w:color="auto" w:fill="F2F2F2" w:themeFill="background1" w:themeFillShade="F2"/>
            <w:vAlign w:val="center"/>
          </w:tcPr>
          <w:p w14:paraId="181C3F69" w14:textId="77777777" w:rsidR="003E54BE" w:rsidRPr="00A66403" w:rsidRDefault="003E54BE" w:rsidP="003E54BE">
            <w:pPr>
              <w:autoSpaceDE w:val="0"/>
              <w:autoSpaceDN w:val="0"/>
              <w:adjustRightInd w:val="0"/>
              <w:rPr>
                <w:rFonts w:ascii="Arial" w:eastAsia="Times New Roman" w:hAnsi="Arial" w:cs="Arial"/>
                <w:b/>
                <w:bCs/>
                <w:color w:val="000000"/>
                <w:sz w:val="20"/>
                <w:szCs w:val="20"/>
                <w:lang w:val="en-GB" w:eastAsia="en-GB"/>
              </w:rPr>
            </w:pPr>
            <w:r w:rsidRPr="00A66403">
              <w:rPr>
                <w:rFonts w:ascii="Arial" w:eastAsia="Times New Roman" w:hAnsi="Arial" w:cs="Arial"/>
                <w:b/>
                <w:bCs/>
                <w:color w:val="000000"/>
                <w:sz w:val="20"/>
                <w:szCs w:val="20"/>
                <w:lang w:val="en-GB" w:eastAsia="en-GB"/>
              </w:rPr>
              <w:t>Do you have views o</w:t>
            </w:r>
            <w:r>
              <w:rPr>
                <w:rFonts w:ascii="Arial" w:eastAsia="Times New Roman" w:hAnsi="Arial" w:cs="Arial"/>
                <w:b/>
                <w:bCs/>
                <w:color w:val="000000"/>
                <w:sz w:val="20"/>
                <w:szCs w:val="20"/>
                <w:lang w:val="en-GB" w:eastAsia="en-GB"/>
              </w:rPr>
              <w:t>n the basic risk-free curve?</w:t>
            </w:r>
          </w:p>
        </w:tc>
        <w:tc>
          <w:tcPr>
            <w:tcW w:w="2240" w:type="dxa"/>
            <w:tcBorders>
              <w:top w:val="single" w:sz="4" w:space="0" w:color="auto"/>
              <w:bottom w:val="single" w:sz="4" w:space="0" w:color="auto"/>
            </w:tcBorders>
            <w:shd w:val="clear" w:color="auto" w:fill="F2F2F2" w:themeFill="background1" w:themeFillShade="F2"/>
            <w:vAlign w:val="center"/>
          </w:tcPr>
          <w:p w14:paraId="0EB9668E" w14:textId="2F5F8586" w:rsidR="003E54BE" w:rsidRPr="00BD658B" w:rsidRDefault="003E54BE" w:rsidP="003E54BE">
            <w:pPr>
              <w:autoSpaceDE w:val="0"/>
              <w:autoSpaceDN w:val="0"/>
              <w:adjustRightInd w:val="0"/>
              <w:rPr>
                <w:rFonts w:ascii="Arial" w:eastAsia="Times New Roman" w:hAnsi="Arial" w:cs="Arial"/>
                <w:b/>
                <w:bCs/>
                <w:color w:val="000000"/>
                <w:sz w:val="20"/>
                <w:szCs w:val="20"/>
                <w:lang w:eastAsia="en-GB"/>
              </w:rPr>
            </w:pPr>
            <w:r>
              <w:rPr>
                <w:rFonts w:ascii="Verdana" w:hAnsi="Verdana"/>
                <w:sz w:val="17"/>
                <w:szCs w:val="17"/>
                <w:lang w:val="en-GB"/>
              </w:rPr>
              <w:t>Not sure yet</w:t>
            </w:r>
          </w:p>
        </w:tc>
        <w:tc>
          <w:tcPr>
            <w:tcW w:w="2241" w:type="dxa"/>
            <w:tcBorders>
              <w:top w:val="single" w:sz="4" w:space="0" w:color="auto"/>
              <w:bottom w:val="single" w:sz="4" w:space="0" w:color="auto"/>
            </w:tcBorders>
            <w:shd w:val="clear" w:color="auto" w:fill="F2F2F2" w:themeFill="background1" w:themeFillShade="F2"/>
            <w:vAlign w:val="center"/>
          </w:tcPr>
          <w:p w14:paraId="79A00D08" w14:textId="0D139727" w:rsidR="003E54BE" w:rsidRPr="00BD658B" w:rsidRDefault="003E54BE" w:rsidP="003E54BE">
            <w:pPr>
              <w:autoSpaceDE w:val="0"/>
              <w:autoSpaceDN w:val="0"/>
              <w:adjustRightInd w:val="0"/>
              <w:rPr>
                <w:rFonts w:ascii="Arial" w:eastAsia="Times New Roman" w:hAnsi="Arial" w:cs="Arial"/>
                <w:b/>
                <w:bCs/>
                <w:color w:val="000000"/>
                <w:sz w:val="20"/>
                <w:szCs w:val="20"/>
                <w:lang w:eastAsia="en-GB"/>
              </w:rPr>
            </w:pPr>
            <w:r>
              <w:rPr>
                <w:rFonts w:ascii="Verdana" w:hAnsi="Verdana"/>
                <w:sz w:val="17"/>
                <w:szCs w:val="17"/>
                <w:lang w:val="en-GB"/>
              </w:rPr>
              <w:t xml:space="preserve">Yes (please </w:t>
            </w:r>
            <w:r w:rsidR="00C2134B">
              <w:rPr>
                <w:rFonts w:ascii="Verdana" w:hAnsi="Verdana"/>
                <w:sz w:val="17"/>
                <w:szCs w:val="17"/>
                <w:lang w:val="en-GB"/>
              </w:rPr>
              <w:t>comment</w:t>
            </w:r>
            <w:r>
              <w:rPr>
                <w:rFonts w:ascii="Verdana" w:hAnsi="Verdana"/>
                <w:sz w:val="17"/>
                <w:szCs w:val="17"/>
                <w:lang w:val="en-GB"/>
              </w:rPr>
              <w:t>)</w:t>
            </w:r>
          </w:p>
        </w:tc>
        <w:tc>
          <w:tcPr>
            <w:tcW w:w="2241" w:type="dxa"/>
            <w:tcBorders>
              <w:top w:val="single" w:sz="4" w:space="0" w:color="auto"/>
              <w:bottom w:val="single" w:sz="4" w:space="0" w:color="auto"/>
            </w:tcBorders>
            <w:shd w:val="clear" w:color="auto" w:fill="F2F2F2" w:themeFill="background1" w:themeFillShade="F2"/>
            <w:vAlign w:val="center"/>
          </w:tcPr>
          <w:p w14:paraId="75ED424B" w14:textId="4A065539" w:rsidR="003E54BE" w:rsidRPr="00A66403" w:rsidRDefault="003E54BE" w:rsidP="003E54BE">
            <w:pPr>
              <w:autoSpaceDE w:val="0"/>
              <w:autoSpaceDN w:val="0"/>
              <w:adjustRightInd w:val="0"/>
              <w:rPr>
                <w:rFonts w:ascii="Arial" w:eastAsia="Times New Roman" w:hAnsi="Arial" w:cs="Arial"/>
                <w:b/>
                <w:bCs/>
                <w:color w:val="000000"/>
                <w:sz w:val="20"/>
                <w:szCs w:val="20"/>
                <w:lang w:val="en-GB" w:eastAsia="en-GB"/>
              </w:rPr>
            </w:pPr>
            <w:r w:rsidRPr="009D4605">
              <w:rPr>
                <w:rFonts w:ascii="Verdana" w:hAnsi="Verdana"/>
                <w:sz w:val="17"/>
                <w:szCs w:val="17"/>
                <w:lang w:val="en-GB"/>
              </w:rPr>
              <w:t>No</w:t>
            </w:r>
          </w:p>
        </w:tc>
      </w:tr>
      <w:tr w:rsidR="003E54BE" w:rsidRPr="009D4605" w14:paraId="35E517C2" w14:textId="77777777" w:rsidTr="00A66403">
        <w:trPr>
          <w:trHeight w:val="397"/>
        </w:trPr>
        <w:tc>
          <w:tcPr>
            <w:tcW w:w="562" w:type="dxa"/>
            <w:vMerge/>
            <w:tcBorders>
              <w:right w:val="single" w:sz="4" w:space="0" w:color="auto"/>
            </w:tcBorders>
            <w:shd w:val="clear" w:color="auto" w:fill="F2F2F2" w:themeFill="background1" w:themeFillShade="F2"/>
          </w:tcPr>
          <w:p w14:paraId="66B0C3D3" w14:textId="5144FE5B" w:rsidR="003E54BE" w:rsidRDefault="003E54BE" w:rsidP="003E54BE">
            <w:pPr>
              <w:rPr>
                <w:rFonts w:ascii="Verdana" w:hAnsi="Verdana"/>
                <w:sz w:val="17"/>
                <w:szCs w:val="17"/>
              </w:rPr>
            </w:pPr>
          </w:p>
        </w:tc>
        <w:tc>
          <w:tcPr>
            <w:tcW w:w="6946"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vAlign w:val="center"/>
          </w:tcPr>
          <w:p w14:paraId="15839B0B" w14:textId="6FBFA5E8" w:rsidR="003E54BE" w:rsidRPr="00A66403" w:rsidRDefault="003E54BE" w:rsidP="003E54BE">
            <w:pPr>
              <w:autoSpaceDE w:val="0"/>
              <w:autoSpaceDN w:val="0"/>
              <w:adjustRightInd w:val="0"/>
              <w:rPr>
                <w:rFonts w:ascii="Arial" w:eastAsia="Times New Roman" w:hAnsi="Arial" w:cs="Arial"/>
                <w:color w:val="666666"/>
                <w:sz w:val="20"/>
                <w:szCs w:val="20"/>
                <w:lang w:val="en-GB" w:eastAsia="en-GB"/>
              </w:rPr>
            </w:pPr>
            <w:r w:rsidRPr="00A66403">
              <w:rPr>
                <w:rFonts w:ascii="Arial" w:eastAsia="Times New Roman" w:hAnsi="Arial" w:cs="Arial"/>
                <w:color w:val="666666"/>
                <w:sz w:val="20"/>
                <w:szCs w:val="20"/>
                <w:lang w:val="en-GB" w:eastAsia="en-GB"/>
              </w:rPr>
              <w:t>Ultimate forward rate (UFR)</w:t>
            </w:r>
          </w:p>
        </w:tc>
        <w:tc>
          <w:tcPr>
            <w:tcW w:w="2240"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vAlign w:val="center"/>
          </w:tcPr>
          <w:p w14:paraId="74DFBFEC" w14:textId="21A58E8D" w:rsidR="003E54BE" w:rsidRPr="00A66403" w:rsidRDefault="003E54BE" w:rsidP="003E54BE">
            <w:pPr>
              <w:autoSpaceDE w:val="0"/>
              <w:autoSpaceDN w:val="0"/>
              <w:adjustRightInd w:val="0"/>
              <w:rPr>
                <w:rFonts w:ascii="Arial" w:eastAsia="Times New Roman" w:hAnsi="Arial" w:cs="Arial"/>
                <w:b/>
                <w:bCs/>
                <w:color w:val="000000"/>
                <w:sz w:val="20"/>
                <w:szCs w:val="20"/>
                <w:lang w:val="en-GB" w:eastAsia="en-GB"/>
              </w:rPr>
            </w:pPr>
          </w:p>
        </w:tc>
        <w:tc>
          <w:tcPr>
            <w:tcW w:w="2241"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vAlign w:val="center"/>
          </w:tcPr>
          <w:p w14:paraId="46D2B326" w14:textId="404A050B" w:rsidR="003E54BE" w:rsidRPr="00A66403" w:rsidRDefault="003A4A2A" w:rsidP="003E54BE">
            <w:pPr>
              <w:autoSpaceDE w:val="0"/>
              <w:autoSpaceDN w:val="0"/>
              <w:adjustRightInd w:val="0"/>
              <w:rPr>
                <w:rFonts w:ascii="Arial" w:eastAsia="Times New Roman" w:hAnsi="Arial" w:cs="Arial"/>
                <w:b/>
                <w:bCs/>
                <w:color w:val="000000"/>
                <w:sz w:val="20"/>
                <w:szCs w:val="20"/>
                <w:lang w:val="en-GB" w:eastAsia="en-GB"/>
              </w:rPr>
            </w:pPr>
            <w:r>
              <w:rPr>
                <w:rFonts w:ascii="Arial" w:eastAsia="Times New Roman" w:hAnsi="Arial" w:cs="Arial"/>
                <w:b/>
                <w:bCs/>
                <w:color w:val="000000"/>
                <w:sz w:val="20"/>
                <w:szCs w:val="20"/>
                <w:lang w:val="en-GB" w:eastAsia="en-GB"/>
              </w:rPr>
              <w:t>X</w:t>
            </w:r>
          </w:p>
        </w:tc>
        <w:tc>
          <w:tcPr>
            <w:tcW w:w="2241" w:type="dxa"/>
            <w:tcBorders>
              <w:top w:val="single" w:sz="4" w:space="0" w:color="auto"/>
              <w:left w:val="single" w:sz="4" w:space="0" w:color="auto"/>
              <w:bottom w:val="single" w:sz="4" w:space="0" w:color="BFBFBF" w:themeColor="background1" w:themeShade="BF"/>
              <w:right w:val="single" w:sz="4" w:space="0" w:color="auto"/>
            </w:tcBorders>
            <w:shd w:val="clear" w:color="auto" w:fill="FFFFFF" w:themeFill="background1"/>
            <w:vAlign w:val="center"/>
          </w:tcPr>
          <w:p w14:paraId="26556A8B" w14:textId="03A1937D" w:rsidR="003E54BE" w:rsidRPr="00CC64F1" w:rsidRDefault="00452774" w:rsidP="003E54BE">
            <w:pPr>
              <w:autoSpaceDE w:val="0"/>
              <w:autoSpaceDN w:val="0"/>
              <w:adjustRightInd w:val="0"/>
              <w:rPr>
                <w:rFonts w:ascii="Arial" w:eastAsia="Times New Roman" w:hAnsi="Arial" w:cs="Arial"/>
                <w:bCs/>
                <w:color w:val="000000"/>
                <w:sz w:val="20"/>
                <w:szCs w:val="20"/>
                <w:lang w:val="en-GB" w:eastAsia="en-GB"/>
              </w:rPr>
            </w:pPr>
            <w:r w:rsidRPr="00CC64F1">
              <w:rPr>
                <w:rFonts w:ascii="Arial" w:eastAsia="Times New Roman" w:hAnsi="Arial" w:cs="Arial"/>
                <w:bCs/>
                <w:color w:val="000000"/>
                <w:sz w:val="20"/>
                <w:szCs w:val="20"/>
                <w:lang w:val="en-GB" w:eastAsia="en-GB"/>
              </w:rPr>
              <w:t>X</w:t>
            </w:r>
            <w:r w:rsidR="00265F68" w:rsidRPr="00CC64F1">
              <w:rPr>
                <w:rFonts w:ascii="Arial" w:eastAsia="Times New Roman" w:hAnsi="Arial" w:cs="Arial"/>
                <w:bCs/>
                <w:color w:val="000000"/>
                <w:sz w:val="20"/>
                <w:szCs w:val="20"/>
                <w:lang w:val="en-GB" w:eastAsia="en-GB"/>
              </w:rPr>
              <w:t>X</w:t>
            </w:r>
            <w:r w:rsidR="00DF3DED" w:rsidRPr="00CC64F1">
              <w:rPr>
                <w:rFonts w:ascii="Arial" w:eastAsia="Times New Roman" w:hAnsi="Arial" w:cs="Arial"/>
                <w:bCs/>
                <w:color w:val="000000"/>
                <w:sz w:val="20"/>
                <w:szCs w:val="20"/>
                <w:lang w:val="en-GB" w:eastAsia="en-GB"/>
              </w:rPr>
              <w:t>X</w:t>
            </w:r>
            <w:r w:rsidR="00595725" w:rsidRPr="00CC64F1">
              <w:rPr>
                <w:rFonts w:ascii="Arial" w:eastAsia="Times New Roman" w:hAnsi="Arial" w:cs="Arial"/>
                <w:bCs/>
                <w:color w:val="000000"/>
                <w:sz w:val="20"/>
                <w:szCs w:val="20"/>
                <w:lang w:val="en-GB" w:eastAsia="en-GB"/>
              </w:rPr>
              <w:t>X</w:t>
            </w:r>
            <w:r w:rsidR="005225ED" w:rsidRPr="00CC64F1">
              <w:rPr>
                <w:rFonts w:ascii="Arial" w:eastAsia="Times New Roman" w:hAnsi="Arial" w:cs="Arial"/>
                <w:bCs/>
                <w:color w:val="000000"/>
                <w:sz w:val="20"/>
                <w:szCs w:val="20"/>
                <w:lang w:val="en-GB" w:eastAsia="en-GB"/>
              </w:rPr>
              <w:t>X</w:t>
            </w:r>
          </w:p>
        </w:tc>
      </w:tr>
      <w:tr w:rsidR="003E54BE" w:rsidRPr="009D4605" w14:paraId="44921FC2" w14:textId="77777777" w:rsidTr="00A66403">
        <w:trPr>
          <w:trHeight w:val="397"/>
        </w:trPr>
        <w:tc>
          <w:tcPr>
            <w:tcW w:w="562" w:type="dxa"/>
            <w:vMerge/>
            <w:tcBorders>
              <w:right w:val="single" w:sz="4" w:space="0" w:color="auto"/>
            </w:tcBorders>
            <w:shd w:val="clear" w:color="auto" w:fill="F2F2F2" w:themeFill="background1" w:themeFillShade="F2"/>
          </w:tcPr>
          <w:p w14:paraId="7F77234E" w14:textId="6887ADB9" w:rsidR="003E54BE" w:rsidRDefault="003E54BE" w:rsidP="003E54BE">
            <w:pPr>
              <w:rPr>
                <w:rFonts w:ascii="Verdana" w:hAnsi="Verdana"/>
                <w:sz w:val="17"/>
                <w:szCs w:val="17"/>
              </w:rPr>
            </w:pPr>
          </w:p>
        </w:tc>
        <w:tc>
          <w:tcPr>
            <w:tcW w:w="6946"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725FBCED" w14:textId="18F1E252" w:rsidR="003E54BE" w:rsidRPr="00A66403" w:rsidRDefault="003E54BE" w:rsidP="003E54BE">
            <w:pPr>
              <w:autoSpaceDE w:val="0"/>
              <w:autoSpaceDN w:val="0"/>
              <w:adjustRightInd w:val="0"/>
              <w:rPr>
                <w:rFonts w:ascii="Arial" w:eastAsia="Times New Roman" w:hAnsi="Arial" w:cs="Arial"/>
                <w:color w:val="666666"/>
                <w:sz w:val="20"/>
                <w:szCs w:val="20"/>
                <w:lang w:val="en-GB" w:eastAsia="en-GB"/>
              </w:rPr>
            </w:pPr>
            <w:r w:rsidRPr="00A66403">
              <w:rPr>
                <w:rFonts w:ascii="Arial" w:eastAsia="Times New Roman" w:hAnsi="Arial" w:cs="Arial"/>
                <w:color w:val="666666"/>
                <w:sz w:val="20"/>
                <w:szCs w:val="20"/>
                <w:lang w:val="en-GB" w:eastAsia="en-GB"/>
              </w:rPr>
              <w:t>Last liquid point (LLP)</w:t>
            </w:r>
          </w:p>
        </w:tc>
        <w:tc>
          <w:tcPr>
            <w:tcW w:w="224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5DDFC702" w14:textId="675A7F87" w:rsidR="003E54BE" w:rsidRPr="00A66403" w:rsidRDefault="003E54BE" w:rsidP="003E54BE">
            <w:pPr>
              <w:autoSpaceDE w:val="0"/>
              <w:autoSpaceDN w:val="0"/>
              <w:adjustRightInd w:val="0"/>
              <w:rPr>
                <w:rFonts w:ascii="Arial" w:eastAsia="Times New Roman" w:hAnsi="Arial" w:cs="Arial"/>
                <w:b/>
                <w:bCs/>
                <w:color w:val="000000"/>
                <w:sz w:val="20"/>
                <w:szCs w:val="20"/>
                <w:lang w:val="en-GB" w:eastAsia="en-GB"/>
              </w:rPr>
            </w:pPr>
          </w:p>
        </w:tc>
        <w:tc>
          <w:tcPr>
            <w:tcW w:w="2241"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6CE27BC1" w14:textId="72B05A46" w:rsidR="003E54BE" w:rsidRPr="00A66403" w:rsidRDefault="003A4A2A" w:rsidP="003E54BE">
            <w:pPr>
              <w:autoSpaceDE w:val="0"/>
              <w:autoSpaceDN w:val="0"/>
              <w:adjustRightInd w:val="0"/>
              <w:rPr>
                <w:rFonts w:ascii="Arial" w:eastAsia="Times New Roman" w:hAnsi="Arial" w:cs="Arial"/>
                <w:b/>
                <w:bCs/>
                <w:color w:val="000000"/>
                <w:sz w:val="20"/>
                <w:szCs w:val="20"/>
                <w:lang w:val="en-GB" w:eastAsia="en-GB"/>
              </w:rPr>
            </w:pPr>
            <w:r>
              <w:rPr>
                <w:rFonts w:ascii="Arial" w:eastAsia="Times New Roman" w:hAnsi="Arial" w:cs="Arial"/>
                <w:b/>
                <w:bCs/>
                <w:color w:val="000000"/>
                <w:sz w:val="20"/>
                <w:szCs w:val="20"/>
                <w:lang w:val="en-GB" w:eastAsia="en-GB"/>
              </w:rPr>
              <w:t>X</w:t>
            </w:r>
          </w:p>
        </w:tc>
        <w:tc>
          <w:tcPr>
            <w:tcW w:w="2241"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18926DFC" w14:textId="68A3E64B" w:rsidR="003E54BE" w:rsidRPr="00CC64F1" w:rsidRDefault="00452774" w:rsidP="003E54BE">
            <w:pPr>
              <w:autoSpaceDE w:val="0"/>
              <w:autoSpaceDN w:val="0"/>
              <w:adjustRightInd w:val="0"/>
              <w:rPr>
                <w:rFonts w:ascii="Arial" w:eastAsia="Times New Roman" w:hAnsi="Arial" w:cs="Arial"/>
                <w:bCs/>
                <w:color w:val="000000"/>
                <w:sz w:val="20"/>
                <w:szCs w:val="20"/>
                <w:lang w:val="en-GB" w:eastAsia="en-GB"/>
              </w:rPr>
            </w:pPr>
            <w:r w:rsidRPr="00CC64F1">
              <w:rPr>
                <w:rFonts w:ascii="Arial" w:eastAsia="Times New Roman" w:hAnsi="Arial" w:cs="Arial"/>
                <w:bCs/>
                <w:color w:val="000000"/>
                <w:sz w:val="20"/>
                <w:szCs w:val="20"/>
                <w:lang w:val="en-GB" w:eastAsia="en-GB"/>
              </w:rPr>
              <w:t>X</w:t>
            </w:r>
            <w:r w:rsidR="00265F68" w:rsidRPr="00CC64F1">
              <w:rPr>
                <w:rFonts w:ascii="Arial" w:eastAsia="Times New Roman" w:hAnsi="Arial" w:cs="Arial"/>
                <w:bCs/>
                <w:color w:val="000000"/>
                <w:sz w:val="20"/>
                <w:szCs w:val="20"/>
                <w:lang w:val="en-GB" w:eastAsia="en-GB"/>
              </w:rPr>
              <w:t>X</w:t>
            </w:r>
            <w:r w:rsidR="00DF3DED" w:rsidRPr="00CC64F1">
              <w:rPr>
                <w:rFonts w:ascii="Arial" w:eastAsia="Times New Roman" w:hAnsi="Arial" w:cs="Arial"/>
                <w:bCs/>
                <w:color w:val="000000"/>
                <w:sz w:val="20"/>
                <w:szCs w:val="20"/>
                <w:lang w:val="en-GB" w:eastAsia="en-GB"/>
              </w:rPr>
              <w:t>X</w:t>
            </w:r>
            <w:r w:rsidR="00595725" w:rsidRPr="00CC64F1">
              <w:rPr>
                <w:rFonts w:ascii="Arial" w:eastAsia="Times New Roman" w:hAnsi="Arial" w:cs="Arial"/>
                <w:bCs/>
                <w:color w:val="000000"/>
                <w:sz w:val="20"/>
                <w:szCs w:val="20"/>
                <w:lang w:val="en-GB" w:eastAsia="en-GB"/>
              </w:rPr>
              <w:t>X</w:t>
            </w:r>
            <w:r w:rsidR="005225ED" w:rsidRPr="00CC64F1">
              <w:rPr>
                <w:rFonts w:ascii="Arial" w:eastAsia="Times New Roman" w:hAnsi="Arial" w:cs="Arial"/>
                <w:bCs/>
                <w:color w:val="000000"/>
                <w:sz w:val="20"/>
                <w:szCs w:val="20"/>
                <w:lang w:val="en-GB" w:eastAsia="en-GB"/>
              </w:rPr>
              <w:t>X</w:t>
            </w:r>
          </w:p>
        </w:tc>
      </w:tr>
      <w:tr w:rsidR="003E54BE" w:rsidRPr="009D4605" w14:paraId="06FF9BA5" w14:textId="77777777" w:rsidTr="00A66403">
        <w:trPr>
          <w:trHeight w:val="397"/>
        </w:trPr>
        <w:tc>
          <w:tcPr>
            <w:tcW w:w="562" w:type="dxa"/>
            <w:vMerge/>
            <w:tcBorders>
              <w:right w:val="single" w:sz="4" w:space="0" w:color="auto"/>
            </w:tcBorders>
            <w:shd w:val="clear" w:color="auto" w:fill="F2F2F2" w:themeFill="background1" w:themeFillShade="F2"/>
          </w:tcPr>
          <w:p w14:paraId="6A5014FC" w14:textId="257B79FE" w:rsidR="003E54BE" w:rsidRDefault="003E54BE" w:rsidP="003E54BE">
            <w:pPr>
              <w:rPr>
                <w:rFonts w:ascii="Verdana" w:hAnsi="Verdana"/>
                <w:sz w:val="17"/>
                <w:szCs w:val="17"/>
              </w:rPr>
            </w:pPr>
          </w:p>
        </w:tc>
        <w:tc>
          <w:tcPr>
            <w:tcW w:w="6946"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32B0D8AF" w14:textId="42B7BC84" w:rsidR="003E54BE" w:rsidRPr="00A66403" w:rsidRDefault="003E54BE" w:rsidP="003E54BE">
            <w:pPr>
              <w:autoSpaceDE w:val="0"/>
              <w:autoSpaceDN w:val="0"/>
              <w:adjustRightInd w:val="0"/>
              <w:rPr>
                <w:rFonts w:ascii="Arial" w:eastAsia="Times New Roman" w:hAnsi="Arial" w:cs="Arial"/>
                <w:color w:val="666666"/>
                <w:sz w:val="20"/>
                <w:szCs w:val="20"/>
                <w:lang w:val="en-GB" w:eastAsia="en-GB"/>
              </w:rPr>
            </w:pPr>
            <w:r w:rsidRPr="00A66403">
              <w:rPr>
                <w:rFonts w:ascii="Arial" w:eastAsia="Times New Roman" w:hAnsi="Arial" w:cs="Arial"/>
                <w:color w:val="666666"/>
                <w:sz w:val="20"/>
                <w:szCs w:val="20"/>
                <w:lang w:val="en-GB" w:eastAsia="en-GB"/>
              </w:rPr>
              <w:t>Convergence point</w:t>
            </w:r>
          </w:p>
        </w:tc>
        <w:tc>
          <w:tcPr>
            <w:tcW w:w="224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45757396" w14:textId="15DB42C0" w:rsidR="003E54BE" w:rsidRPr="00A66403" w:rsidRDefault="003E54BE" w:rsidP="003E54BE">
            <w:pPr>
              <w:autoSpaceDE w:val="0"/>
              <w:autoSpaceDN w:val="0"/>
              <w:adjustRightInd w:val="0"/>
              <w:rPr>
                <w:rFonts w:ascii="Arial" w:eastAsia="Times New Roman" w:hAnsi="Arial" w:cs="Arial"/>
                <w:b/>
                <w:bCs/>
                <w:color w:val="000000"/>
                <w:sz w:val="20"/>
                <w:szCs w:val="20"/>
                <w:lang w:val="en-GB" w:eastAsia="en-GB"/>
              </w:rPr>
            </w:pPr>
          </w:p>
        </w:tc>
        <w:tc>
          <w:tcPr>
            <w:tcW w:w="2241"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45E027CF" w14:textId="7284231E" w:rsidR="003E54BE" w:rsidRPr="00A66403" w:rsidRDefault="003A4A2A" w:rsidP="003E54BE">
            <w:pPr>
              <w:autoSpaceDE w:val="0"/>
              <w:autoSpaceDN w:val="0"/>
              <w:adjustRightInd w:val="0"/>
              <w:rPr>
                <w:rFonts w:ascii="Arial" w:eastAsia="Times New Roman" w:hAnsi="Arial" w:cs="Arial"/>
                <w:b/>
                <w:bCs/>
                <w:color w:val="000000"/>
                <w:sz w:val="20"/>
                <w:szCs w:val="20"/>
                <w:lang w:val="en-GB" w:eastAsia="en-GB"/>
              </w:rPr>
            </w:pPr>
            <w:r>
              <w:rPr>
                <w:rFonts w:ascii="Arial" w:eastAsia="Times New Roman" w:hAnsi="Arial" w:cs="Arial"/>
                <w:b/>
                <w:bCs/>
                <w:color w:val="000000"/>
                <w:sz w:val="20"/>
                <w:szCs w:val="20"/>
                <w:lang w:val="en-GB" w:eastAsia="en-GB"/>
              </w:rPr>
              <w:t>X</w:t>
            </w:r>
          </w:p>
        </w:tc>
        <w:tc>
          <w:tcPr>
            <w:tcW w:w="2241"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1D41F924" w14:textId="72C6BAD0" w:rsidR="003E54BE" w:rsidRPr="00CC64F1" w:rsidRDefault="00452774" w:rsidP="003E54BE">
            <w:pPr>
              <w:autoSpaceDE w:val="0"/>
              <w:autoSpaceDN w:val="0"/>
              <w:adjustRightInd w:val="0"/>
              <w:rPr>
                <w:rFonts w:ascii="Arial" w:eastAsia="Times New Roman" w:hAnsi="Arial" w:cs="Arial"/>
                <w:bCs/>
                <w:color w:val="000000"/>
                <w:sz w:val="20"/>
                <w:szCs w:val="20"/>
                <w:lang w:val="en-GB" w:eastAsia="en-GB"/>
              </w:rPr>
            </w:pPr>
            <w:r w:rsidRPr="00CC64F1">
              <w:rPr>
                <w:rFonts w:ascii="Arial" w:eastAsia="Times New Roman" w:hAnsi="Arial" w:cs="Arial"/>
                <w:bCs/>
                <w:color w:val="000000"/>
                <w:sz w:val="20"/>
                <w:szCs w:val="20"/>
                <w:lang w:val="en-GB" w:eastAsia="en-GB"/>
              </w:rPr>
              <w:t>X</w:t>
            </w:r>
            <w:r w:rsidR="00265F68" w:rsidRPr="00CC64F1">
              <w:rPr>
                <w:rFonts w:ascii="Arial" w:eastAsia="Times New Roman" w:hAnsi="Arial" w:cs="Arial"/>
                <w:bCs/>
                <w:color w:val="000000"/>
                <w:sz w:val="20"/>
                <w:szCs w:val="20"/>
                <w:lang w:val="en-GB" w:eastAsia="en-GB"/>
              </w:rPr>
              <w:t>X</w:t>
            </w:r>
            <w:r w:rsidR="00DF3DED" w:rsidRPr="00CC64F1">
              <w:rPr>
                <w:rFonts w:ascii="Arial" w:eastAsia="Times New Roman" w:hAnsi="Arial" w:cs="Arial"/>
                <w:bCs/>
                <w:color w:val="000000"/>
                <w:sz w:val="20"/>
                <w:szCs w:val="20"/>
                <w:lang w:val="en-GB" w:eastAsia="en-GB"/>
              </w:rPr>
              <w:t>X</w:t>
            </w:r>
            <w:r w:rsidR="00595725" w:rsidRPr="00CC64F1">
              <w:rPr>
                <w:rFonts w:ascii="Arial" w:eastAsia="Times New Roman" w:hAnsi="Arial" w:cs="Arial"/>
                <w:bCs/>
                <w:color w:val="000000"/>
                <w:sz w:val="20"/>
                <w:szCs w:val="20"/>
                <w:lang w:val="en-GB" w:eastAsia="en-GB"/>
              </w:rPr>
              <w:t>X</w:t>
            </w:r>
            <w:r w:rsidR="005225ED" w:rsidRPr="00CC64F1">
              <w:rPr>
                <w:rFonts w:ascii="Arial" w:eastAsia="Times New Roman" w:hAnsi="Arial" w:cs="Arial"/>
                <w:bCs/>
                <w:color w:val="000000"/>
                <w:sz w:val="20"/>
                <w:szCs w:val="20"/>
                <w:lang w:val="en-GB" w:eastAsia="en-GB"/>
              </w:rPr>
              <w:t>X</w:t>
            </w:r>
          </w:p>
        </w:tc>
      </w:tr>
      <w:tr w:rsidR="003E54BE" w:rsidRPr="009D4605" w14:paraId="6E1899AC" w14:textId="77777777" w:rsidTr="00A66403">
        <w:trPr>
          <w:trHeight w:val="397"/>
        </w:trPr>
        <w:tc>
          <w:tcPr>
            <w:tcW w:w="562" w:type="dxa"/>
            <w:vMerge/>
            <w:tcBorders>
              <w:right w:val="single" w:sz="4" w:space="0" w:color="auto"/>
            </w:tcBorders>
            <w:shd w:val="clear" w:color="auto" w:fill="F2F2F2" w:themeFill="background1" w:themeFillShade="F2"/>
          </w:tcPr>
          <w:p w14:paraId="73836BE0" w14:textId="52422BEB" w:rsidR="003E54BE" w:rsidRDefault="003E54BE" w:rsidP="003E54BE">
            <w:pPr>
              <w:rPr>
                <w:rFonts w:ascii="Verdana" w:hAnsi="Verdana"/>
                <w:sz w:val="17"/>
                <w:szCs w:val="17"/>
              </w:rPr>
            </w:pPr>
          </w:p>
        </w:tc>
        <w:tc>
          <w:tcPr>
            <w:tcW w:w="6946"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14FEA053" w14:textId="2210F727" w:rsidR="003E54BE" w:rsidRPr="00A66403" w:rsidRDefault="003E54BE" w:rsidP="003E54BE">
            <w:pPr>
              <w:autoSpaceDE w:val="0"/>
              <w:autoSpaceDN w:val="0"/>
              <w:adjustRightInd w:val="0"/>
              <w:rPr>
                <w:rFonts w:ascii="Arial" w:eastAsia="Times New Roman" w:hAnsi="Arial" w:cs="Arial"/>
                <w:color w:val="666666"/>
                <w:sz w:val="20"/>
                <w:szCs w:val="20"/>
                <w:lang w:val="en-GB" w:eastAsia="en-GB"/>
              </w:rPr>
            </w:pPr>
            <w:r w:rsidRPr="00A66403">
              <w:rPr>
                <w:rFonts w:ascii="Arial" w:eastAsia="Times New Roman" w:hAnsi="Arial" w:cs="Arial"/>
                <w:color w:val="666666"/>
                <w:sz w:val="20"/>
                <w:szCs w:val="20"/>
                <w:lang w:val="en-GB" w:eastAsia="en-GB"/>
              </w:rPr>
              <w:t>Smith-Wilson extrapolation methodology</w:t>
            </w:r>
          </w:p>
        </w:tc>
        <w:tc>
          <w:tcPr>
            <w:tcW w:w="2240"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075943EE" w14:textId="179C7806" w:rsidR="003E54BE" w:rsidRPr="00A66403" w:rsidRDefault="003E54BE" w:rsidP="003E54BE">
            <w:pPr>
              <w:autoSpaceDE w:val="0"/>
              <w:autoSpaceDN w:val="0"/>
              <w:adjustRightInd w:val="0"/>
              <w:rPr>
                <w:rFonts w:ascii="Arial" w:eastAsia="Times New Roman" w:hAnsi="Arial" w:cs="Arial"/>
                <w:b/>
                <w:bCs/>
                <w:color w:val="000000"/>
                <w:sz w:val="20"/>
                <w:szCs w:val="20"/>
                <w:lang w:val="en-GB" w:eastAsia="en-GB"/>
              </w:rPr>
            </w:pPr>
          </w:p>
        </w:tc>
        <w:tc>
          <w:tcPr>
            <w:tcW w:w="2241"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068FC8A6" w14:textId="5244211F" w:rsidR="003E54BE" w:rsidRPr="00A66403" w:rsidRDefault="003A4A2A" w:rsidP="003E54BE">
            <w:pPr>
              <w:autoSpaceDE w:val="0"/>
              <w:autoSpaceDN w:val="0"/>
              <w:adjustRightInd w:val="0"/>
              <w:rPr>
                <w:rFonts w:ascii="Arial" w:eastAsia="Times New Roman" w:hAnsi="Arial" w:cs="Arial"/>
                <w:b/>
                <w:bCs/>
                <w:color w:val="000000"/>
                <w:sz w:val="20"/>
                <w:szCs w:val="20"/>
                <w:lang w:val="en-GB" w:eastAsia="en-GB"/>
              </w:rPr>
            </w:pPr>
            <w:r>
              <w:rPr>
                <w:rFonts w:ascii="Arial" w:eastAsia="Times New Roman" w:hAnsi="Arial" w:cs="Arial"/>
                <w:b/>
                <w:bCs/>
                <w:color w:val="000000"/>
                <w:sz w:val="20"/>
                <w:szCs w:val="20"/>
                <w:lang w:val="en-GB" w:eastAsia="en-GB"/>
              </w:rPr>
              <w:t>X</w:t>
            </w:r>
          </w:p>
        </w:tc>
        <w:tc>
          <w:tcPr>
            <w:tcW w:w="2241" w:type="dxa"/>
            <w:tcBorders>
              <w:top w:val="single" w:sz="4" w:space="0" w:color="BFBFBF" w:themeColor="background1" w:themeShade="BF"/>
              <w:left w:val="single" w:sz="4" w:space="0" w:color="auto"/>
              <w:bottom w:val="single" w:sz="4" w:space="0" w:color="BFBFBF" w:themeColor="background1" w:themeShade="BF"/>
              <w:right w:val="single" w:sz="4" w:space="0" w:color="auto"/>
            </w:tcBorders>
            <w:shd w:val="clear" w:color="auto" w:fill="FFFFFF" w:themeFill="background1"/>
            <w:vAlign w:val="center"/>
          </w:tcPr>
          <w:p w14:paraId="13CE5827" w14:textId="4CF9A929" w:rsidR="003E54BE" w:rsidRPr="00CC64F1" w:rsidRDefault="00452774" w:rsidP="003E54BE">
            <w:pPr>
              <w:autoSpaceDE w:val="0"/>
              <w:autoSpaceDN w:val="0"/>
              <w:adjustRightInd w:val="0"/>
              <w:rPr>
                <w:rFonts w:ascii="Arial" w:eastAsia="Times New Roman" w:hAnsi="Arial" w:cs="Arial"/>
                <w:bCs/>
                <w:color w:val="000000"/>
                <w:sz w:val="20"/>
                <w:szCs w:val="20"/>
                <w:lang w:val="en-GB" w:eastAsia="en-GB"/>
              </w:rPr>
            </w:pPr>
            <w:r w:rsidRPr="00CC64F1">
              <w:rPr>
                <w:rFonts w:ascii="Arial" w:eastAsia="Times New Roman" w:hAnsi="Arial" w:cs="Arial"/>
                <w:bCs/>
                <w:color w:val="000000"/>
                <w:sz w:val="20"/>
                <w:szCs w:val="20"/>
                <w:lang w:val="en-GB" w:eastAsia="en-GB"/>
              </w:rPr>
              <w:t>X</w:t>
            </w:r>
            <w:r w:rsidR="00265F68" w:rsidRPr="00CC64F1">
              <w:rPr>
                <w:rFonts w:ascii="Arial" w:eastAsia="Times New Roman" w:hAnsi="Arial" w:cs="Arial"/>
                <w:bCs/>
                <w:color w:val="000000"/>
                <w:sz w:val="20"/>
                <w:szCs w:val="20"/>
                <w:lang w:val="en-GB" w:eastAsia="en-GB"/>
              </w:rPr>
              <w:t>X</w:t>
            </w:r>
            <w:r w:rsidR="00DF3DED" w:rsidRPr="00CC64F1">
              <w:rPr>
                <w:rFonts w:ascii="Arial" w:eastAsia="Times New Roman" w:hAnsi="Arial" w:cs="Arial"/>
                <w:bCs/>
                <w:color w:val="000000"/>
                <w:sz w:val="20"/>
                <w:szCs w:val="20"/>
                <w:lang w:val="en-GB" w:eastAsia="en-GB"/>
              </w:rPr>
              <w:t>X</w:t>
            </w:r>
            <w:r w:rsidR="00595725" w:rsidRPr="00CC64F1">
              <w:rPr>
                <w:rFonts w:ascii="Arial" w:eastAsia="Times New Roman" w:hAnsi="Arial" w:cs="Arial"/>
                <w:bCs/>
                <w:color w:val="000000"/>
                <w:sz w:val="20"/>
                <w:szCs w:val="20"/>
                <w:lang w:val="en-GB" w:eastAsia="en-GB"/>
              </w:rPr>
              <w:t>X</w:t>
            </w:r>
            <w:r w:rsidR="005225ED" w:rsidRPr="00CC64F1">
              <w:rPr>
                <w:rFonts w:ascii="Arial" w:eastAsia="Times New Roman" w:hAnsi="Arial" w:cs="Arial"/>
                <w:bCs/>
                <w:color w:val="000000"/>
                <w:sz w:val="20"/>
                <w:szCs w:val="20"/>
                <w:lang w:val="en-GB" w:eastAsia="en-GB"/>
              </w:rPr>
              <w:t>X</w:t>
            </w:r>
          </w:p>
        </w:tc>
      </w:tr>
      <w:tr w:rsidR="003E54BE" w:rsidRPr="009D4605" w14:paraId="6CAC1CBD" w14:textId="77777777" w:rsidTr="00A66403">
        <w:trPr>
          <w:trHeight w:val="397"/>
        </w:trPr>
        <w:tc>
          <w:tcPr>
            <w:tcW w:w="562" w:type="dxa"/>
            <w:vMerge/>
            <w:tcBorders>
              <w:right w:val="single" w:sz="4" w:space="0" w:color="auto"/>
            </w:tcBorders>
            <w:shd w:val="clear" w:color="auto" w:fill="F2F2F2" w:themeFill="background1" w:themeFillShade="F2"/>
          </w:tcPr>
          <w:p w14:paraId="4F5796FE" w14:textId="64EEB08E" w:rsidR="003E54BE" w:rsidRDefault="003E54BE" w:rsidP="003E54BE">
            <w:pPr>
              <w:rPr>
                <w:rFonts w:ascii="Verdana" w:hAnsi="Verdana"/>
                <w:sz w:val="17"/>
                <w:szCs w:val="17"/>
              </w:rPr>
            </w:pPr>
          </w:p>
        </w:tc>
        <w:tc>
          <w:tcPr>
            <w:tcW w:w="6946" w:type="dxa"/>
            <w:tcBorders>
              <w:top w:val="single" w:sz="4" w:space="0" w:color="BFBFBF" w:themeColor="background1" w:themeShade="BF"/>
              <w:left w:val="single" w:sz="4" w:space="0" w:color="auto"/>
              <w:bottom w:val="single" w:sz="4" w:space="0" w:color="auto"/>
              <w:right w:val="single" w:sz="4" w:space="0" w:color="auto"/>
            </w:tcBorders>
            <w:shd w:val="clear" w:color="auto" w:fill="FFFFFF" w:themeFill="background1"/>
            <w:vAlign w:val="center"/>
          </w:tcPr>
          <w:p w14:paraId="40EB9507" w14:textId="2368BE98" w:rsidR="003E54BE" w:rsidRPr="00A66403" w:rsidRDefault="003E54BE" w:rsidP="003E54BE">
            <w:pPr>
              <w:autoSpaceDE w:val="0"/>
              <w:autoSpaceDN w:val="0"/>
              <w:adjustRightInd w:val="0"/>
              <w:rPr>
                <w:rFonts w:ascii="Arial" w:eastAsia="Times New Roman" w:hAnsi="Arial" w:cs="Arial"/>
                <w:color w:val="666666"/>
                <w:sz w:val="20"/>
                <w:szCs w:val="20"/>
                <w:lang w:val="en-GB" w:eastAsia="en-GB"/>
              </w:rPr>
            </w:pPr>
            <w:r w:rsidRPr="00A66403">
              <w:rPr>
                <w:rFonts w:ascii="Arial" w:eastAsia="Times New Roman" w:hAnsi="Arial" w:cs="Arial"/>
                <w:color w:val="666666"/>
                <w:sz w:val="20"/>
                <w:szCs w:val="20"/>
                <w:lang w:val="en-GB" w:eastAsia="en-GB"/>
              </w:rPr>
              <w:t>Credit risk adjustment</w:t>
            </w:r>
          </w:p>
        </w:tc>
        <w:tc>
          <w:tcPr>
            <w:tcW w:w="2240" w:type="dxa"/>
            <w:tcBorders>
              <w:top w:val="single" w:sz="4" w:space="0" w:color="BFBFBF" w:themeColor="background1" w:themeShade="BF"/>
              <w:left w:val="single" w:sz="4" w:space="0" w:color="auto"/>
              <w:bottom w:val="single" w:sz="4" w:space="0" w:color="auto"/>
              <w:right w:val="single" w:sz="4" w:space="0" w:color="auto"/>
            </w:tcBorders>
            <w:shd w:val="clear" w:color="auto" w:fill="FFFFFF" w:themeFill="background1"/>
            <w:vAlign w:val="center"/>
          </w:tcPr>
          <w:p w14:paraId="28C0F94C" w14:textId="68B54177" w:rsidR="003E54BE" w:rsidRPr="00A66403" w:rsidRDefault="003E54BE" w:rsidP="003E54BE">
            <w:pPr>
              <w:autoSpaceDE w:val="0"/>
              <w:autoSpaceDN w:val="0"/>
              <w:adjustRightInd w:val="0"/>
              <w:rPr>
                <w:rFonts w:ascii="Arial" w:eastAsia="Times New Roman" w:hAnsi="Arial" w:cs="Arial"/>
                <w:b/>
                <w:bCs/>
                <w:color w:val="000000"/>
                <w:sz w:val="20"/>
                <w:szCs w:val="20"/>
                <w:lang w:val="en-GB" w:eastAsia="en-GB"/>
              </w:rPr>
            </w:pPr>
          </w:p>
        </w:tc>
        <w:tc>
          <w:tcPr>
            <w:tcW w:w="2241" w:type="dxa"/>
            <w:tcBorders>
              <w:top w:val="single" w:sz="4" w:space="0" w:color="BFBFBF" w:themeColor="background1" w:themeShade="BF"/>
              <w:left w:val="single" w:sz="4" w:space="0" w:color="auto"/>
              <w:bottom w:val="single" w:sz="4" w:space="0" w:color="auto"/>
              <w:right w:val="single" w:sz="4" w:space="0" w:color="auto"/>
            </w:tcBorders>
            <w:shd w:val="clear" w:color="auto" w:fill="FFFFFF" w:themeFill="background1"/>
            <w:vAlign w:val="center"/>
          </w:tcPr>
          <w:p w14:paraId="0E28A497" w14:textId="1AB77968" w:rsidR="003E54BE" w:rsidRPr="00A66403" w:rsidRDefault="003A4A2A" w:rsidP="003E54BE">
            <w:pPr>
              <w:autoSpaceDE w:val="0"/>
              <w:autoSpaceDN w:val="0"/>
              <w:adjustRightInd w:val="0"/>
              <w:rPr>
                <w:rFonts w:ascii="Arial" w:eastAsia="Times New Roman" w:hAnsi="Arial" w:cs="Arial"/>
                <w:b/>
                <w:bCs/>
                <w:color w:val="000000"/>
                <w:sz w:val="20"/>
                <w:szCs w:val="20"/>
                <w:lang w:val="en-GB" w:eastAsia="en-GB"/>
              </w:rPr>
            </w:pPr>
            <w:r>
              <w:rPr>
                <w:rFonts w:ascii="Arial" w:eastAsia="Times New Roman" w:hAnsi="Arial" w:cs="Arial"/>
                <w:b/>
                <w:bCs/>
                <w:color w:val="000000"/>
                <w:sz w:val="20"/>
                <w:szCs w:val="20"/>
                <w:lang w:val="en-GB" w:eastAsia="en-GB"/>
              </w:rPr>
              <w:t>X</w:t>
            </w:r>
          </w:p>
        </w:tc>
        <w:tc>
          <w:tcPr>
            <w:tcW w:w="2241" w:type="dxa"/>
            <w:tcBorders>
              <w:top w:val="single" w:sz="4" w:space="0" w:color="BFBFBF" w:themeColor="background1" w:themeShade="BF"/>
              <w:left w:val="single" w:sz="4" w:space="0" w:color="auto"/>
              <w:bottom w:val="single" w:sz="4" w:space="0" w:color="auto"/>
              <w:right w:val="single" w:sz="4" w:space="0" w:color="auto"/>
            </w:tcBorders>
            <w:shd w:val="clear" w:color="auto" w:fill="FFFFFF" w:themeFill="background1"/>
            <w:vAlign w:val="center"/>
          </w:tcPr>
          <w:p w14:paraId="6E48748C" w14:textId="20DB5D71" w:rsidR="003E54BE" w:rsidRPr="00CC64F1" w:rsidRDefault="00452774" w:rsidP="003E54BE">
            <w:pPr>
              <w:autoSpaceDE w:val="0"/>
              <w:autoSpaceDN w:val="0"/>
              <w:adjustRightInd w:val="0"/>
              <w:rPr>
                <w:rFonts w:ascii="Arial" w:eastAsia="Times New Roman" w:hAnsi="Arial" w:cs="Arial"/>
                <w:bCs/>
                <w:color w:val="000000"/>
                <w:sz w:val="20"/>
                <w:szCs w:val="20"/>
                <w:lang w:val="en-GB" w:eastAsia="en-GB"/>
              </w:rPr>
            </w:pPr>
            <w:r w:rsidRPr="00CC64F1">
              <w:rPr>
                <w:rFonts w:ascii="Arial" w:eastAsia="Times New Roman" w:hAnsi="Arial" w:cs="Arial"/>
                <w:bCs/>
                <w:color w:val="000000"/>
                <w:sz w:val="20"/>
                <w:szCs w:val="20"/>
                <w:lang w:val="en-GB" w:eastAsia="en-GB"/>
              </w:rPr>
              <w:t>X</w:t>
            </w:r>
            <w:r w:rsidR="00265F68" w:rsidRPr="00CC64F1">
              <w:rPr>
                <w:rFonts w:ascii="Arial" w:eastAsia="Times New Roman" w:hAnsi="Arial" w:cs="Arial"/>
                <w:bCs/>
                <w:color w:val="000000"/>
                <w:sz w:val="20"/>
                <w:szCs w:val="20"/>
                <w:lang w:val="en-GB" w:eastAsia="en-GB"/>
              </w:rPr>
              <w:t>X</w:t>
            </w:r>
            <w:r w:rsidR="00DF3DED" w:rsidRPr="00CC64F1">
              <w:rPr>
                <w:rFonts w:ascii="Arial" w:eastAsia="Times New Roman" w:hAnsi="Arial" w:cs="Arial"/>
                <w:bCs/>
                <w:color w:val="000000"/>
                <w:sz w:val="20"/>
                <w:szCs w:val="20"/>
                <w:lang w:val="en-GB" w:eastAsia="en-GB"/>
              </w:rPr>
              <w:t>X</w:t>
            </w:r>
            <w:r w:rsidR="00595725" w:rsidRPr="00CC64F1">
              <w:rPr>
                <w:rFonts w:ascii="Arial" w:eastAsia="Times New Roman" w:hAnsi="Arial" w:cs="Arial"/>
                <w:bCs/>
                <w:color w:val="000000"/>
                <w:sz w:val="20"/>
                <w:szCs w:val="20"/>
                <w:lang w:val="en-GB" w:eastAsia="en-GB"/>
              </w:rPr>
              <w:t>X</w:t>
            </w:r>
            <w:r w:rsidR="005225ED" w:rsidRPr="00CC64F1">
              <w:rPr>
                <w:rFonts w:ascii="Arial" w:eastAsia="Times New Roman" w:hAnsi="Arial" w:cs="Arial"/>
                <w:bCs/>
                <w:color w:val="000000"/>
                <w:sz w:val="20"/>
                <w:szCs w:val="20"/>
                <w:lang w:val="en-GB" w:eastAsia="en-GB"/>
              </w:rPr>
              <w:t>X</w:t>
            </w:r>
          </w:p>
        </w:tc>
      </w:tr>
      <w:tr w:rsidR="007A315B" w:rsidRPr="009D4605" w14:paraId="3EDD15D5" w14:textId="77777777" w:rsidTr="00A66403">
        <w:trPr>
          <w:trHeight w:val="397"/>
        </w:trPr>
        <w:tc>
          <w:tcPr>
            <w:tcW w:w="562" w:type="dxa"/>
            <w:vMerge w:val="restart"/>
            <w:shd w:val="clear" w:color="auto" w:fill="F2F2F2" w:themeFill="background1" w:themeFillShade="F2"/>
          </w:tcPr>
          <w:p w14:paraId="361DC48F" w14:textId="109A767F" w:rsidR="007A315B" w:rsidRPr="009D4605" w:rsidRDefault="007A315B" w:rsidP="003E54BE">
            <w:pPr>
              <w:rPr>
                <w:rFonts w:ascii="Verdana" w:hAnsi="Verdana"/>
                <w:sz w:val="17"/>
                <w:szCs w:val="17"/>
                <w:lang w:val="en-GB"/>
              </w:rPr>
            </w:pPr>
            <w:r>
              <w:rPr>
                <w:rFonts w:ascii="Verdana" w:hAnsi="Verdana"/>
                <w:sz w:val="17"/>
                <w:szCs w:val="17"/>
                <w:lang w:val="en-GB"/>
              </w:rPr>
              <w:t>7</w:t>
            </w:r>
            <w:r w:rsidRPr="009D4605">
              <w:rPr>
                <w:rFonts w:ascii="Verdana" w:hAnsi="Verdana"/>
                <w:sz w:val="17"/>
                <w:szCs w:val="17"/>
                <w:lang w:val="en-GB"/>
              </w:rPr>
              <w:t>.</w:t>
            </w:r>
          </w:p>
        </w:tc>
        <w:tc>
          <w:tcPr>
            <w:tcW w:w="6946" w:type="dxa"/>
            <w:tcBorders>
              <w:top w:val="single" w:sz="4" w:space="0" w:color="auto"/>
              <w:bottom w:val="single" w:sz="4" w:space="0" w:color="auto"/>
            </w:tcBorders>
            <w:shd w:val="clear" w:color="auto" w:fill="F2F2F2" w:themeFill="background1" w:themeFillShade="F2"/>
            <w:vAlign w:val="center"/>
          </w:tcPr>
          <w:p w14:paraId="424097E0" w14:textId="49E2D5E9" w:rsidR="007A315B" w:rsidRPr="00A66403" w:rsidRDefault="007A315B" w:rsidP="003E54BE">
            <w:pPr>
              <w:autoSpaceDE w:val="0"/>
              <w:autoSpaceDN w:val="0"/>
              <w:adjustRightInd w:val="0"/>
              <w:rPr>
                <w:rFonts w:ascii="Verdana" w:hAnsi="Verdana"/>
                <w:sz w:val="17"/>
                <w:szCs w:val="17"/>
                <w:lang w:val="en-GB"/>
              </w:rPr>
            </w:pPr>
            <w:r w:rsidRPr="009D4605">
              <w:rPr>
                <w:rFonts w:ascii="Arial" w:eastAsia="Times New Roman" w:hAnsi="Arial" w:cs="Arial"/>
                <w:b/>
                <w:bCs/>
                <w:color w:val="000000"/>
                <w:sz w:val="20"/>
                <w:szCs w:val="20"/>
                <w:lang w:val="en-GB" w:eastAsia="en-GB"/>
              </w:rPr>
              <w:t xml:space="preserve">Do you </w:t>
            </w:r>
            <w:r>
              <w:rPr>
                <w:rFonts w:ascii="Arial" w:eastAsia="Times New Roman" w:hAnsi="Arial" w:cs="Arial"/>
                <w:b/>
                <w:bCs/>
                <w:color w:val="000000"/>
                <w:sz w:val="20"/>
                <w:szCs w:val="20"/>
                <w:lang w:val="en-GB" w:eastAsia="en-GB"/>
              </w:rPr>
              <w:t xml:space="preserve">have views on following </w:t>
            </w:r>
            <w:r w:rsidRPr="009D4605">
              <w:rPr>
                <w:rFonts w:ascii="Arial" w:eastAsia="Times New Roman" w:hAnsi="Arial" w:cs="Arial"/>
                <w:b/>
                <w:bCs/>
                <w:color w:val="000000"/>
                <w:sz w:val="20"/>
                <w:szCs w:val="20"/>
                <w:lang w:val="en-GB" w:eastAsia="en-GB"/>
              </w:rPr>
              <w:t>LTG measures</w:t>
            </w:r>
            <w:r>
              <w:rPr>
                <w:rFonts w:ascii="Arial" w:eastAsia="Times New Roman" w:hAnsi="Arial" w:cs="Arial"/>
                <w:b/>
                <w:bCs/>
                <w:color w:val="000000"/>
                <w:sz w:val="20"/>
                <w:szCs w:val="20"/>
                <w:lang w:val="en-GB" w:eastAsia="en-GB"/>
              </w:rPr>
              <w:t>?</w:t>
            </w:r>
          </w:p>
        </w:tc>
        <w:tc>
          <w:tcPr>
            <w:tcW w:w="2240" w:type="dxa"/>
            <w:tcBorders>
              <w:top w:val="single" w:sz="4" w:space="0" w:color="auto"/>
              <w:bottom w:val="single" w:sz="4" w:space="0" w:color="auto"/>
            </w:tcBorders>
            <w:shd w:val="clear" w:color="auto" w:fill="F2F2F2" w:themeFill="background1" w:themeFillShade="F2"/>
            <w:vAlign w:val="center"/>
          </w:tcPr>
          <w:p w14:paraId="430F361B" w14:textId="7B97A9A0" w:rsidR="007A315B" w:rsidRPr="009D4605" w:rsidRDefault="007A315B" w:rsidP="003E54BE">
            <w:pPr>
              <w:autoSpaceDE w:val="0"/>
              <w:autoSpaceDN w:val="0"/>
              <w:adjustRightInd w:val="0"/>
              <w:rPr>
                <w:rFonts w:ascii="Verdana" w:hAnsi="Verdana"/>
                <w:sz w:val="17"/>
                <w:szCs w:val="17"/>
              </w:rPr>
            </w:pPr>
            <w:r>
              <w:rPr>
                <w:rFonts w:ascii="Verdana" w:hAnsi="Verdana"/>
                <w:sz w:val="17"/>
                <w:szCs w:val="17"/>
                <w:lang w:val="en-GB"/>
              </w:rPr>
              <w:t>Not sure yet</w:t>
            </w:r>
          </w:p>
        </w:tc>
        <w:tc>
          <w:tcPr>
            <w:tcW w:w="2241" w:type="dxa"/>
            <w:tcBorders>
              <w:top w:val="single" w:sz="4" w:space="0" w:color="auto"/>
              <w:bottom w:val="single" w:sz="4" w:space="0" w:color="auto"/>
            </w:tcBorders>
            <w:shd w:val="clear" w:color="auto" w:fill="F2F2F2" w:themeFill="background1" w:themeFillShade="F2"/>
            <w:vAlign w:val="center"/>
          </w:tcPr>
          <w:p w14:paraId="399B7975" w14:textId="74C2845F" w:rsidR="007A315B" w:rsidRPr="009D4605" w:rsidRDefault="007A315B" w:rsidP="003E54BE">
            <w:pPr>
              <w:autoSpaceDE w:val="0"/>
              <w:autoSpaceDN w:val="0"/>
              <w:adjustRightInd w:val="0"/>
              <w:rPr>
                <w:rFonts w:ascii="Verdana" w:hAnsi="Verdana"/>
                <w:sz w:val="17"/>
                <w:szCs w:val="17"/>
              </w:rPr>
            </w:pPr>
            <w:r w:rsidRPr="009D4605">
              <w:rPr>
                <w:rFonts w:ascii="Verdana" w:hAnsi="Verdana"/>
                <w:sz w:val="17"/>
                <w:szCs w:val="17"/>
                <w:lang w:val="en-GB"/>
              </w:rPr>
              <w:t>Yes</w:t>
            </w:r>
            <w:r>
              <w:rPr>
                <w:rFonts w:ascii="Verdana" w:hAnsi="Verdana"/>
                <w:sz w:val="17"/>
                <w:szCs w:val="17"/>
                <w:lang w:val="en-GB"/>
              </w:rPr>
              <w:t xml:space="preserve"> (please </w:t>
            </w:r>
            <w:r w:rsidR="00C2134B">
              <w:rPr>
                <w:rFonts w:ascii="Verdana" w:hAnsi="Verdana"/>
                <w:sz w:val="17"/>
                <w:szCs w:val="17"/>
                <w:lang w:val="en-GB"/>
              </w:rPr>
              <w:t>comment)</w:t>
            </w:r>
          </w:p>
        </w:tc>
        <w:tc>
          <w:tcPr>
            <w:tcW w:w="2241" w:type="dxa"/>
            <w:tcBorders>
              <w:top w:val="single" w:sz="4" w:space="0" w:color="auto"/>
              <w:bottom w:val="single" w:sz="4" w:space="0" w:color="auto"/>
            </w:tcBorders>
            <w:shd w:val="clear" w:color="auto" w:fill="F2F2F2" w:themeFill="background1" w:themeFillShade="F2"/>
            <w:vAlign w:val="center"/>
          </w:tcPr>
          <w:p w14:paraId="2F0A72A6" w14:textId="09F933D2" w:rsidR="007A315B" w:rsidRPr="009D4605" w:rsidRDefault="007A315B" w:rsidP="003E54BE">
            <w:pPr>
              <w:autoSpaceDE w:val="0"/>
              <w:autoSpaceDN w:val="0"/>
              <w:adjustRightInd w:val="0"/>
              <w:rPr>
                <w:rFonts w:ascii="Verdana" w:hAnsi="Verdana"/>
                <w:sz w:val="17"/>
                <w:szCs w:val="17"/>
                <w:lang w:val="en-GB"/>
              </w:rPr>
            </w:pPr>
            <w:r w:rsidRPr="009D4605">
              <w:rPr>
                <w:rFonts w:ascii="Verdana" w:hAnsi="Verdana"/>
                <w:sz w:val="17"/>
                <w:szCs w:val="17"/>
                <w:lang w:val="en-GB"/>
              </w:rPr>
              <w:t>No</w:t>
            </w:r>
          </w:p>
        </w:tc>
      </w:tr>
      <w:tr w:rsidR="007A315B" w:rsidRPr="009D4605" w14:paraId="26953EBB" w14:textId="77777777" w:rsidTr="00A66403">
        <w:trPr>
          <w:trHeight w:val="397"/>
        </w:trPr>
        <w:tc>
          <w:tcPr>
            <w:tcW w:w="562" w:type="dxa"/>
            <w:vMerge/>
            <w:shd w:val="clear" w:color="auto" w:fill="F2F2F2" w:themeFill="background1" w:themeFillShade="F2"/>
          </w:tcPr>
          <w:p w14:paraId="6B87425B" w14:textId="77777777" w:rsidR="007A315B" w:rsidRPr="009D4605" w:rsidRDefault="007A315B" w:rsidP="003E54BE">
            <w:pPr>
              <w:rPr>
                <w:rFonts w:ascii="Verdana" w:hAnsi="Verdana"/>
                <w:sz w:val="17"/>
                <w:szCs w:val="17"/>
                <w:lang w:val="en-GB"/>
              </w:rPr>
            </w:pPr>
          </w:p>
        </w:tc>
        <w:tc>
          <w:tcPr>
            <w:tcW w:w="6946" w:type="dxa"/>
            <w:tcBorders>
              <w:top w:val="single" w:sz="4" w:space="0" w:color="auto"/>
              <w:bottom w:val="single" w:sz="6" w:space="0" w:color="D3D8D3"/>
              <w:right w:val="single" w:sz="4" w:space="0" w:color="auto"/>
            </w:tcBorders>
            <w:vAlign w:val="center"/>
          </w:tcPr>
          <w:p w14:paraId="3F098B21" w14:textId="7A16D58A" w:rsidR="007A315B" w:rsidRPr="009D4605" w:rsidRDefault="007A315B" w:rsidP="003E54BE">
            <w:pPr>
              <w:rPr>
                <w:rFonts w:ascii="Verdana" w:hAnsi="Verdana"/>
                <w:sz w:val="17"/>
                <w:szCs w:val="17"/>
                <w:lang w:val="en-GB"/>
              </w:rPr>
            </w:pPr>
            <w:r w:rsidRPr="009D4605">
              <w:rPr>
                <w:rFonts w:ascii="Arial" w:eastAsia="Times New Roman" w:hAnsi="Arial" w:cs="Arial"/>
                <w:color w:val="666666"/>
                <w:sz w:val="20"/>
                <w:szCs w:val="20"/>
                <w:lang w:val="en-GB" w:eastAsia="en-GB"/>
              </w:rPr>
              <w:t>Transitional measure on technical provisions (TMTP)</w:t>
            </w:r>
          </w:p>
        </w:tc>
        <w:tc>
          <w:tcPr>
            <w:tcW w:w="2240" w:type="dxa"/>
            <w:tcBorders>
              <w:top w:val="single" w:sz="4" w:space="0" w:color="auto"/>
              <w:left w:val="single" w:sz="4" w:space="0" w:color="auto"/>
              <w:bottom w:val="single" w:sz="4" w:space="0" w:color="D9D9D9" w:themeColor="background1" w:themeShade="D9"/>
              <w:right w:val="single" w:sz="4" w:space="0" w:color="auto"/>
            </w:tcBorders>
            <w:vAlign w:val="center"/>
          </w:tcPr>
          <w:p w14:paraId="1DD33987" w14:textId="77777777" w:rsidR="007A315B" w:rsidRPr="009D4605" w:rsidRDefault="007A315B" w:rsidP="003E54BE">
            <w:pPr>
              <w:rPr>
                <w:rFonts w:ascii="Verdana" w:hAnsi="Verdana"/>
                <w:sz w:val="17"/>
                <w:szCs w:val="17"/>
              </w:rPr>
            </w:pPr>
          </w:p>
        </w:tc>
        <w:tc>
          <w:tcPr>
            <w:tcW w:w="2241" w:type="dxa"/>
            <w:tcBorders>
              <w:top w:val="single" w:sz="4" w:space="0" w:color="auto"/>
              <w:left w:val="single" w:sz="4" w:space="0" w:color="auto"/>
              <w:bottom w:val="single" w:sz="4" w:space="0" w:color="D9D9D9" w:themeColor="background1" w:themeShade="D9"/>
              <w:right w:val="single" w:sz="4" w:space="0" w:color="auto"/>
            </w:tcBorders>
            <w:vAlign w:val="center"/>
          </w:tcPr>
          <w:p w14:paraId="6C2B4462" w14:textId="669283B2" w:rsidR="007A315B" w:rsidRPr="009D4605" w:rsidRDefault="007A315B" w:rsidP="003E54BE">
            <w:pPr>
              <w:rPr>
                <w:rFonts w:ascii="Verdana" w:hAnsi="Verdana"/>
                <w:sz w:val="17"/>
                <w:szCs w:val="17"/>
                <w:lang w:val="en-GB"/>
              </w:rPr>
            </w:pPr>
          </w:p>
        </w:tc>
        <w:tc>
          <w:tcPr>
            <w:tcW w:w="2241" w:type="dxa"/>
            <w:tcBorders>
              <w:top w:val="single" w:sz="4" w:space="0" w:color="auto"/>
              <w:left w:val="single" w:sz="4" w:space="0" w:color="auto"/>
              <w:bottom w:val="single" w:sz="4" w:space="0" w:color="D9D9D9" w:themeColor="background1" w:themeShade="D9"/>
              <w:right w:val="single" w:sz="4" w:space="0" w:color="auto"/>
            </w:tcBorders>
            <w:vAlign w:val="center"/>
          </w:tcPr>
          <w:p w14:paraId="52EB43CF" w14:textId="0BB947C7" w:rsidR="007A315B" w:rsidRPr="009D4605" w:rsidRDefault="00452774" w:rsidP="003E54BE">
            <w:pPr>
              <w:rPr>
                <w:rFonts w:ascii="Verdana" w:hAnsi="Verdana"/>
                <w:sz w:val="17"/>
                <w:szCs w:val="17"/>
                <w:lang w:val="en-GB"/>
              </w:rPr>
            </w:pPr>
            <w:r>
              <w:rPr>
                <w:rFonts w:ascii="Verdana" w:hAnsi="Verdana"/>
                <w:sz w:val="17"/>
                <w:szCs w:val="17"/>
                <w:lang w:val="en-GB"/>
              </w:rPr>
              <w:t>X</w:t>
            </w:r>
            <w:r w:rsidR="00265F68">
              <w:rPr>
                <w:rFonts w:ascii="Verdana" w:hAnsi="Verdana"/>
                <w:sz w:val="17"/>
                <w:szCs w:val="17"/>
                <w:lang w:val="en-GB"/>
              </w:rPr>
              <w:t>X</w:t>
            </w:r>
            <w:r w:rsidR="00DF3DED">
              <w:rPr>
                <w:rFonts w:ascii="Verdana" w:hAnsi="Verdana"/>
                <w:sz w:val="17"/>
                <w:szCs w:val="17"/>
                <w:lang w:val="en-GB"/>
              </w:rPr>
              <w:t>X</w:t>
            </w:r>
            <w:r w:rsidR="00595725">
              <w:rPr>
                <w:rFonts w:ascii="Verdana" w:hAnsi="Verdana"/>
                <w:sz w:val="17"/>
                <w:szCs w:val="17"/>
                <w:lang w:val="en-GB"/>
              </w:rPr>
              <w:t>X</w:t>
            </w:r>
            <w:r w:rsidR="005225ED">
              <w:rPr>
                <w:rFonts w:ascii="Verdana" w:hAnsi="Verdana"/>
                <w:sz w:val="17"/>
                <w:szCs w:val="17"/>
                <w:lang w:val="en-GB"/>
              </w:rPr>
              <w:t>X</w:t>
            </w:r>
            <w:r w:rsidR="003A4A2A">
              <w:rPr>
                <w:rFonts w:ascii="Verdana" w:hAnsi="Verdana"/>
                <w:sz w:val="17"/>
                <w:szCs w:val="17"/>
                <w:lang w:val="en-GB"/>
              </w:rPr>
              <w:t>X</w:t>
            </w:r>
          </w:p>
        </w:tc>
      </w:tr>
      <w:tr w:rsidR="007A315B" w:rsidRPr="009D4605" w14:paraId="3C50A569" w14:textId="77777777" w:rsidTr="00A66403">
        <w:trPr>
          <w:trHeight w:val="397"/>
        </w:trPr>
        <w:tc>
          <w:tcPr>
            <w:tcW w:w="562" w:type="dxa"/>
            <w:vMerge/>
            <w:shd w:val="clear" w:color="auto" w:fill="F2F2F2" w:themeFill="background1" w:themeFillShade="F2"/>
          </w:tcPr>
          <w:p w14:paraId="4694604E" w14:textId="77777777" w:rsidR="007A315B" w:rsidRPr="009D4605" w:rsidRDefault="007A315B" w:rsidP="003E54BE">
            <w:pPr>
              <w:rPr>
                <w:rFonts w:ascii="Verdana" w:hAnsi="Verdana"/>
                <w:sz w:val="17"/>
                <w:szCs w:val="17"/>
                <w:lang w:val="en-GB"/>
              </w:rPr>
            </w:pPr>
          </w:p>
        </w:tc>
        <w:tc>
          <w:tcPr>
            <w:tcW w:w="6946" w:type="dxa"/>
            <w:tcBorders>
              <w:bottom w:val="single" w:sz="6" w:space="0" w:color="D3D8D3"/>
              <w:right w:val="single" w:sz="4" w:space="0" w:color="auto"/>
            </w:tcBorders>
            <w:vAlign w:val="center"/>
          </w:tcPr>
          <w:p w14:paraId="453F580B" w14:textId="685A90AD" w:rsidR="007A315B" w:rsidRPr="009D4605" w:rsidRDefault="007A315B" w:rsidP="003E54BE">
            <w:pPr>
              <w:rPr>
                <w:rFonts w:ascii="Verdana" w:hAnsi="Verdana"/>
                <w:sz w:val="17"/>
                <w:szCs w:val="17"/>
                <w:lang w:val="en-GB"/>
              </w:rPr>
            </w:pPr>
            <w:r w:rsidRPr="009D4605">
              <w:rPr>
                <w:rFonts w:ascii="Arial" w:eastAsia="Times New Roman" w:hAnsi="Arial" w:cs="Arial"/>
                <w:color w:val="666666"/>
                <w:sz w:val="20"/>
                <w:szCs w:val="20"/>
                <w:lang w:val="en-GB" w:eastAsia="en-GB"/>
              </w:rPr>
              <w:t>Transitional measures on risk-free rates (TRFR)</w:t>
            </w:r>
          </w:p>
        </w:tc>
        <w:tc>
          <w:tcPr>
            <w:tcW w:w="2240" w:type="dxa"/>
            <w:tcBorders>
              <w:top w:val="single" w:sz="4" w:space="0" w:color="D9D9D9" w:themeColor="background1" w:themeShade="D9"/>
              <w:left w:val="single" w:sz="4" w:space="0" w:color="auto"/>
              <w:bottom w:val="single" w:sz="4" w:space="0" w:color="D9D9D9" w:themeColor="background1" w:themeShade="D9"/>
              <w:right w:val="single" w:sz="4" w:space="0" w:color="auto"/>
            </w:tcBorders>
            <w:vAlign w:val="center"/>
          </w:tcPr>
          <w:p w14:paraId="6BFF5B4D" w14:textId="77777777" w:rsidR="007A315B" w:rsidRPr="00A66403" w:rsidRDefault="007A315B" w:rsidP="003E54BE">
            <w:pPr>
              <w:rPr>
                <w:rFonts w:ascii="Verdana" w:hAnsi="Verdana"/>
                <w:sz w:val="17"/>
                <w:szCs w:val="17"/>
                <w:lang w:val="en-GB"/>
              </w:rPr>
            </w:pPr>
          </w:p>
        </w:tc>
        <w:tc>
          <w:tcPr>
            <w:tcW w:w="2241" w:type="dxa"/>
            <w:tcBorders>
              <w:top w:val="single" w:sz="4" w:space="0" w:color="D9D9D9" w:themeColor="background1" w:themeShade="D9"/>
              <w:left w:val="single" w:sz="4" w:space="0" w:color="auto"/>
              <w:bottom w:val="single" w:sz="4" w:space="0" w:color="D9D9D9" w:themeColor="background1" w:themeShade="D9"/>
              <w:right w:val="single" w:sz="4" w:space="0" w:color="auto"/>
            </w:tcBorders>
            <w:vAlign w:val="center"/>
          </w:tcPr>
          <w:p w14:paraId="2A217151" w14:textId="6FB7748E" w:rsidR="007A315B" w:rsidRPr="009D4605" w:rsidRDefault="007A315B" w:rsidP="003E54BE">
            <w:pPr>
              <w:rPr>
                <w:rFonts w:ascii="Verdana" w:hAnsi="Verdana"/>
                <w:sz w:val="17"/>
                <w:szCs w:val="17"/>
                <w:lang w:val="en-GB"/>
              </w:rPr>
            </w:pPr>
          </w:p>
        </w:tc>
        <w:tc>
          <w:tcPr>
            <w:tcW w:w="2241" w:type="dxa"/>
            <w:tcBorders>
              <w:top w:val="single" w:sz="4" w:space="0" w:color="D9D9D9" w:themeColor="background1" w:themeShade="D9"/>
              <w:left w:val="single" w:sz="4" w:space="0" w:color="auto"/>
              <w:bottom w:val="single" w:sz="4" w:space="0" w:color="D9D9D9" w:themeColor="background1" w:themeShade="D9"/>
              <w:right w:val="single" w:sz="4" w:space="0" w:color="auto"/>
            </w:tcBorders>
            <w:vAlign w:val="center"/>
          </w:tcPr>
          <w:p w14:paraId="600509AA" w14:textId="5E034B39" w:rsidR="007A315B" w:rsidRPr="009D4605" w:rsidRDefault="00452774" w:rsidP="003E54BE">
            <w:pPr>
              <w:rPr>
                <w:rFonts w:ascii="Verdana" w:hAnsi="Verdana"/>
                <w:sz w:val="17"/>
                <w:szCs w:val="17"/>
                <w:lang w:val="en-GB"/>
              </w:rPr>
            </w:pPr>
            <w:r>
              <w:rPr>
                <w:rFonts w:ascii="Verdana" w:hAnsi="Verdana"/>
                <w:sz w:val="17"/>
                <w:szCs w:val="17"/>
                <w:lang w:val="en-GB"/>
              </w:rPr>
              <w:t>X</w:t>
            </w:r>
            <w:r w:rsidR="00265F68">
              <w:rPr>
                <w:rFonts w:ascii="Verdana" w:hAnsi="Verdana"/>
                <w:sz w:val="17"/>
                <w:szCs w:val="17"/>
                <w:lang w:val="en-GB"/>
              </w:rPr>
              <w:t>X</w:t>
            </w:r>
            <w:r w:rsidR="00DF3DED">
              <w:rPr>
                <w:rFonts w:ascii="Verdana" w:hAnsi="Verdana"/>
                <w:sz w:val="17"/>
                <w:szCs w:val="17"/>
                <w:lang w:val="en-GB"/>
              </w:rPr>
              <w:t>X</w:t>
            </w:r>
            <w:r w:rsidR="00595725">
              <w:rPr>
                <w:rFonts w:ascii="Verdana" w:hAnsi="Verdana"/>
                <w:sz w:val="17"/>
                <w:szCs w:val="17"/>
                <w:lang w:val="en-GB"/>
              </w:rPr>
              <w:t>X</w:t>
            </w:r>
            <w:r w:rsidR="005225ED">
              <w:rPr>
                <w:rFonts w:ascii="Verdana" w:hAnsi="Verdana"/>
                <w:sz w:val="17"/>
                <w:szCs w:val="17"/>
                <w:lang w:val="en-GB"/>
              </w:rPr>
              <w:t>X</w:t>
            </w:r>
            <w:r w:rsidR="003A4A2A">
              <w:rPr>
                <w:rFonts w:ascii="Verdana" w:hAnsi="Verdana"/>
                <w:sz w:val="17"/>
                <w:szCs w:val="17"/>
                <w:lang w:val="en-GB"/>
              </w:rPr>
              <w:t>X</w:t>
            </w:r>
          </w:p>
        </w:tc>
      </w:tr>
      <w:tr w:rsidR="007A315B" w:rsidRPr="009D4605" w14:paraId="515647A6" w14:textId="77777777" w:rsidTr="00A66403">
        <w:trPr>
          <w:trHeight w:val="397"/>
        </w:trPr>
        <w:tc>
          <w:tcPr>
            <w:tcW w:w="562" w:type="dxa"/>
            <w:vMerge/>
            <w:shd w:val="clear" w:color="auto" w:fill="F2F2F2" w:themeFill="background1" w:themeFillShade="F2"/>
          </w:tcPr>
          <w:p w14:paraId="7CE68123" w14:textId="77777777" w:rsidR="007A315B" w:rsidRPr="009D4605" w:rsidRDefault="007A315B" w:rsidP="003E54BE">
            <w:pPr>
              <w:rPr>
                <w:rFonts w:ascii="Verdana" w:hAnsi="Verdana"/>
                <w:sz w:val="17"/>
                <w:szCs w:val="17"/>
                <w:lang w:val="en-GB"/>
              </w:rPr>
            </w:pPr>
          </w:p>
        </w:tc>
        <w:tc>
          <w:tcPr>
            <w:tcW w:w="6946" w:type="dxa"/>
            <w:tcBorders>
              <w:bottom w:val="single" w:sz="6" w:space="0" w:color="D3D8D3"/>
              <w:right w:val="single" w:sz="4" w:space="0" w:color="auto"/>
            </w:tcBorders>
            <w:vAlign w:val="center"/>
          </w:tcPr>
          <w:p w14:paraId="31F50D4F" w14:textId="158C8ADC" w:rsidR="007A315B" w:rsidRPr="009D4605" w:rsidRDefault="007A315B" w:rsidP="003E54BE">
            <w:pPr>
              <w:rPr>
                <w:rFonts w:ascii="Verdana" w:hAnsi="Verdana"/>
                <w:sz w:val="17"/>
                <w:szCs w:val="17"/>
                <w:lang w:val="en-GB"/>
              </w:rPr>
            </w:pPr>
            <w:r w:rsidRPr="009D4605">
              <w:rPr>
                <w:rFonts w:ascii="Arial" w:eastAsia="Times New Roman" w:hAnsi="Arial" w:cs="Arial"/>
                <w:color w:val="666666"/>
                <w:sz w:val="20"/>
                <w:szCs w:val="20"/>
                <w:lang w:val="en-GB" w:eastAsia="en-GB"/>
              </w:rPr>
              <w:t xml:space="preserve">Duration-based equity risk submodule – given that only one company is using this, should the industry ask for this to be improved to ensure a wider application? </w:t>
            </w:r>
          </w:p>
        </w:tc>
        <w:tc>
          <w:tcPr>
            <w:tcW w:w="2240" w:type="dxa"/>
            <w:tcBorders>
              <w:top w:val="single" w:sz="4" w:space="0" w:color="D9D9D9" w:themeColor="background1" w:themeShade="D9"/>
              <w:left w:val="single" w:sz="4" w:space="0" w:color="auto"/>
              <w:bottom w:val="single" w:sz="4" w:space="0" w:color="D9D9D9" w:themeColor="background1" w:themeShade="D9"/>
              <w:right w:val="single" w:sz="4" w:space="0" w:color="auto"/>
            </w:tcBorders>
            <w:vAlign w:val="center"/>
          </w:tcPr>
          <w:p w14:paraId="0BBC13E5" w14:textId="3F69B0CF" w:rsidR="007A315B" w:rsidRPr="00A66403" w:rsidRDefault="005225ED" w:rsidP="003E54BE">
            <w:pPr>
              <w:rPr>
                <w:rFonts w:ascii="Verdana" w:hAnsi="Verdana"/>
                <w:sz w:val="17"/>
                <w:szCs w:val="17"/>
                <w:lang w:val="en-GB"/>
              </w:rPr>
            </w:pPr>
            <w:r>
              <w:rPr>
                <w:rFonts w:ascii="Verdana" w:hAnsi="Verdana"/>
                <w:sz w:val="17"/>
                <w:szCs w:val="17"/>
                <w:lang w:val="en-GB"/>
              </w:rPr>
              <w:t>X</w:t>
            </w:r>
            <w:r w:rsidR="003A4A2A">
              <w:rPr>
                <w:rFonts w:ascii="Verdana" w:hAnsi="Verdana"/>
                <w:sz w:val="17"/>
                <w:szCs w:val="17"/>
                <w:lang w:val="en-GB"/>
              </w:rPr>
              <w:t>X</w:t>
            </w:r>
          </w:p>
        </w:tc>
        <w:tc>
          <w:tcPr>
            <w:tcW w:w="2241" w:type="dxa"/>
            <w:tcBorders>
              <w:top w:val="single" w:sz="4" w:space="0" w:color="D9D9D9" w:themeColor="background1" w:themeShade="D9"/>
              <w:left w:val="single" w:sz="4" w:space="0" w:color="auto"/>
              <w:bottom w:val="single" w:sz="4" w:space="0" w:color="D9D9D9" w:themeColor="background1" w:themeShade="D9"/>
              <w:right w:val="single" w:sz="4" w:space="0" w:color="auto"/>
            </w:tcBorders>
            <w:vAlign w:val="center"/>
          </w:tcPr>
          <w:p w14:paraId="210C5144" w14:textId="08F72110" w:rsidR="007A315B" w:rsidRPr="009D4605" w:rsidRDefault="007A315B" w:rsidP="003E54BE">
            <w:pPr>
              <w:rPr>
                <w:rFonts w:ascii="Verdana" w:hAnsi="Verdana"/>
                <w:sz w:val="17"/>
                <w:szCs w:val="17"/>
                <w:lang w:val="en-GB"/>
              </w:rPr>
            </w:pPr>
          </w:p>
        </w:tc>
        <w:tc>
          <w:tcPr>
            <w:tcW w:w="2241" w:type="dxa"/>
            <w:tcBorders>
              <w:top w:val="single" w:sz="4" w:space="0" w:color="D9D9D9" w:themeColor="background1" w:themeShade="D9"/>
              <w:left w:val="single" w:sz="4" w:space="0" w:color="auto"/>
              <w:bottom w:val="single" w:sz="4" w:space="0" w:color="D9D9D9" w:themeColor="background1" w:themeShade="D9"/>
              <w:right w:val="single" w:sz="4" w:space="0" w:color="auto"/>
            </w:tcBorders>
            <w:vAlign w:val="center"/>
          </w:tcPr>
          <w:p w14:paraId="70964EB4" w14:textId="274E338D" w:rsidR="007A315B" w:rsidRPr="009D4605" w:rsidRDefault="00452774" w:rsidP="003E54BE">
            <w:pPr>
              <w:rPr>
                <w:rFonts w:ascii="Verdana" w:hAnsi="Verdana"/>
                <w:sz w:val="17"/>
                <w:szCs w:val="17"/>
                <w:lang w:val="en-GB"/>
              </w:rPr>
            </w:pPr>
            <w:r>
              <w:rPr>
                <w:rFonts w:ascii="Verdana" w:hAnsi="Verdana"/>
                <w:sz w:val="17"/>
                <w:szCs w:val="17"/>
                <w:lang w:val="en-GB"/>
              </w:rPr>
              <w:t>X</w:t>
            </w:r>
            <w:r w:rsidR="00265F68">
              <w:rPr>
                <w:rFonts w:ascii="Verdana" w:hAnsi="Verdana"/>
                <w:sz w:val="17"/>
                <w:szCs w:val="17"/>
                <w:lang w:val="en-GB"/>
              </w:rPr>
              <w:t>X</w:t>
            </w:r>
            <w:r w:rsidR="00DF3DED">
              <w:rPr>
                <w:rFonts w:ascii="Verdana" w:hAnsi="Verdana"/>
                <w:sz w:val="17"/>
                <w:szCs w:val="17"/>
                <w:lang w:val="en-GB"/>
              </w:rPr>
              <w:t>X</w:t>
            </w:r>
            <w:r w:rsidR="00595725">
              <w:rPr>
                <w:rFonts w:ascii="Verdana" w:hAnsi="Verdana"/>
                <w:sz w:val="17"/>
                <w:szCs w:val="17"/>
                <w:lang w:val="en-GB"/>
              </w:rPr>
              <w:t>X</w:t>
            </w:r>
          </w:p>
        </w:tc>
      </w:tr>
      <w:tr w:rsidR="007A315B" w:rsidRPr="009D4605" w14:paraId="4A506802" w14:textId="77777777" w:rsidTr="00A66403">
        <w:trPr>
          <w:trHeight w:val="397"/>
        </w:trPr>
        <w:tc>
          <w:tcPr>
            <w:tcW w:w="562" w:type="dxa"/>
            <w:vMerge/>
            <w:tcBorders>
              <w:bottom w:val="single" w:sz="4" w:space="0" w:color="auto"/>
            </w:tcBorders>
            <w:shd w:val="clear" w:color="auto" w:fill="F2F2F2" w:themeFill="background1" w:themeFillShade="F2"/>
          </w:tcPr>
          <w:p w14:paraId="760799AC" w14:textId="77777777" w:rsidR="007A315B" w:rsidRPr="009D4605" w:rsidRDefault="007A315B" w:rsidP="003E54BE">
            <w:pPr>
              <w:rPr>
                <w:rFonts w:ascii="Verdana" w:hAnsi="Verdana"/>
                <w:sz w:val="17"/>
                <w:szCs w:val="17"/>
                <w:lang w:val="en-GB"/>
              </w:rPr>
            </w:pPr>
          </w:p>
        </w:tc>
        <w:tc>
          <w:tcPr>
            <w:tcW w:w="6946" w:type="dxa"/>
            <w:tcBorders>
              <w:top w:val="single" w:sz="6" w:space="0" w:color="D3D8D3"/>
              <w:bottom w:val="single" w:sz="4" w:space="0" w:color="auto"/>
              <w:right w:val="single" w:sz="4" w:space="0" w:color="auto"/>
            </w:tcBorders>
            <w:vAlign w:val="center"/>
          </w:tcPr>
          <w:p w14:paraId="1C9F4AAE" w14:textId="73EDF485" w:rsidR="007A315B" w:rsidRPr="009D4605" w:rsidRDefault="007A315B" w:rsidP="003E54BE">
            <w:pPr>
              <w:rPr>
                <w:rFonts w:ascii="Verdana" w:hAnsi="Verdana"/>
                <w:sz w:val="17"/>
                <w:szCs w:val="17"/>
                <w:lang w:val="en-GB"/>
              </w:rPr>
            </w:pPr>
            <w:r w:rsidRPr="009D4605">
              <w:rPr>
                <w:rFonts w:ascii="Arial" w:eastAsia="Times New Roman" w:hAnsi="Arial" w:cs="Arial"/>
                <w:color w:val="666666"/>
                <w:sz w:val="20"/>
                <w:szCs w:val="20"/>
                <w:lang w:val="en-GB" w:eastAsia="en-GB"/>
              </w:rPr>
              <w:t>Symmetric adjustment for equity risk</w:t>
            </w:r>
          </w:p>
        </w:tc>
        <w:tc>
          <w:tcPr>
            <w:tcW w:w="2240" w:type="dxa"/>
            <w:tcBorders>
              <w:top w:val="single" w:sz="4" w:space="0" w:color="D9D9D9" w:themeColor="background1" w:themeShade="D9"/>
              <w:left w:val="single" w:sz="4" w:space="0" w:color="auto"/>
              <w:bottom w:val="single" w:sz="4" w:space="0" w:color="auto"/>
              <w:right w:val="single" w:sz="4" w:space="0" w:color="auto"/>
            </w:tcBorders>
            <w:vAlign w:val="center"/>
          </w:tcPr>
          <w:p w14:paraId="48ABCC44" w14:textId="014AB431" w:rsidR="007A315B" w:rsidRPr="00A66403" w:rsidRDefault="00595725" w:rsidP="003E54BE">
            <w:pPr>
              <w:rPr>
                <w:rFonts w:ascii="Verdana" w:hAnsi="Verdana"/>
                <w:sz w:val="17"/>
                <w:szCs w:val="17"/>
                <w:lang w:val="en-GB"/>
              </w:rPr>
            </w:pPr>
            <w:r>
              <w:rPr>
                <w:rFonts w:ascii="Verdana" w:hAnsi="Verdana"/>
                <w:sz w:val="17"/>
                <w:szCs w:val="17"/>
                <w:lang w:val="en-GB"/>
              </w:rPr>
              <w:t>X</w:t>
            </w:r>
            <w:r w:rsidR="005225ED">
              <w:rPr>
                <w:rFonts w:ascii="Verdana" w:hAnsi="Verdana"/>
                <w:sz w:val="17"/>
                <w:szCs w:val="17"/>
                <w:lang w:val="en-GB"/>
              </w:rPr>
              <w:t>X</w:t>
            </w:r>
          </w:p>
        </w:tc>
        <w:tc>
          <w:tcPr>
            <w:tcW w:w="2241" w:type="dxa"/>
            <w:tcBorders>
              <w:top w:val="single" w:sz="4" w:space="0" w:color="D9D9D9" w:themeColor="background1" w:themeShade="D9"/>
              <w:left w:val="single" w:sz="4" w:space="0" w:color="auto"/>
              <w:bottom w:val="single" w:sz="4" w:space="0" w:color="auto"/>
              <w:right w:val="single" w:sz="4" w:space="0" w:color="auto"/>
            </w:tcBorders>
            <w:vAlign w:val="center"/>
          </w:tcPr>
          <w:p w14:paraId="2600BDF8" w14:textId="54B0CCA4" w:rsidR="007A315B" w:rsidRPr="009D4605" w:rsidRDefault="003A4A2A" w:rsidP="003E54BE">
            <w:pPr>
              <w:rPr>
                <w:rFonts w:ascii="Verdana" w:hAnsi="Verdana"/>
                <w:sz w:val="17"/>
                <w:szCs w:val="17"/>
                <w:lang w:val="en-GB"/>
              </w:rPr>
            </w:pPr>
            <w:r>
              <w:rPr>
                <w:rFonts w:ascii="Verdana" w:hAnsi="Verdana"/>
                <w:sz w:val="17"/>
                <w:szCs w:val="17"/>
                <w:lang w:val="en-GB"/>
              </w:rPr>
              <w:t>X</w:t>
            </w:r>
          </w:p>
        </w:tc>
        <w:tc>
          <w:tcPr>
            <w:tcW w:w="2241" w:type="dxa"/>
            <w:tcBorders>
              <w:top w:val="single" w:sz="4" w:space="0" w:color="D9D9D9" w:themeColor="background1" w:themeShade="D9"/>
              <w:left w:val="single" w:sz="4" w:space="0" w:color="auto"/>
              <w:bottom w:val="single" w:sz="4" w:space="0" w:color="auto"/>
              <w:right w:val="single" w:sz="4" w:space="0" w:color="auto"/>
            </w:tcBorders>
            <w:vAlign w:val="center"/>
          </w:tcPr>
          <w:p w14:paraId="058494E2" w14:textId="09A5F29A" w:rsidR="007A315B" w:rsidRPr="009D4605" w:rsidRDefault="00452774" w:rsidP="003E54BE">
            <w:pPr>
              <w:rPr>
                <w:rFonts w:ascii="Verdana" w:hAnsi="Verdana"/>
                <w:sz w:val="17"/>
                <w:szCs w:val="17"/>
                <w:lang w:val="en-GB"/>
              </w:rPr>
            </w:pPr>
            <w:r>
              <w:rPr>
                <w:rFonts w:ascii="Verdana" w:hAnsi="Verdana"/>
                <w:sz w:val="17"/>
                <w:szCs w:val="17"/>
                <w:lang w:val="en-GB"/>
              </w:rPr>
              <w:t>X</w:t>
            </w:r>
            <w:r w:rsidR="00265F68">
              <w:rPr>
                <w:rFonts w:ascii="Verdana" w:hAnsi="Verdana"/>
                <w:sz w:val="17"/>
                <w:szCs w:val="17"/>
                <w:lang w:val="en-GB"/>
              </w:rPr>
              <w:t>X</w:t>
            </w:r>
            <w:r w:rsidR="00DF3DED">
              <w:rPr>
                <w:rFonts w:ascii="Verdana" w:hAnsi="Verdana"/>
                <w:sz w:val="17"/>
                <w:szCs w:val="17"/>
                <w:lang w:val="en-GB"/>
              </w:rPr>
              <w:t>X</w:t>
            </w:r>
          </w:p>
        </w:tc>
      </w:tr>
      <w:tr w:rsidR="003E54BE" w:rsidRPr="009D4605" w14:paraId="08BD4774" w14:textId="77777777" w:rsidTr="00A66403">
        <w:trPr>
          <w:trHeight w:val="397"/>
        </w:trPr>
        <w:tc>
          <w:tcPr>
            <w:tcW w:w="562" w:type="dxa"/>
            <w:vMerge w:val="restart"/>
            <w:tcBorders>
              <w:top w:val="single" w:sz="4" w:space="0" w:color="auto"/>
              <w:left w:val="single" w:sz="4" w:space="0" w:color="auto"/>
              <w:right w:val="single" w:sz="4" w:space="0" w:color="auto"/>
            </w:tcBorders>
            <w:shd w:val="clear" w:color="auto" w:fill="F2F2F2" w:themeFill="background1" w:themeFillShade="F2"/>
          </w:tcPr>
          <w:p w14:paraId="43714840" w14:textId="0C63CF24" w:rsidR="003E54BE" w:rsidRPr="009D4605" w:rsidRDefault="007A315B" w:rsidP="003E54BE">
            <w:pPr>
              <w:rPr>
                <w:rFonts w:ascii="Verdana" w:hAnsi="Verdana"/>
                <w:sz w:val="17"/>
                <w:szCs w:val="17"/>
              </w:rPr>
            </w:pPr>
            <w:r>
              <w:rPr>
                <w:rFonts w:ascii="Verdana" w:hAnsi="Verdana"/>
                <w:sz w:val="17"/>
                <w:szCs w:val="17"/>
              </w:rPr>
              <w:t>8</w:t>
            </w:r>
            <w:r w:rsidR="003E54BE">
              <w:rPr>
                <w:rFonts w:ascii="Verdana" w:hAnsi="Verdana"/>
                <w:sz w:val="17"/>
                <w:szCs w:val="17"/>
              </w:rPr>
              <w:t>.</w:t>
            </w:r>
          </w:p>
          <w:p w14:paraId="4C2035A2" w14:textId="0D041104" w:rsidR="003E54BE" w:rsidRPr="009D4605" w:rsidRDefault="003E54BE" w:rsidP="003E54BE">
            <w:pPr>
              <w:rPr>
                <w:rFonts w:ascii="Verdana" w:hAnsi="Verdana"/>
                <w:sz w:val="17"/>
                <w:szCs w:val="17"/>
              </w:rPr>
            </w:pPr>
          </w:p>
        </w:tc>
        <w:tc>
          <w:tcPr>
            <w:tcW w:w="13668" w:type="dxa"/>
            <w:gridSpan w:val="4"/>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8BA28D5" w14:textId="3E4E82D3" w:rsidR="003E54BE" w:rsidRPr="00A66403" w:rsidRDefault="003E54BE" w:rsidP="003E54BE">
            <w:pPr>
              <w:rPr>
                <w:rFonts w:ascii="Arial" w:eastAsia="Times New Roman" w:hAnsi="Arial" w:cs="Arial"/>
                <w:color w:val="666666"/>
                <w:sz w:val="20"/>
                <w:szCs w:val="20"/>
                <w:lang w:eastAsia="en-GB"/>
              </w:rPr>
            </w:pPr>
            <w:r w:rsidRPr="009D4605">
              <w:rPr>
                <w:rFonts w:ascii="Arial" w:eastAsia="Times New Roman" w:hAnsi="Arial" w:cs="Arial"/>
                <w:b/>
                <w:bCs/>
                <w:color w:val="000000"/>
                <w:sz w:val="20"/>
                <w:szCs w:val="20"/>
                <w:lang w:val="en-GB" w:eastAsia="en-GB"/>
              </w:rPr>
              <w:t>Comments</w:t>
            </w:r>
            <w:r w:rsidR="00500990">
              <w:rPr>
                <w:rFonts w:ascii="Arial" w:eastAsia="Times New Roman" w:hAnsi="Arial" w:cs="Arial"/>
                <w:b/>
                <w:bCs/>
                <w:color w:val="000000"/>
                <w:sz w:val="20"/>
                <w:szCs w:val="20"/>
                <w:lang w:val="en-GB" w:eastAsia="en-GB"/>
              </w:rPr>
              <w:t xml:space="preserve"> on LTG measures</w:t>
            </w:r>
          </w:p>
        </w:tc>
      </w:tr>
      <w:tr w:rsidR="003E54BE" w:rsidRPr="009D4605" w14:paraId="21702F0A" w14:textId="77777777" w:rsidTr="00A66403">
        <w:trPr>
          <w:trHeight w:val="397"/>
        </w:trPr>
        <w:tc>
          <w:tcPr>
            <w:tcW w:w="562" w:type="dxa"/>
            <w:vMerge/>
            <w:tcBorders>
              <w:left w:val="single" w:sz="4" w:space="0" w:color="auto"/>
              <w:bottom w:val="single" w:sz="4" w:space="0" w:color="auto"/>
              <w:right w:val="single" w:sz="4" w:space="0" w:color="auto"/>
            </w:tcBorders>
            <w:shd w:val="clear" w:color="auto" w:fill="F2F2F2" w:themeFill="background1" w:themeFillShade="F2"/>
          </w:tcPr>
          <w:p w14:paraId="55F42182" w14:textId="4A37BDA8" w:rsidR="003E54BE" w:rsidRDefault="003E54BE" w:rsidP="003E54BE">
            <w:pPr>
              <w:rPr>
                <w:rFonts w:ascii="Verdana" w:hAnsi="Verdana"/>
                <w:sz w:val="17"/>
                <w:szCs w:val="17"/>
              </w:rPr>
            </w:pPr>
          </w:p>
        </w:tc>
        <w:tc>
          <w:tcPr>
            <w:tcW w:w="13668" w:type="dxa"/>
            <w:gridSpan w:val="4"/>
            <w:tcBorders>
              <w:top w:val="single" w:sz="4" w:space="0" w:color="auto"/>
              <w:left w:val="single" w:sz="4" w:space="0" w:color="auto"/>
              <w:bottom w:val="single" w:sz="4" w:space="0" w:color="auto"/>
              <w:right w:val="single" w:sz="4" w:space="0" w:color="auto"/>
            </w:tcBorders>
            <w:vAlign w:val="center"/>
          </w:tcPr>
          <w:p w14:paraId="7037A2DF" w14:textId="1BA6FB61" w:rsidR="003E54BE" w:rsidRDefault="003E54BE">
            <w:pPr>
              <w:rPr>
                <w:rFonts w:ascii="Verdana" w:hAnsi="Verdana"/>
                <w:sz w:val="17"/>
                <w:szCs w:val="17"/>
              </w:rPr>
            </w:pPr>
          </w:p>
        </w:tc>
      </w:tr>
    </w:tbl>
    <w:p w14:paraId="09B300A0" w14:textId="77777777" w:rsidR="00013728" w:rsidRPr="009D4605" w:rsidRDefault="00013728" w:rsidP="00013728">
      <w:pPr>
        <w:autoSpaceDE w:val="0"/>
        <w:autoSpaceDN w:val="0"/>
        <w:adjustRightInd w:val="0"/>
        <w:spacing w:after="0" w:line="240" w:lineRule="auto"/>
        <w:rPr>
          <w:rFonts w:ascii="Verdana" w:hAnsi="Verdana" w:cs="Times New Roman"/>
          <w:b/>
          <w:color w:val="000000"/>
          <w:sz w:val="17"/>
          <w:szCs w:val="17"/>
        </w:rPr>
      </w:pPr>
    </w:p>
    <w:p w14:paraId="332BC32E" w14:textId="77777777" w:rsidR="00013728" w:rsidRPr="009D4605" w:rsidRDefault="00013728" w:rsidP="00013728">
      <w:pPr>
        <w:autoSpaceDE w:val="0"/>
        <w:autoSpaceDN w:val="0"/>
        <w:adjustRightInd w:val="0"/>
        <w:spacing w:after="0" w:line="240" w:lineRule="auto"/>
        <w:rPr>
          <w:rFonts w:ascii="Verdana" w:hAnsi="Verdana" w:cs="Times New Roman"/>
          <w:color w:val="000000"/>
          <w:sz w:val="17"/>
          <w:szCs w:val="17"/>
        </w:rPr>
      </w:pPr>
    </w:p>
    <w:p w14:paraId="31559842" w14:textId="0F5678E2" w:rsidR="005775E1" w:rsidRPr="005775E1" w:rsidRDefault="005775E1" w:rsidP="00A66403">
      <w:pPr>
        <w:pStyle w:val="Odsekzoznamu"/>
        <w:numPr>
          <w:ilvl w:val="0"/>
          <w:numId w:val="37"/>
        </w:numPr>
        <w:rPr>
          <w:b/>
          <w:sz w:val="24"/>
        </w:rPr>
      </w:pPr>
      <w:r w:rsidRPr="005775E1">
        <w:rPr>
          <w:b/>
          <w:sz w:val="24"/>
        </w:rPr>
        <w:t>Risk margin</w:t>
      </w:r>
    </w:p>
    <w:tbl>
      <w:tblPr>
        <w:tblStyle w:val="Mriekatabuky"/>
        <w:tblW w:w="14230" w:type="dxa"/>
        <w:tblCellMar>
          <w:top w:w="57" w:type="dxa"/>
          <w:bottom w:w="57" w:type="dxa"/>
        </w:tblCellMar>
        <w:tblLook w:val="04A0" w:firstRow="1" w:lastRow="0" w:firstColumn="1" w:lastColumn="0" w:noHBand="0" w:noVBand="1"/>
      </w:tblPr>
      <w:tblGrid>
        <w:gridCol w:w="560"/>
        <w:gridCol w:w="6948"/>
        <w:gridCol w:w="2240"/>
        <w:gridCol w:w="2241"/>
        <w:gridCol w:w="2241"/>
      </w:tblGrid>
      <w:tr w:rsidR="008C4C91" w:rsidRPr="009D4605" w14:paraId="42901C36" w14:textId="77777777" w:rsidTr="00A66403">
        <w:trPr>
          <w:trHeight w:val="397"/>
        </w:trPr>
        <w:tc>
          <w:tcPr>
            <w:tcW w:w="560" w:type="dxa"/>
            <w:vMerge w:val="restart"/>
            <w:shd w:val="clear" w:color="auto" w:fill="F2F2F2" w:themeFill="background1" w:themeFillShade="F2"/>
          </w:tcPr>
          <w:p w14:paraId="3BBEDF0A" w14:textId="466BD469" w:rsidR="008C4C91" w:rsidRPr="009D4605" w:rsidRDefault="008C4C91" w:rsidP="003E54BE">
            <w:pPr>
              <w:rPr>
                <w:rFonts w:ascii="Verdana" w:hAnsi="Verdana"/>
                <w:sz w:val="17"/>
                <w:szCs w:val="17"/>
                <w:lang w:val="en-GB"/>
              </w:rPr>
            </w:pPr>
            <w:r>
              <w:rPr>
                <w:rFonts w:ascii="Verdana" w:hAnsi="Verdana"/>
                <w:sz w:val="17"/>
                <w:szCs w:val="17"/>
                <w:lang w:val="en-GB"/>
              </w:rPr>
              <w:t>9</w:t>
            </w:r>
            <w:r w:rsidRPr="009D4605">
              <w:rPr>
                <w:rFonts w:ascii="Verdana" w:hAnsi="Verdana"/>
                <w:sz w:val="17"/>
                <w:szCs w:val="17"/>
                <w:lang w:val="en-GB"/>
              </w:rPr>
              <w:t>.</w:t>
            </w:r>
          </w:p>
        </w:tc>
        <w:tc>
          <w:tcPr>
            <w:tcW w:w="6948" w:type="dxa"/>
            <w:vMerge w:val="restart"/>
            <w:shd w:val="clear" w:color="auto" w:fill="F2F2F2" w:themeFill="background1" w:themeFillShade="F2"/>
            <w:vAlign w:val="center"/>
          </w:tcPr>
          <w:p w14:paraId="5A5DFDF0" w14:textId="77777777" w:rsidR="008C4C91" w:rsidRPr="00A66403" w:rsidRDefault="008C4C91" w:rsidP="003E54BE">
            <w:pPr>
              <w:autoSpaceDE w:val="0"/>
              <w:autoSpaceDN w:val="0"/>
              <w:adjustRightInd w:val="0"/>
              <w:rPr>
                <w:rFonts w:ascii="Verdana" w:hAnsi="Verdana"/>
                <w:sz w:val="17"/>
                <w:szCs w:val="17"/>
                <w:lang w:val="en-GB"/>
              </w:rPr>
            </w:pPr>
            <w:r w:rsidRPr="009D4605">
              <w:rPr>
                <w:rFonts w:ascii="Arial" w:eastAsia="Times New Roman" w:hAnsi="Arial" w:cs="Arial"/>
                <w:b/>
                <w:bCs/>
                <w:color w:val="000000"/>
                <w:sz w:val="20"/>
                <w:szCs w:val="20"/>
                <w:lang w:val="en-GB" w:eastAsia="en-GB"/>
              </w:rPr>
              <w:t xml:space="preserve">Does your market support a redesign of the risk margin? </w:t>
            </w:r>
          </w:p>
        </w:tc>
        <w:tc>
          <w:tcPr>
            <w:tcW w:w="2240" w:type="dxa"/>
            <w:shd w:val="clear" w:color="auto" w:fill="F2F2F2" w:themeFill="background1" w:themeFillShade="F2"/>
            <w:vAlign w:val="center"/>
          </w:tcPr>
          <w:p w14:paraId="62E3C890" w14:textId="3CCDD7B4" w:rsidR="008C4C91" w:rsidRPr="009D4605" w:rsidRDefault="008C4C91" w:rsidP="003E54BE">
            <w:pPr>
              <w:autoSpaceDE w:val="0"/>
              <w:autoSpaceDN w:val="0"/>
              <w:adjustRightInd w:val="0"/>
              <w:rPr>
                <w:rFonts w:ascii="Verdana" w:hAnsi="Verdana"/>
                <w:sz w:val="17"/>
                <w:szCs w:val="17"/>
              </w:rPr>
            </w:pPr>
            <w:r>
              <w:rPr>
                <w:rFonts w:ascii="Verdana" w:hAnsi="Verdana"/>
                <w:sz w:val="17"/>
                <w:szCs w:val="17"/>
                <w:lang w:val="en-GB"/>
              </w:rPr>
              <w:t>Not sure yet</w:t>
            </w:r>
          </w:p>
        </w:tc>
        <w:tc>
          <w:tcPr>
            <w:tcW w:w="2241" w:type="dxa"/>
            <w:shd w:val="clear" w:color="auto" w:fill="F2F2F2" w:themeFill="background1" w:themeFillShade="F2"/>
            <w:vAlign w:val="center"/>
          </w:tcPr>
          <w:p w14:paraId="57921720" w14:textId="557A08AB" w:rsidR="008C4C91" w:rsidRPr="009D4605" w:rsidRDefault="008C4C91" w:rsidP="003E54BE">
            <w:pPr>
              <w:autoSpaceDE w:val="0"/>
              <w:autoSpaceDN w:val="0"/>
              <w:adjustRightInd w:val="0"/>
              <w:rPr>
                <w:rFonts w:ascii="Verdana" w:hAnsi="Verdana"/>
                <w:sz w:val="17"/>
                <w:szCs w:val="17"/>
              </w:rPr>
            </w:pPr>
            <w:r>
              <w:rPr>
                <w:rFonts w:ascii="Verdana" w:hAnsi="Verdana"/>
                <w:sz w:val="17"/>
                <w:szCs w:val="17"/>
                <w:lang w:val="en-GB"/>
              </w:rPr>
              <w:t xml:space="preserve">Yes (please </w:t>
            </w:r>
            <w:r w:rsidR="00A66403">
              <w:rPr>
                <w:rFonts w:ascii="Verdana" w:hAnsi="Verdana"/>
                <w:sz w:val="17"/>
                <w:szCs w:val="17"/>
                <w:lang w:val="en-GB"/>
              </w:rPr>
              <w:t>comment</w:t>
            </w:r>
            <w:r>
              <w:rPr>
                <w:rFonts w:ascii="Verdana" w:hAnsi="Verdana"/>
                <w:sz w:val="17"/>
                <w:szCs w:val="17"/>
                <w:lang w:val="en-GB"/>
              </w:rPr>
              <w:t>)</w:t>
            </w:r>
          </w:p>
        </w:tc>
        <w:tc>
          <w:tcPr>
            <w:tcW w:w="2241" w:type="dxa"/>
            <w:shd w:val="clear" w:color="auto" w:fill="F2F2F2" w:themeFill="background1" w:themeFillShade="F2"/>
            <w:vAlign w:val="center"/>
          </w:tcPr>
          <w:p w14:paraId="247F4BEA" w14:textId="7FC24467" w:rsidR="008C4C91" w:rsidRPr="009D4605" w:rsidRDefault="008C4C91" w:rsidP="003E54BE">
            <w:pPr>
              <w:autoSpaceDE w:val="0"/>
              <w:autoSpaceDN w:val="0"/>
              <w:adjustRightInd w:val="0"/>
              <w:rPr>
                <w:rFonts w:ascii="Verdana" w:hAnsi="Verdana"/>
                <w:sz w:val="17"/>
                <w:szCs w:val="17"/>
                <w:lang w:val="en-GB"/>
              </w:rPr>
            </w:pPr>
            <w:r w:rsidRPr="009D4605">
              <w:rPr>
                <w:rFonts w:ascii="Verdana" w:hAnsi="Verdana"/>
                <w:sz w:val="17"/>
                <w:szCs w:val="17"/>
                <w:lang w:val="en-GB"/>
              </w:rPr>
              <w:t>No</w:t>
            </w:r>
          </w:p>
        </w:tc>
      </w:tr>
      <w:tr w:rsidR="008C4C91" w:rsidRPr="009D4605" w14:paraId="76E3D253" w14:textId="77777777" w:rsidTr="00A66403">
        <w:trPr>
          <w:trHeight w:val="397"/>
        </w:trPr>
        <w:tc>
          <w:tcPr>
            <w:tcW w:w="560" w:type="dxa"/>
            <w:vMerge/>
            <w:shd w:val="clear" w:color="auto" w:fill="F2F2F2" w:themeFill="background1" w:themeFillShade="F2"/>
          </w:tcPr>
          <w:p w14:paraId="2D97130B" w14:textId="77777777" w:rsidR="008C4C91" w:rsidRPr="009D4605" w:rsidRDefault="008C4C91" w:rsidP="003E54BE">
            <w:pPr>
              <w:rPr>
                <w:rFonts w:ascii="Verdana" w:hAnsi="Verdana"/>
                <w:sz w:val="17"/>
                <w:szCs w:val="17"/>
                <w:lang w:val="en-GB"/>
              </w:rPr>
            </w:pPr>
          </w:p>
        </w:tc>
        <w:tc>
          <w:tcPr>
            <w:tcW w:w="6948" w:type="dxa"/>
            <w:vMerge/>
            <w:vAlign w:val="center"/>
          </w:tcPr>
          <w:p w14:paraId="17C25528" w14:textId="77777777" w:rsidR="008C4C91" w:rsidRPr="009D4605" w:rsidRDefault="008C4C91" w:rsidP="003E54BE">
            <w:pPr>
              <w:rPr>
                <w:rFonts w:ascii="Verdana" w:hAnsi="Verdana"/>
                <w:sz w:val="17"/>
                <w:szCs w:val="17"/>
              </w:rPr>
            </w:pPr>
          </w:p>
        </w:tc>
        <w:tc>
          <w:tcPr>
            <w:tcW w:w="2240" w:type="dxa"/>
            <w:vAlign w:val="center"/>
          </w:tcPr>
          <w:p w14:paraId="15498FF0" w14:textId="1DA78872" w:rsidR="008C4C91" w:rsidRPr="009D4605" w:rsidRDefault="00452774" w:rsidP="003E54BE">
            <w:pPr>
              <w:rPr>
                <w:rFonts w:ascii="Verdana" w:hAnsi="Verdana"/>
                <w:sz w:val="17"/>
                <w:szCs w:val="17"/>
              </w:rPr>
            </w:pPr>
            <w:r>
              <w:rPr>
                <w:rFonts w:ascii="Verdana" w:hAnsi="Verdana"/>
                <w:sz w:val="17"/>
                <w:szCs w:val="17"/>
              </w:rPr>
              <w:t>X</w:t>
            </w:r>
            <w:r w:rsidR="00595725">
              <w:rPr>
                <w:rFonts w:ascii="Verdana" w:hAnsi="Verdana"/>
                <w:sz w:val="17"/>
                <w:szCs w:val="17"/>
              </w:rPr>
              <w:t>X</w:t>
            </w:r>
            <w:r w:rsidR="003A4A2A">
              <w:rPr>
                <w:rFonts w:ascii="Verdana" w:hAnsi="Verdana"/>
                <w:sz w:val="17"/>
                <w:szCs w:val="17"/>
              </w:rPr>
              <w:t>X</w:t>
            </w:r>
          </w:p>
        </w:tc>
        <w:tc>
          <w:tcPr>
            <w:tcW w:w="2241" w:type="dxa"/>
            <w:vAlign w:val="center"/>
          </w:tcPr>
          <w:p w14:paraId="4223AAB3" w14:textId="29EF7160" w:rsidR="008C4C91" w:rsidRPr="009D4605" w:rsidRDefault="00265F68" w:rsidP="003E54BE">
            <w:pPr>
              <w:rPr>
                <w:rFonts w:ascii="Verdana" w:hAnsi="Verdana"/>
                <w:sz w:val="17"/>
                <w:szCs w:val="17"/>
              </w:rPr>
            </w:pPr>
            <w:r>
              <w:rPr>
                <w:rFonts w:ascii="Verdana" w:hAnsi="Verdana"/>
                <w:sz w:val="17"/>
                <w:szCs w:val="17"/>
              </w:rPr>
              <w:t>X</w:t>
            </w:r>
            <w:r w:rsidR="005225ED">
              <w:rPr>
                <w:rFonts w:ascii="Verdana" w:hAnsi="Verdana"/>
                <w:sz w:val="17"/>
                <w:szCs w:val="17"/>
              </w:rPr>
              <w:t>X</w:t>
            </w:r>
          </w:p>
        </w:tc>
        <w:tc>
          <w:tcPr>
            <w:tcW w:w="2241" w:type="dxa"/>
            <w:vAlign w:val="center"/>
          </w:tcPr>
          <w:p w14:paraId="6D587DED" w14:textId="3E58C4E7" w:rsidR="008C4C91" w:rsidRPr="009D4605" w:rsidRDefault="00DF3DED" w:rsidP="003E54BE">
            <w:pPr>
              <w:rPr>
                <w:rFonts w:ascii="Verdana" w:hAnsi="Verdana"/>
                <w:sz w:val="17"/>
                <w:szCs w:val="17"/>
                <w:lang w:val="en-GB"/>
              </w:rPr>
            </w:pPr>
            <w:r>
              <w:rPr>
                <w:rFonts w:ascii="Verdana" w:hAnsi="Verdana"/>
                <w:sz w:val="17"/>
                <w:szCs w:val="17"/>
                <w:lang w:val="en-GB"/>
              </w:rPr>
              <w:t>X</w:t>
            </w:r>
          </w:p>
        </w:tc>
      </w:tr>
      <w:tr w:rsidR="003E54BE" w:rsidRPr="009D4605" w14:paraId="377486DF" w14:textId="77777777" w:rsidTr="00A66403">
        <w:trPr>
          <w:trHeight w:val="397"/>
        </w:trPr>
        <w:tc>
          <w:tcPr>
            <w:tcW w:w="560" w:type="dxa"/>
            <w:vMerge w:val="restart"/>
            <w:shd w:val="clear" w:color="auto" w:fill="F2F2F2" w:themeFill="background1" w:themeFillShade="F2"/>
          </w:tcPr>
          <w:p w14:paraId="1D08A347" w14:textId="44BDABC5" w:rsidR="003E54BE" w:rsidRPr="009D4605" w:rsidRDefault="003E54BE" w:rsidP="003E54BE">
            <w:pPr>
              <w:rPr>
                <w:rFonts w:ascii="Verdana" w:hAnsi="Verdana"/>
                <w:sz w:val="17"/>
                <w:szCs w:val="17"/>
                <w:lang w:val="en-GB"/>
              </w:rPr>
            </w:pPr>
            <w:r w:rsidRPr="009D4605">
              <w:rPr>
                <w:rFonts w:ascii="Verdana" w:hAnsi="Verdana"/>
                <w:sz w:val="17"/>
                <w:szCs w:val="17"/>
                <w:lang w:val="en-GB"/>
              </w:rPr>
              <w:t>1</w:t>
            </w:r>
            <w:r w:rsidR="007A315B">
              <w:rPr>
                <w:rFonts w:ascii="Verdana" w:hAnsi="Verdana"/>
                <w:sz w:val="17"/>
                <w:szCs w:val="17"/>
                <w:lang w:val="en-GB"/>
              </w:rPr>
              <w:t>0</w:t>
            </w:r>
            <w:r w:rsidRPr="009D4605">
              <w:rPr>
                <w:rFonts w:ascii="Verdana" w:hAnsi="Verdana"/>
                <w:sz w:val="17"/>
                <w:szCs w:val="17"/>
                <w:lang w:val="en-GB"/>
              </w:rPr>
              <w:t>.</w:t>
            </w:r>
          </w:p>
        </w:tc>
        <w:tc>
          <w:tcPr>
            <w:tcW w:w="13670" w:type="dxa"/>
            <w:gridSpan w:val="4"/>
            <w:shd w:val="clear" w:color="auto" w:fill="F2F2F2" w:themeFill="background1" w:themeFillShade="F2"/>
            <w:vAlign w:val="center"/>
          </w:tcPr>
          <w:p w14:paraId="6F6CAEA3" w14:textId="1E2B2F08" w:rsidR="003E54BE" w:rsidRPr="009D4605" w:rsidRDefault="003E54BE" w:rsidP="003E54BE">
            <w:pPr>
              <w:autoSpaceDE w:val="0"/>
              <w:autoSpaceDN w:val="0"/>
              <w:adjustRightInd w:val="0"/>
              <w:rPr>
                <w:rFonts w:ascii="Verdana" w:hAnsi="Verdana"/>
                <w:sz w:val="17"/>
                <w:szCs w:val="17"/>
                <w:lang w:val="en-GB"/>
              </w:rPr>
            </w:pPr>
            <w:r w:rsidRPr="009D4605">
              <w:rPr>
                <w:rFonts w:ascii="Arial" w:eastAsia="Times New Roman" w:hAnsi="Arial" w:cs="Arial"/>
                <w:b/>
                <w:bCs/>
                <w:color w:val="000000"/>
                <w:sz w:val="20"/>
                <w:szCs w:val="20"/>
                <w:lang w:val="en-GB" w:eastAsia="en-GB"/>
              </w:rPr>
              <w:t xml:space="preserve">Comments </w:t>
            </w:r>
            <w:r w:rsidR="00500990">
              <w:rPr>
                <w:rFonts w:ascii="Arial" w:eastAsia="Times New Roman" w:hAnsi="Arial" w:cs="Arial"/>
                <w:b/>
                <w:bCs/>
                <w:color w:val="000000"/>
                <w:sz w:val="20"/>
                <w:szCs w:val="20"/>
                <w:lang w:val="en-GB" w:eastAsia="en-GB"/>
              </w:rPr>
              <w:t xml:space="preserve">on risk margin </w:t>
            </w:r>
            <w:r w:rsidRPr="00A66403">
              <w:rPr>
                <w:rFonts w:ascii="Arial" w:eastAsia="Times New Roman" w:hAnsi="Arial" w:cs="Arial"/>
                <w:bCs/>
                <w:color w:val="000000"/>
                <w:sz w:val="20"/>
                <w:szCs w:val="20"/>
                <w:lang w:val="en-GB" w:eastAsia="en-GB"/>
              </w:rPr>
              <w:t>(</w:t>
            </w:r>
            <w:r w:rsidRPr="00727A98">
              <w:rPr>
                <w:rFonts w:ascii="Arial" w:eastAsia="Times New Roman" w:hAnsi="Arial" w:cs="Arial"/>
                <w:bCs/>
                <w:i/>
                <w:color w:val="000000"/>
                <w:sz w:val="20"/>
                <w:szCs w:val="20"/>
                <w:lang w:val="en-GB" w:eastAsia="en-GB"/>
              </w:rPr>
              <w:t>Note: details of any desirable design features would be particularly welcome</w:t>
            </w:r>
            <w:r w:rsidRPr="009D4605">
              <w:rPr>
                <w:rFonts w:ascii="Arial" w:eastAsia="Times New Roman" w:hAnsi="Arial" w:cs="Arial"/>
                <w:b/>
                <w:bCs/>
                <w:color w:val="000000"/>
                <w:sz w:val="20"/>
                <w:szCs w:val="20"/>
                <w:lang w:val="en-GB" w:eastAsia="en-GB"/>
              </w:rPr>
              <w:t>)</w:t>
            </w:r>
          </w:p>
        </w:tc>
      </w:tr>
      <w:tr w:rsidR="003E54BE" w:rsidRPr="009D4605" w14:paraId="344A7B38" w14:textId="77777777" w:rsidTr="00A66403">
        <w:trPr>
          <w:trHeight w:val="397"/>
        </w:trPr>
        <w:tc>
          <w:tcPr>
            <w:tcW w:w="560" w:type="dxa"/>
            <w:vMerge/>
            <w:shd w:val="clear" w:color="auto" w:fill="F2F2F2" w:themeFill="background1" w:themeFillShade="F2"/>
          </w:tcPr>
          <w:p w14:paraId="0C66E2F8" w14:textId="77777777" w:rsidR="003E54BE" w:rsidRPr="009D4605" w:rsidRDefault="003E54BE" w:rsidP="003E54BE">
            <w:pPr>
              <w:rPr>
                <w:rFonts w:ascii="Verdana" w:hAnsi="Verdana"/>
                <w:sz w:val="17"/>
                <w:szCs w:val="17"/>
                <w:lang w:val="en-GB"/>
              </w:rPr>
            </w:pPr>
          </w:p>
        </w:tc>
        <w:tc>
          <w:tcPr>
            <w:tcW w:w="13670" w:type="dxa"/>
            <w:gridSpan w:val="4"/>
            <w:vAlign w:val="center"/>
          </w:tcPr>
          <w:p w14:paraId="2060E1DA" w14:textId="77777777" w:rsidR="003E54BE" w:rsidRDefault="00265F68" w:rsidP="003E54BE">
            <w:pPr>
              <w:rPr>
                <w:rFonts w:ascii="Verdana" w:hAnsi="Verdana"/>
                <w:sz w:val="17"/>
                <w:szCs w:val="17"/>
                <w:lang w:val="en-AU"/>
              </w:rPr>
            </w:pPr>
            <w:r w:rsidRPr="00F340E0">
              <w:rPr>
                <w:rFonts w:ascii="Verdana" w:hAnsi="Verdana"/>
                <w:sz w:val="17"/>
                <w:szCs w:val="17"/>
                <w:lang w:val="en-AU"/>
              </w:rPr>
              <w:t>Separate calculation of RM for gross and ceded BEL.</w:t>
            </w:r>
          </w:p>
          <w:p w14:paraId="621E0248" w14:textId="3FC53526" w:rsidR="005225ED" w:rsidRPr="009D4605" w:rsidRDefault="005225ED" w:rsidP="003E54BE">
            <w:pPr>
              <w:rPr>
                <w:rFonts w:ascii="Verdana" w:hAnsi="Verdana"/>
                <w:sz w:val="17"/>
                <w:szCs w:val="17"/>
                <w:lang w:val="en-GB"/>
              </w:rPr>
            </w:pPr>
            <w:r>
              <w:rPr>
                <w:rFonts w:ascii="Verdana" w:hAnsi="Verdana"/>
                <w:sz w:val="17"/>
                <w:szCs w:val="17"/>
                <w:lang w:val="en-GB"/>
              </w:rPr>
              <w:t>Revision of cost of capital – the current rate is quite high in consideration of the real market.</w:t>
            </w:r>
          </w:p>
        </w:tc>
      </w:tr>
    </w:tbl>
    <w:p w14:paraId="648B9216" w14:textId="77777777" w:rsidR="005775E1" w:rsidRDefault="005775E1" w:rsidP="00A66403">
      <w:pPr>
        <w:pStyle w:val="Odsekzoznamu"/>
        <w:autoSpaceDE w:val="0"/>
        <w:autoSpaceDN w:val="0"/>
        <w:adjustRightInd w:val="0"/>
        <w:spacing w:line="240" w:lineRule="auto"/>
        <w:rPr>
          <w:b/>
          <w:color w:val="000000"/>
          <w:sz w:val="24"/>
        </w:rPr>
      </w:pPr>
    </w:p>
    <w:p w14:paraId="30EB995F" w14:textId="1E352E07" w:rsidR="00631472" w:rsidRPr="00A66403" w:rsidRDefault="008834B3" w:rsidP="00A66403">
      <w:pPr>
        <w:pStyle w:val="Odsekzoznamu"/>
        <w:numPr>
          <w:ilvl w:val="0"/>
          <w:numId w:val="37"/>
        </w:numPr>
        <w:autoSpaceDE w:val="0"/>
        <w:autoSpaceDN w:val="0"/>
        <w:adjustRightInd w:val="0"/>
        <w:spacing w:line="240" w:lineRule="auto"/>
        <w:rPr>
          <w:b/>
          <w:color w:val="000000"/>
          <w:sz w:val="24"/>
        </w:rPr>
      </w:pPr>
      <w:r w:rsidRPr="00A66403">
        <w:rPr>
          <w:b/>
          <w:color w:val="000000"/>
          <w:sz w:val="24"/>
        </w:rPr>
        <w:t xml:space="preserve">Views on </w:t>
      </w:r>
      <w:r w:rsidR="006A62C9">
        <w:rPr>
          <w:b/>
          <w:color w:val="000000"/>
          <w:sz w:val="24"/>
        </w:rPr>
        <w:t>m</w:t>
      </w:r>
      <w:r w:rsidR="00631472" w:rsidRPr="00A66403">
        <w:rPr>
          <w:b/>
          <w:color w:val="000000"/>
          <w:sz w:val="24"/>
        </w:rPr>
        <w:t>arket risk SCR design/calibration</w:t>
      </w:r>
    </w:p>
    <w:p w14:paraId="5967AD4C" w14:textId="77777777" w:rsidR="00013728" w:rsidRPr="009D4605" w:rsidRDefault="00013728" w:rsidP="00013728">
      <w:pPr>
        <w:autoSpaceDE w:val="0"/>
        <w:autoSpaceDN w:val="0"/>
        <w:adjustRightInd w:val="0"/>
        <w:spacing w:after="0" w:line="240" w:lineRule="auto"/>
        <w:rPr>
          <w:rFonts w:ascii="Verdana" w:hAnsi="Verdana" w:cs="Times New Roman"/>
          <w:color w:val="000000"/>
          <w:sz w:val="17"/>
          <w:szCs w:val="17"/>
        </w:rPr>
      </w:pPr>
    </w:p>
    <w:tbl>
      <w:tblPr>
        <w:tblStyle w:val="Mriekatabuky"/>
        <w:tblW w:w="14230" w:type="dxa"/>
        <w:tblCellMar>
          <w:top w:w="28" w:type="dxa"/>
          <w:bottom w:w="28" w:type="dxa"/>
        </w:tblCellMar>
        <w:tblLook w:val="04A0" w:firstRow="1" w:lastRow="0" w:firstColumn="1" w:lastColumn="0" w:noHBand="0" w:noVBand="1"/>
      </w:tblPr>
      <w:tblGrid>
        <w:gridCol w:w="665"/>
        <w:gridCol w:w="6843"/>
        <w:gridCol w:w="1680"/>
        <w:gridCol w:w="560"/>
        <w:gridCol w:w="1121"/>
        <w:gridCol w:w="1120"/>
        <w:gridCol w:w="560"/>
        <w:gridCol w:w="1681"/>
      </w:tblGrid>
      <w:tr w:rsidR="007D5BED" w:rsidRPr="009D4605" w14:paraId="5C0009B4" w14:textId="77777777" w:rsidTr="00A66403">
        <w:trPr>
          <w:trHeight w:val="397"/>
        </w:trPr>
        <w:tc>
          <w:tcPr>
            <w:tcW w:w="665" w:type="dxa"/>
            <w:vMerge w:val="restart"/>
            <w:shd w:val="clear" w:color="auto" w:fill="F2F2F2" w:themeFill="background1" w:themeFillShade="F2"/>
          </w:tcPr>
          <w:p w14:paraId="79702A00" w14:textId="793388F9" w:rsidR="007D5BED" w:rsidRPr="009D4605" w:rsidRDefault="00581B29" w:rsidP="00C37A66">
            <w:pPr>
              <w:rPr>
                <w:rFonts w:ascii="Verdana" w:hAnsi="Verdana"/>
                <w:sz w:val="17"/>
                <w:szCs w:val="17"/>
                <w:lang w:val="en-GB"/>
              </w:rPr>
            </w:pPr>
            <w:r>
              <w:rPr>
                <w:rFonts w:ascii="Verdana" w:hAnsi="Verdana"/>
                <w:sz w:val="17"/>
                <w:szCs w:val="17"/>
                <w:lang w:val="en-GB"/>
              </w:rPr>
              <w:t>1</w:t>
            </w:r>
            <w:r w:rsidR="007A315B">
              <w:rPr>
                <w:rFonts w:ascii="Verdana" w:hAnsi="Verdana"/>
                <w:sz w:val="17"/>
                <w:szCs w:val="17"/>
                <w:lang w:val="en-GB"/>
              </w:rPr>
              <w:t>1</w:t>
            </w:r>
            <w:r w:rsidR="007D5BED" w:rsidRPr="009D4605">
              <w:rPr>
                <w:rFonts w:ascii="Verdana" w:hAnsi="Verdana"/>
                <w:sz w:val="17"/>
                <w:szCs w:val="17"/>
                <w:lang w:val="en-GB"/>
              </w:rPr>
              <w:t>.</w:t>
            </w:r>
          </w:p>
        </w:tc>
        <w:tc>
          <w:tcPr>
            <w:tcW w:w="13565" w:type="dxa"/>
            <w:gridSpan w:val="7"/>
            <w:shd w:val="clear" w:color="auto" w:fill="F2F2F2" w:themeFill="background1" w:themeFillShade="F2"/>
            <w:vAlign w:val="center"/>
          </w:tcPr>
          <w:p w14:paraId="5F0849B2" w14:textId="77777777" w:rsidR="007D5BED" w:rsidRPr="009D4605" w:rsidRDefault="007D5BED">
            <w:pPr>
              <w:autoSpaceDE w:val="0"/>
              <w:autoSpaceDN w:val="0"/>
              <w:adjustRightInd w:val="0"/>
              <w:rPr>
                <w:rFonts w:ascii="Verdana" w:hAnsi="Verdana"/>
                <w:sz w:val="17"/>
                <w:szCs w:val="17"/>
                <w:lang w:val="en-GB"/>
              </w:rPr>
            </w:pPr>
            <w:r w:rsidRPr="009D4605">
              <w:rPr>
                <w:rFonts w:ascii="Arial" w:eastAsia="Times New Roman" w:hAnsi="Arial" w:cs="Arial"/>
                <w:b/>
                <w:bCs/>
                <w:color w:val="000000"/>
                <w:sz w:val="20"/>
                <w:szCs w:val="20"/>
                <w:lang w:val="en-GB" w:eastAsia="en-GB"/>
              </w:rPr>
              <w:t>Please indicate which of the following market risk SCRs are priority issues for your market as part of the 2020 review?</w:t>
            </w:r>
          </w:p>
        </w:tc>
      </w:tr>
      <w:tr w:rsidR="004B4058" w:rsidRPr="009D4605" w14:paraId="6D3FF422" w14:textId="77777777" w:rsidTr="00A66403">
        <w:trPr>
          <w:trHeight w:val="397"/>
        </w:trPr>
        <w:tc>
          <w:tcPr>
            <w:tcW w:w="665" w:type="dxa"/>
            <w:vMerge/>
            <w:shd w:val="clear" w:color="auto" w:fill="F2F2F2" w:themeFill="background1" w:themeFillShade="F2"/>
          </w:tcPr>
          <w:p w14:paraId="088128A5" w14:textId="77777777" w:rsidR="0060589A" w:rsidRPr="009D4605" w:rsidRDefault="0060589A" w:rsidP="00631472">
            <w:pPr>
              <w:rPr>
                <w:rFonts w:ascii="Verdana" w:hAnsi="Verdana"/>
                <w:sz w:val="17"/>
                <w:szCs w:val="17"/>
                <w:lang w:val="en-GB"/>
              </w:rPr>
            </w:pPr>
          </w:p>
        </w:tc>
        <w:tc>
          <w:tcPr>
            <w:tcW w:w="6843" w:type="dxa"/>
            <w:tcBorders>
              <w:bottom w:val="single" w:sz="4" w:space="0" w:color="auto"/>
            </w:tcBorders>
            <w:shd w:val="clear" w:color="auto" w:fill="F2F2F2" w:themeFill="background1" w:themeFillShade="F2"/>
            <w:vAlign w:val="center"/>
          </w:tcPr>
          <w:p w14:paraId="5E00E4C8" w14:textId="29A735EB" w:rsidR="0060589A" w:rsidRPr="009D4605" w:rsidRDefault="003E54BE" w:rsidP="00631472">
            <w:pPr>
              <w:rPr>
                <w:rFonts w:ascii="Arial" w:eastAsia="Times New Roman" w:hAnsi="Arial" w:cs="Arial"/>
                <w:color w:val="666666"/>
                <w:sz w:val="20"/>
                <w:szCs w:val="20"/>
                <w:lang w:val="en-GB" w:eastAsia="en-GB"/>
              </w:rPr>
            </w:pPr>
            <w:r>
              <w:rPr>
                <w:rFonts w:ascii="Arial" w:eastAsia="Times New Roman" w:hAnsi="Arial" w:cs="Arial"/>
                <w:color w:val="666666"/>
                <w:sz w:val="20"/>
                <w:szCs w:val="20"/>
                <w:lang w:val="en-GB" w:eastAsia="en-GB"/>
              </w:rPr>
              <w:t>Risks</w:t>
            </w:r>
          </w:p>
        </w:tc>
        <w:tc>
          <w:tcPr>
            <w:tcW w:w="1680" w:type="dxa"/>
            <w:tcBorders>
              <w:bottom w:val="single" w:sz="4" w:space="0" w:color="auto"/>
            </w:tcBorders>
            <w:shd w:val="clear" w:color="auto" w:fill="EDEDED" w:themeFill="accent3" w:themeFillTint="33"/>
            <w:vAlign w:val="center"/>
          </w:tcPr>
          <w:p w14:paraId="334EF6FF" w14:textId="491AAEC5" w:rsidR="0060589A" w:rsidRPr="009D4605" w:rsidRDefault="0060589A">
            <w:pPr>
              <w:rPr>
                <w:rFonts w:ascii="Verdana" w:hAnsi="Verdana"/>
                <w:sz w:val="17"/>
                <w:szCs w:val="17"/>
              </w:rPr>
            </w:pPr>
            <w:r>
              <w:rPr>
                <w:rFonts w:ascii="Verdana" w:hAnsi="Verdana"/>
                <w:sz w:val="17"/>
                <w:szCs w:val="17"/>
                <w:lang w:val="en-GB"/>
              </w:rPr>
              <w:t>Not sure yet</w:t>
            </w:r>
          </w:p>
        </w:tc>
        <w:tc>
          <w:tcPr>
            <w:tcW w:w="1681" w:type="dxa"/>
            <w:gridSpan w:val="2"/>
            <w:tcBorders>
              <w:bottom w:val="single" w:sz="4" w:space="0" w:color="auto"/>
            </w:tcBorders>
            <w:shd w:val="clear" w:color="auto" w:fill="EDEDED" w:themeFill="accent3" w:themeFillTint="33"/>
            <w:vAlign w:val="center"/>
          </w:tcPr>
          <w:p w14:paraId="6355B840" w14:textId="61A3086A" w:rsidR="0060589A" w:rsidRPr="009D4605" w:rsidRDefault="0060589A">
            <w:pPr>
              <w:rPr>
                <w:rFonts w:ascii="Verdana" w:hAnsi="Verdana"/>
                <w:sz w:val="17"/>
                <w:szCs w:val="17"/>
                <w:lang w:val="en-GB"/>
              </w:rPr>
            </w:pPr>
            <w:r w:rsidRPr="009D4605">
              <w:rPr>
                <w:rFonts w:ascii="Verdana" w:hAnsi="Verdana"/>
                <w:sz w:val="17"/>
                <w:szCs w:val="17"/>
                <w:lang w:val="en-GB"/>
              </w:rPr>
              <w:t>High priority</w:t>
            </w:r>
          </w:p>
        </w:tc>
        <w:tc>
          <w:tcPr>
            <w:tcW w:w="1680" w:type="dxa"/>
            <w:gridSpan w:val="2"/>
            <w:tcBorders>
              <w:bottom w:val="single" w:sz="4" w:space="0" w:color="auto"/>
            </w:tcBorders>
            <w:shd w:val="clear" w:color="auto" w:fill="EDEDED" w:themeFill="accent3" w:themeFillTint="33"/>
            <w:vAlign w:val="center"/>
          </w:tcPr>
          <w:p w14:paraId="6A8A6928" w14:textId="77777777" w:rsidR="0060589A" w:rsidRPr="009D4605" w:rsidRDefault="0060589A" w:rsidP="00631472">
            <w:pPr>
              <w:rPr>
                <w:rFonts w:ascii="Verdana" w:hAnsi="Verdana"/>
                <w:sz w:val="17"/>
                <w:szCs w:val="17"/>
                <w:lang w:val="en-GB"/>
              </w:rPr>
            </w:pPr>
            <w:r w:rsidRPr="009D4605">
              <w:rPr>
                <w:rFonts w:ascii="Verdana" w:hAnsi="Verdana"/>
                <w:sz w:val="17"/>
                <w:szCs w:val="17"/>
                <w:lang w:val="en-GB"/>
              </w:rPr>
              <w:t>Low priority</w:t>
            </w:r>
          </w:p>
        </w:tc>
        <w:tc>
          <w:tcPr>
            <w:tcW w:w="1681" w:type="dxa"/>
            <w:tcBorders>
              <w:bottom w:val="single" w:sz="4" w:space="0" w:color="auto"/>
            </w:tcBorders>
            <w:shd w:val="clear" w:color="auto" w:fill="EDEDED" w:themeFill="accent3" w:themeFillTint="33"/>
            <w:vAlign w:val="center"/>
          </w:tcPr>
          <w:p w14:paraId="5AF111AD" w14:textId="77777777" w:rsidR="0060589A" w:rsidRPr="009D4605" w:rsidRDefault="0060589A" w:rsidP="00631472">
            <w:pPr>
              <w:rPr>
                <w:rFonts w:ascii="Verdana" w:hAnsi="Verdana"/>
                <w:sz w:val="17"/>
                <w:szCs w:val="17"/>
                <w:lang w:val="en-GB"/>
              </w:rPr>
            </w:pPr>
            <w:r w:rsidRPr="009D4605">
              <w:rPr>
                <w:rFonts w:ascii="Verdana" w:hAnsi="Verdana"/>
                <w:sz w:val="17"/>
                <w:szCs w:val="17"/>
                <w:lang w:val="en-GB"/>
              </w:rPr>
              <w:t>Not a priority</w:t>
            </w:r>
          </w:p>
        </w:tc>
      </w:tr>
      <w:tr w:rsidR="003E54BE" w:rsidRPr="009D4605" w14:paraId="09FD555E" w14:textId="77777777" w:rsidTr="00A66403">
        <w:trPr>
          <w:trHeight w:val="397"/>
        </w:trPr>
        <w:tc>
          <w:tcPr>
            <w:tcW w:w="665" w:type="dxa"/>
            <w:vMerge/>
            <w:shd w:val="clear" w:color="auto" w:fill="F2F2F2" w:themeFill="background1" w:themeFillShade="F2"/>
          </w:tcPr>
          <w:p w14:paraId="4985B7D5" w14:textId="77777777" w:rsidR="0060589A" w:rsidRPr="009D4605" w:rsidRDefault="0060589A" w:rsidP="00631472">
            <w:pPr>
              <w:rPr>
                <w:rFonts w:ascii="Verdana" w:hAnsi="Verdana"/>
                <w:sz w:val="17"/>
                <w:szCs w:val="17"/>
                <w:lang w:val="en-GB"/>
              </w:rPr>
            </w:pPr>
          </w:p>
        </w:tc>
        <w:tc>
          <w:tcPr>
            <w:tcW w:w="6843" w:type="dxa"/>
            <w:tcBorders>
              <w:top w:val="single" w:sz="4" w:space="0" w:color="auto"/>
              <w:bottom w:val="single" w:sz="6" w:space="0" w:color="D3D8D3"/>
              <w:right w:val="single" w:sz="4" w:space="0" w:color="auto"/>
            </w:tcBorders>
            <w:vAlign w:val="center"/>
          </w:tcPr>
          <w:p w14:paraId="29EA4D68" w14:textId="2CEF94DF" w:rsidR="0060589A" w:rsidRPr="009D4605" w:rsidRDefault="0060589A" w:rsidP="00631472">
            <w:pPr>
              <w:rPr>
                <w:rFonts w:ascii="Verdana" w:hAnsi="Verdana"/>
                <w:sz w:val="17"/>
                <w:szCs w:val="17"/>
                <w:lang w:val="en-GB"/>
              </w:rPr>
            </w:pPr>
            <w:r w:rsidRPr="009D4605">
              <w:rPr>
                <w:rFonts w:ascii="Arial" w:eastAsia="Times New Roman" w:hAnsi="Arial" w:cs="Arial"/>
                <w:color w:val="666666"/>
                <w:sz w:val="20"/>
                <w:szCs w:val="20"/>
                <w:lang w:val="en-GB" w:eastAsia="en-GB"/>
              </w:rPr>
              <w:t>Interest rate</w:t>
            </w:r>
          </w:p>
        </w:tc>
        <w:tc>
          <w:tcPr>
            <w:tcW w:w="1680" w:type="dxa"/>
            <w:tcBorders>
              <w:top w:val="single" w:sz="4" w:space="0" w:color="auto"/>
              <w:left w:val="single" w:sz="4" w:space="0" w:color="auto"/>
              <w:bottom w:val="single" w:sz="4" w:space="0" w:color="BFBFBF" w:themeColor="background1" w:themeShade="BF"/>
              <w:right w:val="single" w:sz="4" w:space="0" w:color="auto"/>
            </w:tcBorders>
            <w:vAlign w:val="center"/>
          </w:tcPr>
          <w:p w14:paraId="7134BCFA" w14:textId="77777777" w:rsidR="0060589A" w:rsidRPr="009D4605" w:rsidRDefault="0060589A">
            <w:pPr>
              <w:rPr>
                <w:rFonts w:ascii="Verdana" w:hAnsi="Verdana"/>
                <w:sz w:val="17"/>
                <w:szCs w:val="17"/>
              </w:rPr>
            </w:pPr>
          </w:p>
        </w:tc>
        <w:tc>
          <w:tcPr>
            <w:tcW w:w="1681" w:type="dxa"/>
            <w:gridSpan w:val="2"/>
            <w:tcBorders>
              <w:top w:val="single" w:sz="4" w:space="0" w:color="auto"/>
              <w:left w:val="single" w:sz="4" w:space="0" w:color="auto"/>
              <w:bottom w:val="single" w:sz="4" w:space="0" w:color="BFBFBF" w:themeColor="background1" w:themeShade="BF"/>
              <w:right w:val="single" w:sz="4" w:space="0" w:color="auto"/>
            </w:tcBorders>
            <w:vAlign w:val="center"/>
          </w:tcPr>
          <w:p w14:paraId="1CA85F42" w14:textId="3F2A4139" w:rsidR="0060589A" w:rsidRPr="009D4605" w:rsidRDefault="00265F68">
            <w:pPr>
              <w:rPr>
                <w:rFonts w:ascii="Verdana" w:hAnsi="Verdana"/>
                <w:sz w:val="17"/>
                <w:szCs w:val="17"/>
                <w:lang w:val="en-GB"/>
              </w:rPr>
            </w:pPr>
            <w:r>
              <w:rPr>
                <w:rFonts w:ascii="Verdana" w:hAnsi="Verdana"/>
                <w:sz w:val="17"/>
                <w:szCs w:val="17"/>
                <w:lang w:val="en-GB"/>
              </w:rPr>
              <w:t>X</w:t>
            </w:r>
            <w:r w:rsidR="00595725">
              <w:rPr>
                <w:rFonts w:ascii="Verdana" w:hAnsi="Verdana"/>
                <w:sz w:val="17"/>
                <w:szCs w:val="17"/>
                <w:lang w:val="en-GB"/>
              </w:rPr>
              <w:t>X</w:t>
            </w:r>
            <w:r w:rsidR="003A4A2A">
              <w:rPr>
                <w:rFonts w:ascii="Verdana" w:hAnsi="Verdana"/>
                <w:sz w:val="17"/>
                <w:szCs w:val="17"/>
                <w:lang w:val="en-GB"/>
              </w:rPr>
              <w:t>X</w:t>
            </w:r>
          </w:p>
        </w:tc>
        <w:tc>
          <w:tcPr>
            <w:tcW w:w="1680" w:type="dxa"/>
            <w:gridSpan w:val="2"/>
            <w:tcBorders>
              <w:left w:val="single" w:sz="4" w:space="0" w:color="auto"/>
              <w:bottom w:val="single" w:sz="6" w:space="0" w:color="D3D8D3"/>
            </w:tcBorders>
            <w:vAlign w:val="center"/>
          </w:tcPr>
          <w:p w14:paraId="025B1D9A" w14:textId="77777777" w:rsidR="0060589A" w:rsidRPr="009D4605" w:rsidRDefault="0060589A" w:rsidP="00631472">
            <w:pPr>
              <w:rPr>
                <w:rFonts w:ascii="Verdana" w:hAnsi="Verdana"/>
                <w:sz w:val="17"/>
                <w:szCs w:val="17"/>
                <w:lang w:val="en-GB"/>
              </w:rPr>
            </w:pPr>
          </w:p>
        </w:tc>
        <w:tc>
          <w:tcPr>
            <w:tcW w:w="1681" w:type="dxa"/>
            <w:tcBorders>
              <w:bottom w:val="single" w:sz="6" w:space="0" w:color="D3D8D3"/>
            </w:tcBorders>
            <w:vAlign w:val="center"/>
          </w:tcPr>
          <w:p w14:paraId="7C8B6061" w14:textId="0B94C6B1" w:rsidR="0060589A" w:rsidRPr="009D4605" w:rsidRDefault="00DF3DED" w:rsidP="00631472">
            <w:pPr>
              <w:rPr>
                <w:rFonts w:ascii="Verdana" w:hAnsi="Verdana"/>
                <w:sz w:val="17"/>
                <w:szCs w:val="17"/>
                <w:lang w:val="en-GB"/>
              </w:rPr>
            </w:pPr>
            <w:r>
              <w:rPr>
                <w:rFonts w:ascii="Verdana" w:hAnsi="Verdana"/>
                <w:sz w:val="17"/>
                <w:szCs w:val="17"/>
                <w:lang w:val="en-GB"/>
              </w:rPr>
              <w:t>X</w:t>
            </w:r>
            <w:r w:rsidR="005225ED">
              <w:rPr>
                <w:rFonts w:ascii="Verdana" w:hAnsi="Verdana"/>
                <w:sz w:val="17"/>
                <w:szCs w:val="17"/>
                <w:lang w:val="en-GB"/>
              </w:rPr>
              <w:t>X</w:t>
            </w:r>
          </w:p>
        </w:tc>
      </w:tr>
      <w:tr w:rsidR="007A315B" w:rsidRPr="009D4605" w14:paraId="57DC42A0" w14:textId="77777777" w:rsidTr="00A66403">
        <w:trPr>
          <w:trHeight w:val="397"/>
        </w:trPr>
        <w:tc>
          <w:tcPr>
            <w:tcW w:w="665" w:type="dxa"/>
            <w:vMerge/>
            <w:shd w:val="clear" w:color="auto" w:fill="F2F2F2" w:themeFill="background1" w:themeFillShade="F2"/>
          </w:tcPr>
          <w:p w14:paraId="56C09F62" w14:textId="77777777" w:rsidR="0060589A" w:rsidRPr="009D4605" w:rsidRDefault="0060589A" w:rsidP="00631472">
            <w:pPr>
              <w:rPr>
                <w:rFonts w:ascii="Verdana" w:hAnsi="Verdana"/>
                <w:sz w:val="17"/>
                <w:szCs w:val="17"/>
                <w:lang w:val="en-GB"/>
              </w:rPr>
            </w:pPr>
          </w:p>
        </w:tc>
        <w:tc>
          <w:tcPr>
            <w:tcW w:w="6843" w:type="dxa"/>
            <w:tcBorders>
              <w:bottom w:val="single" w:sz="6" w:space="0" w:color="D3D8D3"/>
              <w:right w:val="single" w:sz="4" w:space="0" w:color="auto"/>
            </w:tcBorders>
            <w:vAlign w:val="center"/>
          </w:tcPr>
          <w:p w14:paraId="36AF6132" w14:textId="7E2EEE06" w:rsidR="0060589A" w:rsidRPr="009D4605" w:rsidRDefault="0060589A" w:rsidP="00631472">
            <w:pPr>
              <w:rPr>
                <w:rFonts w:ascii="Verdana" w:hAnsi="Verdana"/>
                <w:sz w:val="17"/>
                <w:szCs w:val="17"/>
                <w:lang w:val="en-GB"/>
              </w:rPr>
            </w:pPr>
            <w:r w:rsidRPr="009D4605">
              <w:rPr>
                <w:rFonts w:ascii="Arial" w:eastAsia="Times New Roman" w:hAnsi="Arial" w:cs="Arial"/>
                <w:color w:val="666666"/>
                <w:sz w:val="20"/>
                <w:szCs w:val="20"/>
                <w:lang w:val="en-GB" w:eastAsia="en-GB"/>
              </w:rPr>
              <w:t>Equity</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F20977B" w14:textId="5315104E" w:rsidR="0060589A" w:rsidRPr="009D4605" w:rsidRDefault="003A4A2A">
            <w:pPr>
              <w:rPr>
                <w:rFonts w:ascii="Verdana" w:hAnsi="Verdana"/>
                <w:sz w:val="17"/>
                <w:szCs w:val="17"/>
              </w:rPr>
            </w:pPr>
            <w:r>
              <w:rPr>
                <w:rFonts w:ascii="Verdana" w:hAnsi="Verdana"/>
                <w:sz w:val="17"/>
                <w:szCs w:val="17"/>
              </w:rPr>
              <w:t>X</w:t>
            </w: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13098E7" w14:textId="47381F96" w:rsidR="0060589A" w:rsidRPr="009D4605" w:rsidRDefault="0060589A">
            <w:pPr>
              <w:rPr>
                <w:rFonts w:ascii="Verdana" w:hAnsi="Verdana"/>
                <w:sz w:val="17"/>
                <w:szCs w:val="17"/>
                <w:lang w:val="en-GB"/>
              </w:rPr>
            </w:pPr>
          </w:p>
        </w:tc>
        <w:tc>
          <w:tcPr>
            <w:tcW w:w="1680" w:type="dxa"/>
            <w:gridSpan w:val="2"/>
            <w:tcBorders>
              <w:left w:val="single" w:sz="4" w:space="0" w:color="auto"/>
              <w:bottom w:val="single" w:sz="6" w:space="0" w:color="D3D8D3"/>
            </w:tcBorders>
            <w:vAlign w:val="center"/>
          </w:tcPr>
          <w:p w14:paraId="4066924F" w14:textId="17745F47" w:rsidR="0060589A" w:rsidRPr="009D4605" w:rsidRDefault="00265F68" w:rsidP="00631472">
            <w:pPr>
              <w:rPr>
                <w:rFonts w:ascii="Verdana" w:hAnsi="Verdana"/>
                <w:sz w:val="17"/>
                <w:szCs w:val="17"/>
                <w:lang w:val="en-GB"/>
              </w:rPr>
            </w:pPr>
            <w:r>
              <w:rPr>
                <w:rFonts w:ascii="Verdana" w:hAnsi="Verdana"/>
                <w:sz w:val="17"/>
                <w:szCs w:val="17"/>
                <w:lang w:val="en-GB"/>
              </w:rPr>
              <w:t>X</w:t>
            </w:r>
            <w:r w:rsidR="00595725">
              <w:rPr>
                <w:rFonts w:ascii="Verdana" w:hAnsi="Verdana"/>
                <w:sz w:val="17"/>
                <w:szCs w:val="17"/>
                <w:lang w:val="en-GB"/>
              </w:rPr>
              <w:t>X</w:t>
            </w:r>
          </w:p>
        </w:tc>
        <w:tc>
          <w:tcPr>
            <w:tcW w:w="1681" w:type="dxa"/>
            <w:tcBorders>
              <w:bottom w:val="single" w:sz="6" w:space="0" w:color="D3D8D3"/>
            </w:tcBorders>
            <w:vAlign w:val="center"/>
          </w:tcPr>
          <w:p w14:paraId="3A07C9FA" w14:textId="659721DB" w:rsidR="0060589A" w:rsidRPr="009D4605" w:rsidRDefault="00DF3DED" w:rsidP="00631472">
            <w:pPr>
              <w:rPr>
                <w:rFonts w:ascii="Verdana" w:hAnsi="Verdana"/>
                <w:sz w:val="17"/>
                <w:szCs w:val="17"/>
                <w:lang w:val="en-GB"/>
              </w:rPr>
            </w:pPr>
            <w:r>
              <w:rPr>
                <w:rFonts w:ascii="Verdana" w:hAnsi="Verdana"/>
                <w:sz w:val="17"/>
                <w:szCs w:val="17"/>
                <w:lang w:val="en-GB"/>
              </w:rPr>
              <w:t>X</w:t>
            </w:r>
            <w:r w:rsidR="005225ED">
              <w:rPr>
                <w:rFonts w:ascii="Verdana" w:hAnsi="Verdana"/>
                <w:sz w:val="17"/>
                <w:szCs w:val="17"/>
                <w:lang w:val="en-GB"/>
              </w:rPr>
              <w:t>X</w:t>
            </w:r>
          </w:p>
        </w:tc>
      </w:tr>
      <w:tr w:rsidR="007A315B" w:rsidRPr="009D4605" w14:paraId="5429EE63" w14:textId="77777777" w:rsidTr="00A66403">
        <w:trPr>
          <w:trHeight w:val="397"/>
        </w:trPr>
        <w:tc>
          <w:tcPr>
            <w:tcW w:w="665" w:type="dxa"/>
            <w:vMerge/>
            <w:shd w:val="clear" w:color="auto" w:fill="F2F2F2" w:themeFill="background1" w:themeFillShade="F2"/>
          </w:tcPr>
          <w:p w14:paraId="37F4E6EA" w14:textId="77777777" w:rsidR="0060589A" w:rsidRPr="009D4605" w:rsidRDefault="0060589A" w:rsidP="00631472">
            <w:pPr>
              <w:rPr>
                <w:rFonts w:ascii="Verdana" w:hAnsi="Verdana"/>
                <w:sz w:val="17"/>
                <w:szCs w:val="17"/>
                <w:lang w:val="en-GB"/>
              </w:rPr>
            </w:pPr>
          </w:p>
        </w:tc>
        <w:tc>
          <w:tcPr>
            <w:tcW w:w="6843" w:type="dxa"/>
            <w:tcBorders>
              <w:bottom w:val="single" w:sz="6" w:space="0" w:color="D3D8D3"/>
              <w:right w:val="single" w:sz="4" w:space="0" w:color="auto"/>
            </w:tcBorders>
            <w:vAlign w:val="center"/>
          </w:tcPr>
          <w:p w14:paraId="494B8356" w14:textId="696E532A" w:rsidR="0060589A" w:rsidRPr="009D4605" w:rsidRDefault="0060589A" w:rsidP="00631472">
            <w:pPr>
              <w:rPr>
                <w:rFonts w:ascii="Verdana" w:hAnsi="Verdana"/>
                <w:sz w:val="17"/>
                <w:szCs w:val="17"/>
                <w:lang w:val="en-GB"/>
              </w:rPr>
            </w:pPr>
            <w:r w:rsidRPr="009D4605">
              <w:rPr>
                <w:rFonts w:ascii="Arial" w:eastAsia="Times New Roman" w:hAnsi="Arial" w:cs="Arial"/>
                <w:color w:val="666666"/>
                <w:sz w:val="20"/>
                <w:szCs w:val="20"/>
                <w:lang w:val="en-GB" w:eastAsia="en-GB"/>
              </w:rPr>
              <w:t>Property</w:t>
            </w:r>
            <w:r w:rsidRPr="009D4605" w:rsidDel="0060589A">
              <w:rPr>
                <w:rFonts w:ascii="Arial" w:eastAsia="Times New Roman" w:hAnsi="Arial" w:cs="Arial"/>
                <w:color w:val="666666"/>
                <w:sz w:val="20"/>
                <w:szCs w:val="20"/>
                <w:lang w:val="en-GB" w:eastAsia="en-GB"/>
              </w:rPr>
              <w:t xml:space="preserve"> </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480FC7F1" w14:textId="6A1F700D" w:rsidR="0060589A" w:rsidRPr="009D4605" w:rsidRDefault="003A4A2A">
            <w:pPr>
              <w:rPr>
                <w:rFonts w:ascii="Verdana" w:hAnsi="Verdana"/>
                <w:sz w:val="17"/>
                <w:szCs w:val="17"/>
              </w:rPr>
            </w:pPr>
            <w:r>
              <w:rPr>
                <w:rFonts w:ascii="Verdana" w:hAnsi="Verdana"/>
                <w:sz w:val="17"/>
                <w:szCs w:val="17"/>
              </w:rPr>
              <w:t>X</w:t>
            </w: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0FA5C65" w14:textId="6B662113" w:rsidR="0060589A" w:rsidRPr="009D4605" w:rsidRDefault="0060589A">
            <w:pPr>
              <w:rPr>
                <w:rFonts w:ascii="Verdana" w:hAnsi="Verdana"/>
                <w:sz w:val="17"/>
                <w:szCs w:val="17"/>
                <w:lang w:val="en-GB"/>
              </w:rPr>
            </w:pPr>
          </w:p>
        </w:tc>
        <w:tc>
          <w:tcPr>
            <w:tcW w:w="1680" w:type="dxa"/>
            <w:gridSpan w:val="2"/>
            <w:tcBorders>
              <w:left w:val="single" w:sz="4" w:space="0" w:color="auto"/>
              <w:bottom w:val="single" w:sz="6" w:space="0" w:color="D3D8D3"/>
            </w:tcBorders>
            <w:vAlign w:val="center"/>
          </w:tcPr>
          <w:p w14:paraId="4FB78CF2" w14:textId="71FAB92E" w:rsidR="0060589A" w:rsidRPr="009D4605" w:rsidRDefault="00265F68" w:rsidP="00631472">
            <w:pPr>
              <w:rPr>
                <w:rFonts w:ascii="Verdana" w:hAnsi="Verdana"/>
                <w:sz w:val="17"/>
                <w:szCs w:val="17"/>
                <w:lang w:val="en-GB"/>
              </w:rPr>
            </w:pPr>
            <w:r>
              <w:rPr>
                <w:rFonts w:ascii="Verdana" w:hAnsi="Verdana"/>
                <w:sz w:val="17"/>
                <w:szCs w:val="17"/>
                <w:lang w:val="en-GB"/>
              </w:rPr>
              <w:t>X</w:t>
            </w:r>
            <w:r w:rsidR="00595725">
              <w:rPr>
                <w:rFonts w:ascii="Verdana" w:hAnsi="Verdana"/>
                <w:sz w:val="17"/>
                <w:szCs w:val="17"/>
                <w:lang w:val="en-GB"/>
              </w:rPr>
              <w:t>X</w:t>
            </w:r>
            <w:r w:rsidR="005225ED">
              <w:rPr>
                <w:rFonts w:ascii="Verdana" w:hAnsi="Verdana"/>
                <w:sz w:val="17"/>
                <w:szCs w:val="17"/>
                <w:lang w:val="en-GB"/>
              </w:rPr>
              <w:t>X</w:t>
            </w:r>
          </w:p>
        </w:tc>
        <w:tc>
          <w:tcPr>
            <w:tcW w:w="1681" w:type="dxa"/>
            <w:tcBorders>
              <w:bottom w:val="single" w:sz="6" w:space="0" w:color="D3D8D3"/>
            </w:tcBorders>
            <w:vAlign w:val="center"/>
          </w:tcPr>
          <w:p w14:paraId="4FA6FC4D" w14:textId="7E0A8780" w:rsidR="0060589A" w:rsidRPr="009D4605" w:rsidRDefault="00DF3DED" w:rsidP="00631472">
            <w:pPr>
              <w:rPr>
                <w:rFonts w:ascii="Verdana" w:hAnsi="Verdana"/>
                <w:sz w:val="17"/>
                <w:szCs w:val="17"/>
                <w:lang w:val="en-GB"/>
              </w:rPr>
            </w:pPr>
            <w:r>
              <w:rPr>
                <w:rFonts w:ascii="Verdana" w:hAnsi="Verdana"/>
                <w:sz w:val="17"/>
                <w:szCs w:val="17"/>
                <w:lang w:val="en-GB"/>
              </w:rPr>
              <w:t>X</w:t>
            </w:r>
          </w:p>
        </w:tc>
      </w:tr>
      <w:tr w:rsidR="007A315B" w:rsidRPr="009D4605" w14:paraId="2B4A30A0" w14:textId="77777777" w:rsidTr="00A66403">
        <w:trPr>
          <w:trHeight w:val="397"/>
        </w:trPr>
        <w:tc>
          <w:tcPr>
            <w:tcW w:w="665" w:type="dxa"/>
            <w:vMerge/>
            <w:shd w:val="clear" w:color="auto" w:fill="F2F2F2" w:themeFill="background1" w:themeFillShade="F2"/>
          </w:tcPr>
          <w:p w14:paraId="67AB32B0" w14:textId="77777777" w:rsidR="0060589A" w:rsidRPr="009D4605" w:rsidRDefault="0060589A" w:rsidP="00631472">
            <w:pPr>
              <w:rPr>
                <w:rFonts w:ascii="Verdana" w:hAnsi="Verdana"/>
                <w:sz w:val="17"/>
                <w:szCs w:val="17"/>
                <w:lang w:val="en-GB"/>
              </w:rPr>
            </w:pPr>
          </w:p>
        </w:tc>
        <w:tc>
          <w:tcPr>
            <w:tcW w:w="6843" w:type="dxa"/>
            <w:tcBorders>
              <w:bottom w:val="single" w:sz="6" w:space="0" w:color="D3D8D3"/>
              <w:right w:val="single" w:sz="4" w:space="0" w:color="auto"/>
            </w:tcBorders>
            <w:vAlign w:val="center"/>
          </w:tcPr>
          <w:p w14:paraId="2DC48B44" w14:textId="72F88F44" w:rsidR="0060589A" w:rsidRPr="009D4605" w:rsidRDefault="0060589A" w:rsidP="00631472">
            <w:pPr>
              <w:rPr>
                <w:rFonts w:ascii="Verdana" w:hAnsi="Verdana"/>
                <w:sz w:val="17"/>
                <w:szCs w:val="17"/>
                <w:lang w:val="en-GB"/>
              </w:rPr>
            </w:pPr>
            <w:r w:rsidRPr="009D4605">
              <w:rPr>
                <w:rFonts w:ascii="Arial" w:eastAsia="Times New Roman" w:hAnsi="Arial" w:cs="Arial"/>
                <w:color w:val="666666"/>
                <w:sz w:val="20"/>
                <w:szCs w:val="20"/>
                <w:lang w:val="en-GB" w:eastAsia="en-GB"/>
              </w:rPr>
              <w:t xml:space="preserve">Spread </w:t>
            </w:r>
            <w:r>
              <w:rPr>
                <w:rFonts w:ascii="Arial" w:eastAsia="Times New Roman" w:hAnsi="Arial" w:cs="Arial"/>
                <w:color w:val="666666"/>
                <w:sz w:val="20"/>
                <w:szCs w:val="20"/>
                <w:lang w:val="en-GB" w:eastAsia="en-GB"/>
              </w:rPr>
              <w:t>–</w:t>
            </w:r>
            <w:r w:rsidRPr="009D4605">
              <w:rPr>
                <w:rFonts w:ascii="Arial" w:eastAsia="Times New Roman" w:hAnsi="Arial" w:cs="Arial"/>
                <w:color w:val="666666"/>
                <w:sz w:val="20"/>
                <w:szCs w:val="20"/>
                <w:lang w:val="en-GB" w:eastAsia="en-GB"/>
              </w:rPr>
              <w:t xml:space="preserve"> </w:t>
            </w:r>
            <w:r>
              <w:rPr>
                <w:rFonts w:ascii="Arial" w:eastAsia="Times New Roman" w:hAnsi="Arial" w:cs="Arial"/>
                <w:color w:val="666666"/>
                <w:sz w:val="20"/>
                <w:szCs w:val="20"/>
                <w:lang w:val="en-GB" w:eastAsia="en-GB"/>
              </w:rPr>
              <w:t>dynamic volatility adjustment</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C4D09D0" w14:textId="531A9C41" w:rsidR="0060589A" w:rsidRPr="009D4605" w:rsidRDefault="003A4A2A">
            <w:pPr>
              <w:rPr>
                <w:rFonts w:ascii="Verdana" w:hAnsi="Verdana"/>
                <w:sz w:val="17"/>
                <w:szCs w:val="17"/>
              </w:rPr>
            </w:pPr>
            <w:r>
              <w:rPr>
                <w:rFonts w:ascii="Verdana" w:hAnsi="Verdana"/>
                <w:sz w:val="17"/>
                <w:szCs w:val="17"/>
              </w:rPr>
              <w:t>X</w:t>
            </w: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81F76CF" w14:textId="281AEEEF" w:rsidR="0060589A" w:rsidRPr="009D4605" w:rsidRDefault="0060589A">
            <w:pPr>
              <w:rPr>
                <w:rFonts w:ascii="Verdana" w:hAnsi="Verdana"/>
                <w:sz w:val="17"/>
                <w:szCs w:val="17"/>
                <w:lang w:val="en-GB"/>
              </w:rPr>
            </w:pPr>
          </w:p>
        </w:tc>
        <w:tc>
          <w:tcPr>
            <w:tcW w:w="1680" w:type="dxa"/>
            <w:gridSpan w:val="2"/>
            <w:tcBorders>
              <w:left w:val="single" w:sz="4" w:space="0" w:color="auto"/>
              <w:bottom w:val="single" w:sz="6" w:space="0" w:color="D3D8D3"/>
            </w:tcBorders>
            <w:vAlign w:val="center"/>
          </w:tcPr>
          <w:p w14:paraId="1A1DCB81" w14:textId="231F2B26" w:rsidR="0060589A" w:rsidRPr="009D4605" w:rsidRDefault="00265F68" w:rsidP="00631472">
            <w:pPr>
              <w:rPr>
                <w:rFonts w:ascii="Verdana" w:hAnsi="Verdana"/>
                <w:sz w:val="17"/>
                <w:szCs w:val="17"/>
                <w:lang w:val="en-GB"/>
              </w:rPr>
            </w:pPr>
            <w:r>
              <w:rPr>
                <w:rFonts w:ascii="Verdana" w:hAnsi="Verdana"/>
                <w:sz w:val="17"/>
                <w:szCs w:val="17"/>
                <w:lang w:val="en-GB"/>
              </w:rPr>
              <w:t>X</w:t>
            </w:r>
            <w:r w:rsidR="00595725">
              <w:rPr>
                <w:rFonts w:ascii="Verdana" w:hAnsi="Verdana"/>
                <w:sz w:val="17"/>
                <w:szCs w:val="17"/>
                <w:lang w:val="en-GB"/>
              </w:rPr>
              <w:t>X</w:t>
            </w:r>
          </w:p>
        </w:tc>
        <w:tc>
          <w:tcPr>
            <w:tcW w:w="1681" w:type="dxa"/>
            <w:tcBorders>
              <w:bottom w:val="single" w:sz="6" w:space="0" w:color="D3D8D3"/>
            </w:tcBorders>
            <w:vAlign w:val="center"/>
          </w:tcPr>
          <w:p w14:paraId="0414C159" w14:textId="3A9F05C2" w:rsidR="0060589A" w:rsidRPr="009D4605" w:rsidRDefault="00DF3DED" w:rsidP="00631472">
            <w:pPr>
              <w:rPr>
                <w:rFonts w:ascii="Verdana" w:hAnsi="Verdana"/>
                <w:sz w:val="17"/>
                <w:szCs w:val="17"/>
                <w:lang w:val="en-GB"/>
              </w:rPr>
            </w:pPr>
            <w:r>
              <w:rPr>
                <w:rFonts w:ascii="Verdana" w:hAnsi="Verdana"/>
                <w:sz w:val="17"/>
                <w:szCs w:val="17"/>
                <w:lang w:val="en-GB"/>
              </w:rPr>
              <w:t>X</w:t>
            </w:r>
            <w:r w:rsidR="005225ED">
              <w:rPr>
                <w:rFonts w:ascii="Verdana" w:hAnsi="Verdana"/>
                <w:sz w:val="17"/>
                <w:szCs w:val="17"/>
                <w:lang w:val="en-GB"/>
              </w:rPr>
              <w:t>X</w:t>
            </w:r>
          </w:p>
        </w:tc>
      </w:tr>
      <w:tr w:rsidR="003E54BE" w:rsidRPr="009D4605" w14:paraId="2D0BA075" w14:textId="77777777" w:rsidTr="00A66403">
        <w:trPr>
          <w:trHeight w:val="397"/>
        </w:trPr>
        <w:tc>
          <w:tcPr>
            <w:tcW w:w="665" w:type="dxa"/>
            <w:vMerge/>
            <w:shd w:val="clear" w:color="auto" w:fill="F2F2F2" w:themeFill="background1" w:themeFillShade="F2"/>
          </w:tcPr>
          <w:p w14:paraId="583833EE" w14:textId="77777777" w:rsidR="0060589A" w:rsidRPr="009D4605" w:rsidRDefault="0060589A" w:rsidP="0060589A">
            <w:pPr>
              <w:rPr>
                <w:rFonts w:ascii="Verdana" w:hAnsi="Verdana"/>
                <w:sz w:val="17"/>
                <w:szCs w:val="17"/>
                <w:lang w:val="en-GB"/>
              </w:rPr>
            </w:pPr>
          </w:p>
        </w:tc>
        <w:tc>
          <w:tcPr>
            <w:tcW w:w="6843" w:type="dxa"/>
            <w:tcBorders>
              <w:bottom w:val="single" w:sz="6" w:space="0" w:color="D3D8D3"/>
              <w:right w:val="single" w:sz="4" w:space="0" w:color="auto"/>
            </w:tcBorders>
            <w:vAlign w:val="center"/>
          </w:tcPr>
          <w:p w14:paraId="7F2D0813" w14:textId="449D1093" w:rsidR="0060589A" w:rsidRPr="009D4605" w:rsidRDefault="0060589A" w:rsidP="0060589A">
            <w:pPr>
              <w:rPr>
                <w:rFonts w:ascii="Verdana" w:hAnsi="Verdana"/>
                <w:sz w:val="17"/>
                <w:szCs w:val="17"/>
                <w:lang w:val="en-GB"/>
              </w:rPr>
            </w:pPr>
            <w:r w:rsidRPr="009D4605">
              <w:rPr>
                <w:rFonts w:ascii="Arial" w:eastAsia="Times New Roman" w:hAnsi="Arial" w:cs="Arial"/>
                <w:color w:val="666666"/>
                <w:sz w:val="20"/>
                <w:szCs w:val="20"/>
                <w:lang w:val="en-GB" w:eastAsia="en-GB"/>
              </w:rPr>
              <w:t>Spread - bonds and loans</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F65A799" w14:textId="3EE95B48" w:rsidR="0060589A" w:rsidRPr="009D4605" w:rsidRDefault="003A4A2A" w:rsidP="0060589A">
            <w:pPr>
              <w:rPr>
                <w:rFonts w:ascii="Verdana" w:hAnsi="Verdana"/>
                <w:sz w:val="17"/>
                <w:szCs w:val="17"/>
              </w:rPr>
            </w:pPr>
            <w:r>
              <w:rPr>
                <w:rFonts w:ascii="Verdana" w:hAnsi="Verdana"/>
                <w:sz w:val="17"/>
                <w:szCs w:val="17"/>
              </w:rPr>
              <w:t>X</w:t>
            </w: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D9BC034" w14:textId="0CEF3AFC" w:rsidR="0060589A" w:rsidRPr="009D4605" w:rsidRDefault="00265F68" w:rsidP="0060589A">
            <w:pPr>
              <w:rPr>
                <w:rFonts w:ascii="Verdana" w:hAnsi="Verdana"/>
                <w:sz w:val="17"/>
                <w:szCs w:val="17"/>
                <w:lang w:val="en-GB"/>
              </w:rPr>
            </w:pPr>
            <w:r>
              <w:rPr>
                <w:rFonts w:ascii="Verdana" w:hAnsi="Verdana"/>
                <w:sz w:val="17"/>
                <w:szCs w:val="17"/>
                <w:lang w:val="en-GB"/>
              </w:rPr>
              <w:t>X</w:t>
            </w:r>
          </w:p>
        </w:tc>
        <w:tc>
          <w:tcPr>
            <w:tcW w:w="1680" w:type="dxa"/>
            <w:gridSpan w:val="2"/>
            <w:tcBorders>
              <w:left w:val="single" w:sz="4" w:space="0" w:color="auto"/>
              <w:bottom w:val="single" w:sz="6" w:space="0" w:color="D3D8D3"/>
            </w:tcBorders>
            <w:vAlign w:val="center"/>
          </w:tcPr>
          <w:p w14:paraId="5B297C1B" w14:textId="7DC715CF" w:rsidR="0060589A" w:rsidRPr="009D4605" w:rsidRDefault="00595725" w:rsidP="0060589A">
            <w:pPr>
              <w:rPr>
                <w:rFonts w:ascii="Verdana" w:hAnsi="Verdana"/>
                <w:sz w:val="17"/>
                <w:szCs w:val="17"/>
                <w:lang w:val="en-GB"/>
              </w:rPr>
            </w:pPr>
            <w:r>
              <w:rPr>
                <w:rFonts w:ascii="Verdana" w:hAnsi="Verdana"/>
                <w:sz w:val="17"/>
                <w:szCs w:val="17"/>
                <w:lang w:val="en-GB"/>
              </w:rPr>
              <w:t>X</w:t>
            </w:r>
          </w:p>
        </w:tc>
        <w:tc>
          <w:tcPr>
            <w:tcW w:w="1681" w:type="dxa"/>
            <w:tcBorders>
              <w:bottom w:val="single" w:sz="6" w:space="0" w:color="D3D8D3"/>
            </w:tcBorders>
            <w:vAlign w:val="center"/>
          </w:tcPr>
          <w:p w14:paraId="618B0354" w14:textId="01ACBA9F" w:rsidR="0060589A" w:rsidRPr="009D4605" w:rsidRDefault="00DF3DED" w:rsidP="0060589A">
            <w:pPr>
              <w:rPr>
                <w:rFonts w:ascii="Verdana" w:hAnsi="Verdana"/>
                <w:sz w:val="17"/>
                <w:szCs w:val="17"/>
                <w:lang w:val="en-GB"/>
              </w:rPr>
            </w:pPr>
            <w:r>
              <w:rPr>
                <w:rFonts w:ascii="Verdana" w:hAnsi="Verdana"/>
                <w:sz w:val="17"/>
                <w:szCs w:val="17"/>
                <w:lang w:val="en-GB"/>
              </w:rPr>
              <w:t>X</w:t>
            </w:r>
            <w:r w:rsidR="005225ED">
              <w:rPr>
                <w:rFonts w:ascii="Verdana" w:hAnsi="Verdana"/>
                <w:sz w:val="17"/>
                <w:szCs w:val="17"/>
                <w:lang w:val="en-GB"/>
              </w:rPr>
              <w:t>X</w:t>
            </w:r>
          </w:p>
        </w:tc>
      </w:tr>
      <w:tr w:rsidR="003E54BE" w:rsidRPr="009D4605" w14:paraId="565BA3E0" w14:textId="77777777" w:rsidTr="00A66403">
        <w:trPr>
          <w:trHeight w:val="397"/>
        </w:trPr>
        <w:tc>
          <w:tcPr>
            <w:tcW w:w="665" w:type="dxa"/>
            <w:vMerge/>
            <w:shd w:val="clear" w:color="auto" w:fill="F2F2F2" w:themeFill="background1" w:themeFillShade="F2"/>
          </w:tcPr>
          <w:p w14:paraId="32177468" w14:textId="77777777" w:rsidR="0060589A" w:rsidRPr="009D4605" w:rsidRDefault="0060589A" w:rsidP="0060589A">
            <w:pPr>
              <w:rPr>
                <w:rFonts w:ascii="Verdana" w:hAnsi="Verdana"/>
                <w:sz w:val="17"/>
                <w:szCs w:val="17"/>
                <w:lang w:val="en-GB"/>
              </w:rPr>
            </w:pPr>
          </w:p>
        </w:tc>
        <w:tc>
          <w:tcPr>
            <w:tcW w:w="6843" w:type="dxa"/>
            <w:tcBorders>
              <w:bottom w:val="single" w:sz="4" w:space="0" w:color="BFBFBF" w:themeColor="background1" w:themeShade="BF"/>
              <w:right w:val="single" w:sz="4" w:space="0" w:color="auto"/>
            </w:tcBorders>
            <w:vAlign w:val="center"/>
          </w:tcPr>
          <w:p w14:paraId="48D993B2" w14:textId="5891AE65" w:rsidR="0060589A" w:rsidRPr="009D4605" w:rsidRDefault="0060589A" w:rsidP="0060589A">
            <w:pPr>
              <w:rPr>
                <w:rFonts w:ascii="Verdana" w:hAnsi="Verdana"/>
                <w:sz w:val="17"/>
                <w:szCs w:val="17"/>
                <w:lang w:val="en-GB"/>
              </w:rPr>
            </w:pPr>
            <w:r w:rsidRPr="009D4605">
              <w:rPr>
                <w:rFonts w:ascii="Arial" w:eastAsia="Times New Roman" w:hAnsi="Arial" w:cs="Arial"/>
                <w:color w:val="666666"/>
                <w:sz w:val="20"/>
                <w:szCs w:val="20"/>
                <w:lang w:val="en-GB" w:eastAsia="en-GB"/>
              </w:rPr>
              <w:t>Spread - covered bonds</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46F7842" w14:textId="195FA1B1" w:rsidR="0060589A" w:rsidRPr="009D4605" w:rsidRDefault="003A4A2A" w:rsidP="0060589A">
            <w:pPr>
              <w:rPr>
                <w:rFonts w:ascii="Verdana" w:hAnsi="Verdana"/>
                <w:sz w:val="17"/>
                <w:szCs w:val="17"/>
              </w:rPr>
            </w:pPr>
            <w:r>
              <w:rPr>
                <w:rFonts w:ascii="Verdana" w:hAnsi="Verdana"/>
                <w:sz w:val="17"/>
                <w:szCs w:val="17"/>
              </w:rPr>
              <w:t>X</w:t>
            </w: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E03EC4D" w14:textId="2F59005B" w:rsidR="0060589A" w:rsidRPr="009D4605" w:rsidRDefault="0060589A" w:rsidP="0060589A">
            <w:pPr>
              <w:rPr>
                <w:rFonts w:ascii="Verdana" w:hAnsi="Verdana"/>
                <w:sz w:val="17"/>
                <w:szCs w:val="17"/>
                <w:lang w:val="en-GB"/>
              </w:rPr>
            </w:pPr>
          </w:p>
        </w:tc>
        <w:tc>
          <w:tcPr>
            <w:tcW w:w="1680" w:type="dxa"/>
            <w:gridSpan w:val="2"/>
            <w:tcBorders>
              <w:left w:val="single" w:sz="4" w:space="0" w:color="auto"/>
              <w:bottom w:val="single" w:sz="4" w:space="0" w:color="BFBFBF" w:themeColor="background1" w:themeShade="BF"/>
            </w:tcBorders>
            <w:vAlign w:val="center"/>
          </w:tcPr>
          <w:p w14:paraId="578D419A" w14:textId="599CB191" w:rsidR="0060589A" w:rsidRPr="009D4605" w:rsidRDefault="00265F68" w:rsidP="0060589A">
            <w:pPr>
              <w:rPr>
                <w:rFonts w:ascii="Verdana" w:hAnsi="Verdana"/>
                <w:sz w:val="17"/>
                <w:szCs w:val="17"/>
                <w:lang w:val="en-GB"/>
              </w:rPr>
            </w:pPr>
            <w:r>
              <w:rPr>
                <w:rFonts w:ascii="Verdana" w:hAnsi="Verdana"/>
                <w:sz w:val="17"/>
                <w:szCs w:val="17"/>
                <w:lang w:val="en-GB"/>
              </w:rPr>
              <w:t>X</w:t>
            </w:r>
            <w:r w:rsidR="00595725">
              <w:rPr>
                <w:rFonts w:ascii="Verdana" w:hAnsi="Verdana"/>
                <w:sz w:val="17"/>
                <w:szCs w:val="17"/>
                <w:lang w:val="en-GB"/>
              </w:rPr>
              <w:t>X</w:t>
            </w:r>
          </w:p>
        </w:tc>
        <w:tc>
          <w:tcPr>
            <w:tcW w:w="1681" w:type="dxa"/>
            <w:tcBorders>
              <w:bottom w:val="single" w:sz="4" w:space="0" w:color="BFBFBF" w:themeColor="background1" w:themeShade="BF"/>
            </w:tcBorders>
            <w:vAlign w:val="center"/>
          </w:tcPr>
          <w:p w14:paraId="611AA5E8" w14:textId="5A8022C1" w:rsidR="0060589A" w:rsidRPr="009D4605" w:rsidRDefault="00DF3DED" w:rsidP="0060589A">
            <w:pPr>
              <w:rPr>
                <w:rFonts w:ascii="Verdana" w:hAnsi="Verdana"/>
                <w:sz w:val="17"/>
                <w:szCs w:val="17"/>
                <w:lang w:val="en-GB"/>
              </w:rPr>
            </w:pPr>
            <w:r>
              <w:rPr>
                <w:rFonts w:ascii="Verdana" w:hAnsi="Verdana"/>
                <w:sz w:val="17"/>
                <w:szCs w:val="17"/>
                <w:lang w:val="en-GB"/>
              </w:rPr>
              <w:t>X</w:t>
            </w:r>
            <w:r w:rsidR="005225ED">
              <w:rPr>
                <w:rFonts w:ascii="Verdana" w:hAnsi="Verdana"/>
                <w:sz w:val="17"/>
                <w:szCs w:val="17"/>
                <w:lang w:val="en-GB"/>
              </w:rPr>
              <w:t>X</w:t>
            </w:r>
          </w:p>
        </w:tc>
      </w:tr>
      <w:tr w:rsidR="003E54BE" w:rsidRPr="009D4605" w14:paraId="29E286F3" w14:textId="77777777" w:rsidTr="00A66403">
        <w:trPr>
          <w:trHeight w:val="397"/>
        </w:trPr>
        <w:tc>
          <w:tcPr>
            <w:tcW w:w="665" w:type="dxa"/>
            <w:vMerge/>
            <w:tcBorders>
              <w:right w:val="single" w:sz="4" w:space="0" w:color="auto"/>
            </w:tcBorders>
            <w:shd w:val="clear" w:color="auto" w:fill="F2F2F2" w:themeFill="background1" w:themeFillShade="F2"/>
          </w:tcPr>
          <w:p w14:paraId="14AAA61D" w14:textId="77777777" w:rsidR="0060589A" w:rsidRPr="009D4605" w:rsidRDefault="0060589A" w:rsidP="0060589A">
            <w:pPr>
              <w:rPr>
                <w:rFonts w:ascii="Verdana" w:hAnsi="Verdana"/>
                <w:sz w:val="17"/>
                <w:szCs w:val="17"/>
                <w:lang w:val="en-GB"/>
              </w:rPr>
            </w:pPr>
          </w:p>
        </w:tc>
        <w:tc>
          <w:tcPr>
            <w:tcW w:w="6843"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1B362ED" w14:textId="04E1C4B6" w:rsidR="0060589A" w:rsidRPr="009D4605" w:rsidRDefault="0060589A" w:rsidP="0060589A">
            <w:pPr>
              <w:rPr>
                <w:rFonts w:ascii="Verdana" w:hAnsi="Verdana"/>
                <w:sz w:val="17"/>
                <w:szCs w:val="17"/>
                <w:lang w:val="en-GB"/>
              </w:rPr>
            </w:pPr>
            <w:r w:rsidRPr="009D4605">
              <w:rPr>
                <w:rFonts w:ascii="Arial" w:eastAsia="Times New Roman" w:hAnsi="Arial" w:cs="Arial"/>
                <w:color w:val="666666"/>
                <w:sz w:val="20"/>
                <w:szCs w:val="20"/>
                <w:lang w:val="en-GB" w:eastAsia="en-GB"/>
              </w:rPr>
              <w:t>Spread - credit derivatives</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36E581FB" w14:textId="77777777" w:rsidR="0060589A" w:rsidRPr="009D4605" w:rsidRDefault="0060589A" w:rsidP="0060589A">
            <w:pPr>
              <w:rPr>
                <w:rFonts w:ascii="Verdana" w:hAnsi="Verdana"/>
                <w:sz w:val="17"/>
                <w:szCs w:val="17"/>
              </w:rPr>
            </w:pP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9E70760" w14:textId="3AD27529" w:rsidR="0060589A" w:rsidRPr="009D4605" w:rsidRDefault="0060589A" w:rsidP="0060589A">
            <w:pPr>
              <w:rPr>
                <w:rFonts w:ascii="Verdana" w:hAnsi="Verdana"/>
                <w:sz w:val="17"/>
                <w:szCs w:val="17"/>
                <w:lang w:val="en-GB"/>
              </w:rPr>
            </w:pPr>
          </w:p>
        </w:tc>
        <w:tc>
          <w:tcPr>
            <w:tcW w:w="1680"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F12A94A" w14:textId="04CAB030" w:rsidR="0060589A" w:rsidRPr="009D4605" w:rsidRDefault="00265F68" w:rsidP="0060589A">
            <w:pPr>
              <w:rPr>
                <w:rFonts w:ascii="Verdana" w:hAnsi="Verdana"/>
                <w:sz w:val="17"/>
                <w:szCs w:val="17"/>
                <w:lang w:val="en-GB"/>
              </w:rPr>
            </w:pPr>
            <w:r>
              <w:rPr>
                <w:rFonts w:ascii="Verdana" w:hAnsi="Verdana"/>
                <w:sz w:val="17"/>
                <w:szCs w:val="17"/>
                <w:lang w:val="en-GB"/>
              </w:rPr>
              <w:t>X</w:t>
            </w:r>
            <w:r w:rsidR="003A4A2A">
              <w:rPr>
                <w:rFonts w:ascii="Verdana" w:hAnsi="Verdana"/>
                <w:sz w:val="17"/>
                <w:szCs w:val="17"/>
                <w:lang w:val="en-GB"/>
              </w:rPr>
              <w:t>X</w:t>
            </w:r>
          </w:p>
        </w:tc>
        <w:tc>
          <w:tcPr>
            <w:tcW w:w="168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9F57DAA" w14:textId="00C21A6A" w:rsidR="0060589A" w:rsidRPr="009D4605" w:rsidRDefault="00DF3DED" w:rsidP="0060589A">
            <w:pPr>
              <w:rPr>
                <w:rFonts w:ascii="Verdana" w:hAnsi="Verdana"/>
                <w:sz w:val="17"/>
                <w:szCs w:val="17"/>
                <w:lang w:val="en-GB"/>
              </w:rPr>
            </w:pPr>
            <w:r>
              <w:rPr>
                <w:rFonts w:ascii="Verdana" w:hAnsi="Verdana"/>
                <w:sz w:val="17"/>
                <w:szCs w:val="17"/>
                <w:lang w:val="en-GB"/>
              </w:rPr>
              <w:t>X</w:t>
            </w:r>
            <w:r w:rsidR="00595725">
              <w:rPr>
                <w:rFonts w:ascii="Verdana" w:hAnsi="Verdana"/>
                <w:sz w:val="17"/>
                <w:szCs w:val="17"/>
                <w:lang w:val="en-GB"/>
              </w:rPr>
              <w:t>X</w:t>
            </w:r>
            <w:r w:rsidR="005225ED">
              <w:rPr>
                <w:rFonts w:ascii="Verdana" w:hAnsi="Verdana"/>
                <w:sz w:val="17"/>
                <w:szCs w:val="17"/>
                <w:lang w:val="en-GB"/>
              </w:rPr>
              <w:t>X</w:t>
            </w:r>
          </w:p>
        </w:tc>
      </w:tr>
      <w:tr w:rsidR="003E54BE" w:rsidRPr="009D4605" w14:paraId="28F3A4CD" w14:textId="77777777" w:rsidTr="00A66403">
        <w:trPr>
          <w:trHeight w:val="397"/>
        </w:trPr>
        <w:tc>
          <w:tcPr>
            <w:tcW w:w="665" w:type="dxa"/>
            <w:vMerge/>
            <w:tcBorders>
              <w:right w:val="single" w:sz="4" w:space="0" w:color="auto"/>
            </w:tcBorders>
            <w:shd w:val="clear" w:color="auto" w:fill="F2F2F2" w:themeFill="background1" w:themeFillShade="F2"/>
          </w:tcPr>
          <w:p w14:paraId="725FE7D9" w14:textId="77777777" w:rsidR="0060589A" w:rsidRPr="009D4605" w:rsidRDefault="0060589A" w:rsidP="0060589A">
            <w:pPr>
              <w:rPr>
                <w:rFonts w:ascii="Verdana" w:hAnsi="Verdana"/>
                <w:sz w:val="17"/>
                <w:szCs w:val="17"/>
                <w:lang w:val="en-GB"/>
              </w:rPr>
            </w:pPr>
          </w:p>
        </w:tc>
        <w:tc>
          <w:tcPr>
            <w:tcW w:w="6843"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44E6C49" w14:textId="64443A1B" w:rsidR="0060589A" w:rsidRPr="009D4605" w:rsidRDefault="0060589A" w:rsidP="0060589A">
            <w:pPr>
              <w:rPr>
                <w:rFonts w:ascii="Verdana" w:hAnsi="Verdana"/>
                <w:sz w:val="17"/>
                <w:szCs w:val="17"/>
                <w:lang w:val="en-GB"/>
              </w:rPr>
            </w:pPr>
            <w:r w:rsidRPr="009D4605">
              <w:rPr>
                <w:rFonts w:ascii="Arial" w:eastAsia="Times New Roman" w:hAnsi="Arial" w:cs="Arial"/>
                <w:color w:val="666666"/>
                <w:sz w:val="20"/>
                <w:szCs w:val="20"/>
                <w:lang w:val="en-GB" w:eastAsia="en-GB"/>
              </w:rPr>
              <w:t>Securitisations</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5677944E" w14:textId="77777777" w:rsidR="0060589A" w:rsidRPr="009D4605" w:rsidRDefault="0060589A" w:rsidP="0060589A">
            <w:pPr>
              <w:rPr>
                <w:rFonts w:ascii="Verdana" w:hAnsi="Verdana"/>
                <w:sz w:val="17"/>
                <w:szCs w:val="17"/>
              </w:rPr>
            </w:pP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F9D217C" w14:textId="059F972F" w:rsidR="0060589A" w:rsidRPr="009D4605" w:rsidRDefault="0060589A" w:rsidP="0060589A">
            <w:pPr>
              <w:rPr>
                <w:rFonts w:ascii="Verdana" w:hAnsi="Verdana"/>
                <w:sz w:val="17"/>
                <w:szCs w:val="17"/>
                <w:lang w:val="en-GB"/>
              </w:rPr>
            </w:pPr>
          </w:p>
        </w:tc>
        <w:tc>
          <w:tcPr>
            <w:tcW w:w="1680"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3A1A5A47" w14:textId="6ED5CD58" w:rsidR="0060589A" w:rsidRPr="009D4605" w:rsidRDefault="003A4A2A" w:rsidP="0060589A">
            <w:pPr>
              <w:rPr>
                <w:rFonts w:ascii="Verdana" w:hAnsi="Verdana"/>
                <w:sz w:val="17"/>
                <w:szCs w:val="17"/>
                <w:lang w:val="en-GB"/>
              </w:rPr>
            </w:pPr>
            <w:r>
              <w:rPr>
                <w:rFonts w:ascii="Verdana" w:hAnsi="Verdana"/>
                <w:sz w:val="17"/>
                <w:szCs w:val="17"/>
                <w:lang w:val="en-GB"/>
              </w:rPr>
              <w:t>X</w:t>
            </w:r>
          </w:p>
        </w:tc>
        <w:tc>
          <w:tcPr>
            <w:tcW w:w="1681"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20063388" w14:textId="317C05E3" w:rsidR="0060589A" w:rsidRPr="009D4605" w:rsidRDefault="00265F68" w:rsidP="0060589A">
            <w:pPr>
              <w:rPr>
                <w:rFonts w:ascii="Verdana" w:hAnsi="Verdana"/>
                <w:sz w:val="17"/>
                <w:szCs w:val="17"/>
                <w:lang w:val="en-GB"/>
              </w:rPr>
            </w:pPr>
            <w:r>
              <w:rPr>
                <w:rFonts w:ascii="Verdana" w:hAnsi="Verdana"/>
                <w:sz w:val="17"/>
                <w:szCs w:val="17"/>
                <w:lang w:val="en-GB"/>
              </w:rPr>
              <w:t>X</w:t>
            </w:r>
            <w:r w:rsidR="00BA07EF">
              <w:rPr>
                <w:rFonts w:ascii="Verdana" w:hAnsi="Verdana"/>
                <w:sz w:val="17"/>
                <w:szCs w:val="17"/>
                <w:lang w:val="en-GB"/>
              </w:rPr>
              <w:t>X</w:t>
            </w:r>
            <w:r w:rsidR="00595725">
              <w:rPr>
                <w:rFonts w:ascii="Verdana" w:hAnsi="Verdana"/>
                <w:sz w:val="17"/>
                <w:szCs w:val="17"/>
                <w:lang w:val="en-GB"/>
              </w:rPr>
              <w:t>X</w:t>
            </w:r>
            <w:r w:rsidR="005225ED">
              <w:rPr>
                <w:rFonts w:ascii="Verdana" w:hAnsi="Verdana"/>
                <w:sz w:val="17"/>
                <w:szCs w:val="17"/>
                <w:lang w:val="en-GB"/>
              </w:rPr>
              <w:t>X</w:t>
            </w:r>
          </w:p>
        </w:tc>
      </w:tr>
      <w:tr w:rsidR="003E54BE" w:rsidRPr="009D4605" w14:paraId="655433B2" w14:textId="77777777" w:rsidTr="00A66403">
        <w:trPr>
          <w:trHeight w:val="397"/>
        </w:trPr>
        <w:tc>
          <w:tcPr>
            <w:tcW w:w="665" w:type="dxa"/>
            <w:vMerge/>
            <w:shd w:val="clear" w:color="auto" w:fill="F2F2F2" w:themeFill="background1" w:themeFillShade="F2"/>
          </w:tcPr>
          <w:p w14:paraId="26060F63" w14:textId="77777777" w:rsidR="0060589A" w:rsidRPr="009D4605" w:rsidRDefault="0060589A" w:rsidP="0060589A">
            <w:pPr>
              <w:rPr>
                <w:rFonts w:ascii="Verdana" w:hAnsi="Verdana"/>
                <w:sz w:val="17"/>
                <w:szCs w:val="17"/>
                <w:lang w:val="en-GB"/>
              </w:rPr>
            </w:pPr>
          </w:p>
        </w:tc>
        <w:tc>
          <w:tcPr>
            <w:tcW w:w="6843" w:type="dxa"/>
            <w:tcBorders>
              <w:top w:val="single" w:sz="4" w:space="0" w:color="BFBFBF" w:themeColor="background1" w:themeShade="BF"/>
              <w:bottom w:val="single" w:sz="6" w:space="0" w:color="D3D8D3"/>
              <w:right w:val="single" w:sz="4" w:space="0" w:color="auto"/>
            </w:tcBorders>
            <w:vAlign w:val="center"/>
          </w:tcPr>
          <w:p w14:paraId="5189044F" w14:textId="2875FC4C" w:rsidR="0060589A" w:rsidRPr="009D4605" w:rsidRDefault="0060589A" w:rsidP="0060589A">
            <w:pPr>
              <w:rPr>
                <w:rFonts w:ascii="Verdana" w:hAnsi="Verdana"/>
                <w:sz w:val="17"/>
                <w:szCs w:val="17"/>
                <w:lang w:val="en-GB"/>
              </w:rPr>
            </w:pPr>
            <w:r w:rsidRPr="009D4605">
              <w:rPr>
                <w:rFonts w:ascii="Arial" w:eastAsia="Times New Roman" w:hAnsi="Arial" w:cs="Arial"/>
                <w:color w:val="666666"/>
                <w:sz w:val="20"/>
                <w:szCs w:val="20"/>
                <w:lang w:val="en-GB" w:eastAsia="en-GB"/>
              </w:rPr>
              <w:t>Qualifying infrastructure</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0907CDE0" w14:textId="1B3393BF" w:rsidR="0060589A" w:rsidRPr="009D4605" w:rsidRDefault="003A4A2A" w:rsidP="0060589A">
            <w:pPr>
              <w:rPr>
                <w:rFonts w:ascii="Verdana" w:hAnsi="Verdana"/>
                <w:sz w:val="17"/>
                <w:szCs w:val="17"/>
              </w:rPr>
            </w:pPr>
            <w:r>
              <w:rPr>
                <w:rFonts w:ascii="Verdana" w:hAnsi="Verdana"/>
                <w:sz w:val="17"/>
                <w:szCs w:val="17"/>
              </w:rPr>
              <w:t>X</w:t>
            </w: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0771F26" w14:textId="47830947" w:rsidR="0060589A" w:rsidRPr="009D4605" w:rsidRDefault="0060589A" w:rsidP="0060589A">
            <w:pPr>
              <w:rPr>
                <w:rFonts w:ascii="Verdana" w:hAnsi="Verdana"/>
                <w:sz w:val="17"/>
                <w:szCs w:val="17"/>
                <w:lang w:val="en-GB"/>
              </w:rPr>
            </w:pPr>
          </w:p>
        </w:tc>
        <w:tc>
          <w:tcPr>
            <w:tcW w:w="1680" w:type="dxa"/>
            <w:gridSpan w:val="2"/>
            <w:tcBorders>
              <w:top w:val="single" w:sz="4" w:space="0" w:color="BFBFBF" w:themeColor="background1" w:themeShade="BF"/>
              <w:left w:val="single" w:sz="4" w:space="0" w:color="auto"/>
              <w:bottom w:val="single" w:sz="6" w:space="0" w:color="D3D8D3"/>
            </w:tcBorders>
            <w:vAlign w:val="center"/>
          </w:tcPr>
          <w:p w14:paraId="44F29D1E" w14:textId="77777777" w:rsidR="0060589A" w:rsidRPr="009D4605" w:rsidRDefault="0060589A" w:rsidP="0060589A">
            <w:pPr>
              <w:rPr>
                <w:rFonts w:ascii="Verdana" w:hAnsi="Verdana"/>
                <w:sz w:val="17"/>
                <w:szCs w:val="17"/>
                <w:lang w:val="en-GB"/>
              </w:rPr>
            </w:pPr>
          </w:p>
        </w:tc>
        <w:tc>
          <w:tcPr>
            <w:tcW w:w="1681" w:type="dxa"/>
            <w:tcBorders>
              <w:top w:val="single" w:sz="4" w:space="0" w:color="BFBFBF" w:themeColor="background1" w:themeShade="BF"/>
              <w:bottom w:val="single" w:sz="6" w:space="0" w:color="D3D8D3"/>
            </w:tcBorders>
            <w:vAlign w:val="center"/>
          </w:tcPr>
          <w:p w14:paraId="2A825719" w14:textId="7DFAA3D6" w:rsidR="0060589A" w:rsidRPr="009D4605" w:rsidRDefault="00265F68" w:rsidP="0060589A">
            <w:pPr>
              <w:rPr>
                <w:rFonts w:ascii="Verdana" w:hAnsi="Verdana"/>
                <w:sz w:val="17"/>
                <w:szCs w:val="17"/>
                <w:lang w:val="en-GB"/>
              </w:rPr>
            </w:pPr>
            <w:r>
              <w:rPr>
                <w:rFonts w:ascii="Verdana" w:hAnsi="Verdana"/>
                <w:sz w:val="17"/>
                <w:szCs w:val="17"/>
                <w:lang w:val="en-GB"/>
              </w:rPr>
              <w:t>X</w:t>
            </w:r>
            <w:r w:rsidR="00BA07EF">
              <w:rPr>
                <w:rFonts w:ascii="Verdana" w:hAnsi="Verdana"/>
                <w:sz w:val="17"/>
                <w:szCs w:val="17"/>
                <w:lang w:val="en-GB"/>
              </w:rPr>
              <w:t>X</w:t>
            </w:r>
            <w:r w:rsidR="00595725">
              <w:rPr>
                <w:rFonts w:ascii="Verdana" w:hAnsi="Verdana"/>
                <w:sz w:val="17"/>
                <w:szCs w:val="17"/>
                <w:lang w:val="en-GB"/>
              </w:rPr>
              <w:t>X</w:t>
            </w:r>
            <w:r w:rsidR="005225ED">
              <w:rPr>
                <w:rFonts w:ascii="Verdana" w:hAnsi="Verdana"/>
                <w:sz w:val="17"/>
                <w:szCs w:val="17"/>
                <w:lang w:val="en-GB"/>
              </w:rPr>
              <w:t>X</w:t>
            </w:r>
          </w:p>
        </w:tc>
      </w:tr>
      <w:tr w:rsidR="003E54BE" w:rsidRPr="009D4605" w14:paraId="139999D5" w14:textId="77777777" w:rsidTr="00A66403">
        <w:trPr>
          <w:trHeight w:val="397"/>
        </w:trPr>
        <w:tc>
          <w:tcPr>
            <w:tcW w:w="665" w:type="dxa"/>
            <w:vMerge/>
            <w:shd w:val="clear" w:color="auto" w:fill="F2F2F2" w:themeFill="background1" w:themeFillShade="F2"/>
          </w:tcPr>
          <w:p w14:paraId="6A5016CB" w14:textId="77777777" w:rsidR="0060589A" w:rsidRPr="009D4605" w:rsidRDefault="0060589A" w:rsidP="0060589A">
            <w:pPr>
              <w:rPr>
                <w:rFonts w:ascii="Verdana" w:hAnsi="Verdana"/>
                <w:sz w:val="17"/>
                <w:szCs w:val="17"/>
                <w:lang w:val="en-GB"/>
              </w:rPr>
            </w:pPr>
          </w:p>
        </w:tc>
        <w:tc>
          <w:tcPr>
            <w:tcW w:w="6843" w:type="dxa"/>
            <w:tcBorders>
              <w:bottom w:val="single" w:sz="6" w:space="0" w:color="D3D8D3"/>
              <w:right w:val="single" w:sz="4" w:space="0" w:color="auto"/>
            </w:tcBorders>
            <w:vAlign w:val="center"/>
          </w:tcPr>
          <w:p w14:paraId="1D874F80" w14:textId="515CA4F5" w:rsidR="0060589A" w:rsidRPr="009D4605" w:rsidRDefault="0060589A" w:rsidP="0060589A">
            <w:pPr>
              <w:rPr>
                <w:rFonts w:ascii="Verdana" w:hAnsi="Verdana"/>
                <w:sz w:val="17"/>
                <w:szCs w:val="17"/>
                <w:lang w:val="en-GB"/>
              </w:rPr>
            </w:pPr>
            <w:r w:rsidRPr="009D4605">
              <w:rPr>
                <w:rFonts w:ascii="Arial" w:eastAsia="Times New Roman" w:hAnsi="Arial" w:cs="Arial"/>
                <w:color w:val="666666"/>
                <w:sz w:val="20"/>
                <w:szCs w:val="20"/>
                <w:lang w:val="en-GB" w:eastAsia="en-GB"/>
              </w:rPr>
              <w:t>Retail mortgage loans (</w:t>
            </w:r>
            <w:proofErr w:type="spellStart"/>
            <w:r w:rsidRPr="009D4605">
              <w:rPr>
                <w:rFonts w:ascii="Arial" w:eastAsia="Times New Roman" w:hAnsi="Arial" w:cs="Arial"/>
                <w:color w:val="666666"/>
                <w:sz w:val="20"/>
                <w:szCs w:val="20"/>
                <w:lang w:val="en-GB" w:eastAsia="en-GB"/>
              </w:rPr>
              <w:t>nb</w:t>
            </w:r>
            <w:proofErr w:type="spellEnd"/>
            <w:r w:rsidRPr="009D4605">
              <w:rPr>
                <w:rFonts w:ascii="Arial" w:eastAsia="Times New Roman" w:hAnsi="Arial" w:cs="Arial"/>
                <w:color w:val="666666"/>
                <w:sz w:val="20"/>
                <w:szCs w:val="20"/>
                <w:lang w:val="en-GB" w:eastAsia="en-GB"/>
              </w:rPr>
              <w:t xml:space="preserve"> this is assessed within counterparty default risk)</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1C829275" w14:textId="24B7B3B8" w:rsidR="0060589A" w:rsidRPr="00A66403" w:rsidRDefault="003A4A2A" w:rsidP="0060589A">
            <w:pPr>
              <w:rPr>
                <w:rFonts w:ascii="Verdana" w:hAnsi="Verdana"/>
                <w:sz w:val="17"/>
                <w:szCs w:val="17"/>
                <w:lang w:val="en-GB"/>
              </w:rPr>
            </w:pPr>
            <w:r>
              <w:rPr>
                <w:rFonts w:ascii="Verdana" w:hAnsi="Verdana"/>
                <w:sz w:val="17"/>
                <w:szCs w:val="17"/>
                <w:lang w:val="en-GB"/>
              </w:rPr>
              <w:t>X</w:t>
            </w: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6B01AE99" w14:textId="08E035F4" w:rsidR="0060589A" w:rsidRPr="009D4605" w:rsidRDefault="0060589A" w:rsidP="0060589A">
            <w:pPr>
              <w:rPr>
                <w:rFonts w:ascii="Verdana" w:hAnsi="Verdana"/>
                <w:sz w:val="17"/>
                <w:szCs w:val="17"/>
                <w:lang w:val="en-GB"/>
              </w:rPr>
            </w:pPr>
          </w:p>
        </w:tc>
        <w:tc>
          <w:tcPr>
            <w:tcW w:w="1680" w:type="dxa"/>
            <w:gridSpan w:val="2"/>
            <w:tcBorders>
              <w:left w:val="single" w:sz="4" w:space="0" w:color="auto"/>
              <w:bottom w:val="single" w:sz="6" w:space="0" w:color="D3D8D3"/>
            </w:tcBorders>
            <w:vAlign w:val="center"/>
          </w:tcPr>
          <w:p w14:paraId="3A942043" w14:textId="77777777" w:rsidR="0060589A" w:rsidRPr="009D4605" w:rsidRDefault="0060589A" w:rsidP="0060589A">
            <w:pPr>
              <w:rPr>
                <w:rFonts w:ascii="Verdana" w:hAnsi="Verdana"/>
                <w:sz w:val="17"/>
                <w:szCs w:val="17"/>
                <w:lang w:val="en-GB"/>
              </w:rPr>
            </w:pPr>
          </w:p>
        </w:tc>
        <w:tc>
          <w:tcPr>
            <w:tcW w:w="1681" w:type="dxa"/>
            <w:tcBorders>
              <w:bottom w:val="single" w:sz="6" w:space="0" w:color="D3D8D3"/>
            </w:tcBorders>
            <w:vAlign w:val="center"/>
          </w:tcPr>
          <w:p w14:paraId="5FA68DC5" w14:textId="136C544D" w:rsidR="0060589A" w:rsidRPr="009D4605" w:rsidRDefault="00265F68" w:rsidP="0060589A">
            <w:pPr>
              <w:rPr>
                <w:rFonts w:ascii="Verdana" w:hAnsi="Verdana"/>
                <w:sz w:val="17"/>
                <w:szCs w:val="17"/>
                <w:lang w:val="en-GB"/>
              </w:rPr>
            </w:pPr>
            <w:r>
              <w:rPr>
                <w:rFonts w:ascii="Verdana" w:hAnsi="Verdana"/>
                <w:sz w:val="17"/>
                <w:szCs w:val="17"/>
                <w:lang w:val="en-GB"/>
              </w:rPr>
              <w:t>X</w:t>
            </w:r>
            <w:r w:rsidR="00BA07EF">
              <w:rPr>
                <w:rFonts w:ascii="Verdana" w:hAnsi="Verdana"/>
                <w:sz w:val="17"/>
                <w:szCs w:val="17"/>
                <w:lang w:val="en-GB"/>
              </w:rPr>
              <w:t>X</w:t>
            </w:r>
            <w:r w:rsidR="00595725">
              <w:rPr>
                <w:rFonts w:ascii="Verdana" w:hAnsi="Verdana"/>
                <w:sz w:val="17"/>
                <w:szCs w:val="17"/>
                <w:lang w:val="en-GB"/>
              </w:rPr>
              <w:t>X</w:t>
            </w:r>
            <w:r w:rsidR="005225ED">
              <w:rPr>
                <w:rFonts w:ascii="Verdana" w:hAnsi="Verdana"/>
                <w:sz w:val="17"/>
                <w:szCs w:val="17"/>
                <w:lang w:val="en-GB"/>
              </w:rPr>
              <w:t>X</w:t>
            </w:r>
          </w:p>
        </w:tc>
      </w:tr>
      <w:tr w:rsidR="003E54BE" w:rsidRPr="009D4605" w14:paraId="123F6D28" w14:textId="77777777" w:rsidTr="00A66403">
        <w:trPr>
          <w:trHeight w:val="397"/>
        </w:trPr>
        <w:tc>
          <w:tcPr>
            <w:tcW w:w="665" w:type="dxa"/>
            <w:vMerge/>
            <w:shd w:val="clear" w:color="auto" w:fill="F2F2F2" w:themeFill="background1" w:themeFillShade="F2"/>
          </w:tcPr>
          <w:p w14:paraId="06AF3D00" w14:textId="77777777" w:rsidR="0060589A" w:rsidRPr="009D4605" w:rsidRDefault="0060589A" w:rsidP="0060589A">
            <w:pPr>
              <w:rPr>
                <w:rFonts w:ascii="Verdana" w:hAnsi="Verdana"/>
                <w:sz w:val="17"/>
                <w:szCs w:val="17"/>
                <w:lang w:val="en-GB"/>
              </w:rPr>
            </w:pPr>
          </w:p>
        </w:tc>
        <w:tc>
          <w:tcPr>
            <w:tcW w:w="6843" w:type="dxa"/>
            <w:tcBorders>
              <w:bottom w:val="single" w:sz="6" w:space="0" w:color="D3D8D3"/>
              <w:right w:val="single" w:sz="4" w:space="0" w:color="auto"/>
            </w:tcBorders>
            <w:vAlign w:val="center"/>
          </w:tcPr>
          <w:p w14:paraId="0BC3DA75" w14:textId="6A31316E" w:rsidR="0060589A" w:rsidRPr="009D4605" w:rsidRDefault="0060589A" w:rsidP="0060589A">
            <w:pPr>
              <w:rPr>
                <w:rFonts w:ascii="Verdana" w:hAnsi="Verdana"/>
                <w:sz w:val="17"/>
                <w:szCs w:val="17"/>
                <w:lang w:val="en-GB"/>
              </w:rPr>
            </w:pPr>
            <w:r w:rsidRPr="009D4605">
              <w:rPr>
                <w:rFonts w:ascii="Arial" w:eastAsia="Times New Roman" w:hAnsi="Arial" w:cs="Arial"/>
                <w:color w:val="666666"/>
                <w:sz w:val="20"/>
                <w:szCs w:val="20"/>
                <w:lang w:val="en-GB" w:eastAsia="en-GB"/>
              </w:rPr>
              <w:t>Concentration</w:t>
            </w:r>
          </w:p>
        </w:tc>
        <w:tc>
          <w:tcPr>
            <w:tcW w:w="1680" w:type="dxa"/>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1B6BF15" w14:textId="36766F90" w:rsidR="0060589A" w:rsidRPr="009D4605" w:rsidRDefault="003A4A2A" w:rsidP="0060589A">
            <w:pPr>
              <w:rPr>
                <w:rFonts w:ascii="Verdana" w:hAnsi="Verdana"/>
                <w:sz w:val="17"/>
                <w:szCs w:val="17"/>
              </w:rPr>
            </w:pPr>
            <w:r>
              <w:rPr>
                <w:rFonts w:ascii="Verdana" w:hAnsi="Verdana"/>
                <w:sz w:val="17"/>
                <w:szCs w:val="17"/>
              </w:rPr>
              <w:t>X</w:t>
            </w:r>
          </w:p>
        </w:tc>
        <w:tc>
          <w:tcPr>
            <w:tcW w:w="1681" w:type="dxa"/>
            <w:gridSpan w:val="2"/>
            <w:tcBorders>
              <w:top w:val="single" w:sz="4" w:space="0" w:color="BFBFBF" w:themeColor="background1" w:themeShade="BF"/>
              <w:left w:val="single" w:sz="4" w:space="0" w:color="auto"/>
              <w:bottom w:val="single" w:sz="4" w:space="0" w:color="BFBFBF" w:themeColor="background1" w:themeShade="BF"/>
              <w:right w:val="single" w:sz="4" w:space="0" w:color="auto"/>
            </w:tcBorders>
            <w:vAlign w:val="center"/>
          </w:tcPr>
          <w:p w14:paraId="73A0697B" w14:textId="39A97BF0" w:rsidR="0060589A" w:rsidRPr="009D4605" w:rsidRDefault="00BA07EF" w:rsidP="0060589A">
            <w:pPr>
              <w:rPr>
                <w:rFonts w:ascii="Verdana" w:hAnsi="Verdana"/>
                <w:sz w:val="17"/>
                <w:szCs w:val="17"/>
                <w:lang w:val="en-GB"/>
              </w:rPr>
            </w:pPr>
            <w:r>
              <w:rPr>
                <w:rFonts w:ascii="Verdana" w:hAnsi="Verdana"/>
                <w:sz w:val="17"/>
                <w:szCs w:val="17"/>
                <w:lang w:val="en-GB"/>
              </w:rPr>
              <w:t>X</w:t>
            </w:r>
          </w:p>
        </w:tc>
        <w:tc>
          <w:tcPr>
            <w:tcW w:w="1680" w:type="dxa"/>
            <w:gridSpan w:val="2"/>
            <w:tcBorders>
              <w:left w:val="single" w:sz="4" w:space="0" w:color="auto"/>
              <w:bottom w:val="single" w:sz="6" w:space="0" w:color="D3D8D3"/>
            </w:tcBorders>
            <w:vAlign w:val="center"/>
          </w:tcPr>
          <w:p w14:paraId="6BFB8F9D" w14:textId="1EA96B34" w:rsidR="0060589A" w:rsidRPr="009D4605" w:rsidRDefault="00265F68" w:rsidP="0060589A">
            <w:pPr>
              <w:rPr>
                <w:rFonts w:ascii="Verdana" w:hAnsi="Verdana"/>
                <w:sz w:val="17"/>
                <w:szCs w:val="17"/>
                <w:lang w:val="en-GB"/>
              </w:rPr>
            </w:pPr>
            <w:r>
              <w:rPr>
                <w:rFonts w:ascii="Verdana" w:hAnsi="Verdana"/>
                <w:sz w:val="17"/>
                <w:szCs w:val="17"/>
                <w:lang w:val="en-GB"/>
              </w:rPr>
              <w:t>X</w:t>
            </w:r>
            <w:r w:rsidR="00595725">
              <w:rPr>
                <w:rFonts w:ascii="Verdana" w:hAnsi="Verdana"/>
                <w:sz w:val="17"/>
                <w:szCs w:val="17"/>
                <w:lang w:val="en-GB"/>
              </w:rPr>
              <w:t>X</w:t>
            </w:r>
          </w:p>
        </w:tc>
        <w:tc>
          <w:tcPr>
            <w:tcW w:w="1681" w:type="dxa"/>
            <w:tcBorders>
              <w:bottom w:val="single" w:sz="6" w:space="0" w:color="D3D8D3"/>
            </w:tcBorders>
            <w:vAlign w:val="center"/>
          </w:tcPr>
          <w:p w14:paraId="2CC164A9" w14:textId="3DEABA1B" w:rsidR="0060589A" w:rsidRPr="009D4605" w:rsidRDefault="005225ED" w:rsidP="0060589A">
            <w:pPr>
              <w:rPr>
                <w:rFonts w:ascii="Verdana" w:hAnsi="Verdana"/>
                <w:sz w:val="17"/>
                <w:szCs w:val="17"/>
                <w:lang w:val="en-GB"/>
              </w:rPr>
            </w:pPr>
            <w:r>
              <w:rPr>
                <w:rFonts w:ascii="Verdana" w:hAnsi="Verdana"/>
                <w:sz w:val="17"/>
                <w:szCs w:val="17"/>
                <w:lang w:val="en-GB"/>
              </w:rPr>
              <w:t>X</w:t>
            </w:r>
          </w:p>
        </w:tc>
      </w:tr>
      <w:tr w:rsidR="00581B29" w:rsidRPr="009D4605" w14:paraId="277A3DB6" w14:textId="77777777" w:rsidTr="00A66403">
        <w:trPr>
          <w:trHeight w:val="397"/>
        </w:trPr>
        <w:tc>
          <w:tcPr>
            <w:tcW w:w="665" w:type="dxa"/>
            <w:vMerge/>
            <w:shd w:val="clear" w:color="auto" w:fill="F2F2F2" w:themeFill="background1" w:themeFillShade="F2"/>
          </w:tcPr>
          <w:p w14:paraId="264B4F21" w14:textId="77777777" w:rsidR="0060589A" w:rsidRPr="009D4605" w:rsidRDefault="0060589A" w:rsidP="0060589A">
            <w:pPr>
              <w:rPr>
                <w:rFonts w:ascii="Verdana" w:hAnsi="Verdana"/>
                <w:sz w:val="17"/>
                <w:szCs w:val="17"/>
                <w:lang w:val="en-GB"/>
              </w:rPr>
            </w:pPr>
          </w:p>
        </w:tc>
        <w:tc>
          <w:tcPr>
            <w:tcW w:w="6843" w:type="dxa"/>
            <w:tcBorders>
              <w:bottom w:val="single" w:sz="4" w:space="0" w:color="auto"/>
              <w:right w:val="single" w:sz="4" w:space="0" w:color="auto"/>
            </w:tcBorders>
            <w:vAlign w:val="center"/>
          </w:tcPr>
          <w:p w14:paraId="32277649" w14:textId="7C422E69" w:rsidR="0060589A" w:rsidRPr="009D4605" w:rsidRDefault="0060589A" w:rsidP="0060589A">
            <w:pPr>
              <w:rPr>
                <w:rFonts w:ascii="Verdana" w:hAnsi="Verdana"/>
                <w:sz w:val="17"/>
                <w:szCs w:val="17"/>
                <w:lang w:val="en-GB"/>
              </w:rPr>
            </w:pPr>
            <w:r w:rsidRPr="009D4605">
              <w:rPr>
                <w:rFonts w:ascii="Arial" w:eastAsia="Times New Roman" w:hAnsi="Arial" w:cs="Arial"/>
                <w:color w:val="666666"/>
                <w:sz w:val="20"/>
                <w:szCs w:val="20"/>
                <w:lang w:val="en-GB" w:eastAsia="en-GB"/>
              </w:rPr>
              <w:t>Currency</w:t>
            </w:r>
            <w:r w:rsidRPr="009D4605" w:rsidDel="0060589A">
              <w:rPr>
                <w:rFonts w:ascii="Arial" w:eastAsia="Times New Roman" w:hAnsi="Arial" w:cs="Arial"/>
                <w:color w:val="666666"/>
                <w:sz w:val="20"/>
                <w:szCs w:val="20"/>
                <w:lang w:val="en-GB" w:eastAsia="en-GB"/>
              </w:rPr>
              <w:t xml:space="preserve"> </w:t>
            </w:r>
          </w:p>
        </w:tc>
        <w:tc>
          <w:tcPr>
            <w:tcW w:w="1680" w:type="dxa"/>
            <w:tcBorders>
              <w:top w:val="single" w:sz="4" w:space="0" w:color="BFBFBF" w:themeColor="background1" w:themeShade="BF"/>
              <w:left w:val="single" w:sz="4" w:space="0" w:color="auto"/>
              <w:bottom w:val="single" w:sz="4" w:space="0" w:color="auto"/>
              <w:right w:val="single" w:sz="4" w:space="0" w:color="auto"/>
            </w:tcBorders>
            <w:vAlign w:val="center"/>
          </w:tcPr>
          <w:p w14:paraId="494AF462" w14:textId="77777777" w:rsidR="0060589A" w:rsidRPr="00A66403" w:rsidRDefault="0060589A" w:rsidP="0060589A">
            <w:pPr>
              <w:rPr>
                <w:rFonts w:ascii="Verdana" w:hAnsi="Verdana"/>
                <w:sz w:val="17"/>
                <w:szCs w:val="17"/>
                <w:lang w:val="en-GB"/>
              </w:rPr>
            </w:pPr>
          </w:p>
        </w:tc>
        <w:tc>
          <w:tcPr>
            <w:tcW w:w="1681" w:type="dxa"/>
            <w:gridSpan w:val="2"/>
            <w:tcBorders>
              <w:top w:val="single" w:sz="4" w:space="0" w:color="BFBFBF" w:themeColor="background1" w:themeShade="BF"/>
              <w:left w:val="single" w:sz="4" w:space="0" w:color="auto"/>
              <w:bottom w:val="single" w:sz="4" w:space="0" w:color="auto"/>
              <w:right w:val="single" w:sz="4" w:space="0" w:color="auto"/>
            </w:tcBorders>
            <w:vAlign w:val="center"/>
          </w:tcPr>
          <w:p w14:paraId="2EF1AB6F" w14:textId="64826FB9" w:rsidR="0060589A" w:rsidRPr="009D4605" w:rsidRDefault="00595725" w:rsidP="0060589A">
            <w:pPr>
              <w:rPr>
                <w:rFonts w:ascii="Verdana" w:hAnsi="Verdana"/>
                <w:sz w:val="17"/>
                <w:szCs w:val="17"/>
                <w:lang w:val="en-GB"/>
              </w:rPr>
            </w:pPr>
            <w:r>
              <w:rPr>
                <w:rFonts w:ascii="Verdana" w:hAnsi="Verdana"/>
                <w:sz w:val="17"/>
                <w:szCs w:val="17"/>
                <w:lang w:val="en-GB"/>
              </w:rPr>
              <w:t>X</w:t>
            </w:r>
          </w:p>
        </w:tc>
        <w:tc>
          <w:tcPr>
            <w:tcW w:w="1680" w:type="dxa"/>
            <w:gridSpan w:val="2"/>
            <w:tcBorders>
              <w:left w:val="single" w:sz="4" w:space="0" w:color="auto"/>
              <w:bottom w:val="single" w:sz="4" w:space="0" w:color="auto"/>
            </w:tcBorders>
            <w:vAlign w:val="center"/>
          </w:tcPr>
          <w:p w14:paraId="084A7DCC" w14:textId="78A2B95B" w:rsidR="0060589A" w:rsidRPr="009D4605" w:rsidRDefault="00265F68" w:rsidP="0060589A">
            <w:pPr>
              <w:rPr>
                <w:rFonts w:ascii="Verdana" w:hAnsi="Verdana"/>
                <w:sz w:val="17"/>
                <w:szCs w:val="17"/>
                <w:lang w:val="en-GB"/>
              </w:rPr>
            </w:pPr>
            <w:r>
              <w:rPr>
                <w:rFonts w:ascii="Verdana" w:hAnsi="Verdana"/>
                <w:sz w:val="17"/>
                <w:szCs w:val="17"/>
                <w:lang w:val="en-GB"/>
              </w:rPr>
              <w:t>X</w:t>
            </w:r>
            <w:r w:rsidR="00BA07EF">
              <w:rPr>
                <w:rFonts w:ascii="Verdana" w:hAnsi="Verdana"/>
                <w:sz w:val="17"/>
                <w:szCs w:val="17"/>
                <w:lang w:val="en-GB"/>
              </w:rPr>
              <w:t>X</w:t>
            </w:r>
            <w:r w:rsidR="003A4A2A">
              <w:rPr>
                <w:rFonts w:ascii="Verdana" w:hAnsi="Verdana"/>
                <w:sz w:val="17"/>
                <w:szCs w:val="17"/>
                <w:lang w:val="en-GB"/>
              </w:rPr>
              <w:t>X</w:t>
            </w:r>
          </w:p>
        </w:tc>
        <w:tc>
          <w:tcPr>
            <w:tcW w:w="1681" w:type="dxa"/>
            <w:tcBorders>
              <w:bottom w:val="single" w:sz="4" w:space="0" w:color="auto"/>
            </w:tcBorders>
            <w:vAlign w:val="center"/>
          </w:tcPr>
          <w:p w14:paraId="2CC89EA0" w14:textId="70F2771F" w:rsidR="0060589A" w:rsidRPr="009D4605" w:rsidRDefault="005225ED" w:rsidP="0060589A">
            <w:pPr>
              <w:rPr>
                <w:rFonts w:ascii="Verdana" w:hAnsi="Verdana"/>
                <w:sz w:val="17"/>
                <w:szCs w:val="17"/>
                <w:lang w:val="en-GB"/>
              </w:rPr>
            </w:pPr>
            <w:r>
              <w:rPr>
                <w:rFonts w:ascii="Verdana" w:hAnsi="Verdana"/>
                <w:sz w:val="17"/>
                <w:szCs w:val="17"/>
                <w:lang w:val="en-GB"/>
              </w:rPr>
              <w:t>X</w:t>
            </w:r>
          </w:p>
        </w:tc>
      </w:tr>
      <w:tr w:rsidR="00C2134B" w:rsidRPr="009D4605" w14:paraId="6C48A3F1" w14:textId="77777777" w:rsidTr="00A66403">
        <w:trPr>
          <w:trHeight w:val="397"/>
        </w:trPr>
        <w:tc>
          <w:tcPr>
            <w:tcW w:w="665" w:type="dxa"/>
            <w:vMerge w:val="restart"/>
            <w:tcBorders>
              <w:right w:val="single" w:sz="4" w:space="0" w:color="auto"/>
            </w:tcBorders>
            <w:shd w:val="clear" w:color="auto" w:fill="F2F2F2" w:themeFill="background1" w:themeFillShade="F2"/>
          </w:tcPr>
          <w:p w14:paraId="0AA8BB2D" w14:textId="11FB701A" w:rsidR="00C2134B" w:rsidRPr="009D4605" w:rsidRDefault="00C2134B" w:rsidP="003E54BE">
            <w:pPr>
              <w:rPr>
                <w:rFonts w:ascii="Verdana" w:hAnsi="Verdana"/>
                <w:sz w:val="17"/>
                <w:szCs w:val="17"/>
                <w:lang w:val="en-GB"/>
              </w:rPr>
            </w:pPr>
            <w:r>
              <w:rPr>
                <w:rFonts w:ascii="Verdana" w:hAnsi="Verdana"/>
                <w:sz w:val="17"/>
                <w:szCs w:val="17"/>
                <w:lang w:val="en-GB"/>
              </w:rPr>
              <w:t>12</w:t>
            </w:r>
            <w:r w:rsidRPr="009D4605">
              <w:rPr>
                <w:rFonts w:ascii="Verdana" w:hAnsi="Verdana"/>
                <w:sz w:val="17"/>
                <w:szCs w:val="17"/>
                <w:lang w:val="en-GB"/>
              </w:rPr>
              <w:t>.</w:t>
            </w:r>
          </w:p>
          <w:p w14:paraId="0269EDE7" w14:textId="4926B2EA" w:rsidR="00C2134B" w:rsidRPr="009D4605" w:rsidRDefault="00C2134B" w:rsidP="003E54BE">
            <w:pPr>
              <w:rPr>
                <w:rFonts w:ascii="Verdana" w:hAnsi="Verdana"/>
                <w:sz w:val="17"/>
                <w:szCs w:val="17"/>
                <w:lang w:val="en-GB"/>
              </w:rPr>
            </w:pPr>
          </w:p>
        </w:tc>
        <w:tc>
          <w:tcPr>
            <w:tcW w:w="684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C1F425C" w14:textId="77777777" w:rsidR="00C2134B" w:rsidRPr="00A66403" w:rsidRDefault="00C2134B" w:rsidP="003E54BE">
            <w:pPr>
              <w:autoSpaceDE w:val="0"/>
              <w:autoSpaceDN w:val="0"/>
              <w:adjustRightInd w:val="0"/>
              <w:rPr>
                <w:rFonts w:ascii="Verdana" w:hAnsi="Verdana"/>
                <w:sz w:val="17"/>
                <w:szCs w:val="17"/>
                <w:lang w:val="en-GB"/>
              </w:rPr>
            </w:pPr>
            <w:r w:rsidRPr="009D4605">
              <w:rPr>
                <w:rFonts w:ascii="Arial" w:eastAsia="Times New Roman" w:hAnsi="Arial" w:cs="Arial"/>
                <w:b/>
                <w:bCs/>
                <w:color w:val="000000"/>
                <w:sz w:val="20"/>
                <w:szCs w:val="20"/>
                <w:lang w:val="en-GB" w:eastAsia="en-GB"/>
              </w:rPr>
              <w:t>Do you support a recalibration of the market risk correlation matrix?</w:t>
            </w:r>
          </w:p>
        </w:tc>
        <w:tc>
          <w:tcPr>
            <w:tcW w:w="224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418A9A" w14:textId="507CD296" w:rsidR="00C2134B" w:rsidRPr="009D4605" w:rsidRDefault="00C2134B" w:rsidP="003E54BE">
            <w:pPr>
              <w:autoSpaceDE w:val="0"/>
              <w:autoSpaceDN w:val="0"/>
              <w:adjustRightInd w:val="0"/>
              <w:rPr>
                <w:rFonts w:ascii="Verdana" w:hAnsi="Verdana"/>
                <w:sz w:val="17"/>
                <w:szCs w:val="17"/>
              </w:rPr>
            </w:pPr>
            <w:r>
              <w:rPr>
                <w:rFonts w:ascii="Verdana" w:hAnsi="Verdana"/>
                <w:sz w:val="17"/>
                <w:szCs w:val="17"/>
                <w:lang w:val="en-GB"/>
              </w:rPr>
              <w:t>Not sure yet</w:t>
            </w:r>
          </w:p>
        </w:tc>
        <w:tc>
          <w:tcPr>
            <w:tcW w:w="22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F2537" w14:textId="3946F1FC" w:rsidR="00C2134B" w:rsidRPr="009D4605" w:rsidRDefault="00C2134B" w:rsidP="003E54BE">
            <w:pPr>
              <w:autoSpaceDE w:val="0"/>
              <w:autoSpaceDN w:val="0"/>
              <w:adjustRightInd w:val="0"/>
              <w:rPr>
                <w:rFonts w:ascii="Verdana" w:hAnsi="Verdana"/>
                <w:sz w:val="17"/>
                <w:szCs w:val="17"/>
              </w:rPr>
            </w:pPr>
            <w:r>
              <w:rPr>
                <w:rFonts w:ascii="Verdana" w:hAnsi="Verdana"/>
                <w:sz w:val="17"/>
                <w:szCs w:val="17"/>
                <w:lang w:val="en-GB"/>
              </w:rPr>
              <w:t>Yes (please comment)</w:t>
            </w:r>
          </w:p>
        </w:tc>
        <w:tc>
          <w:tcPr>
            <w:tcW w:w="224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D86287" w14:textId="386E4815" w:rsidR="00C2134B" w:rsidRPr="009D4605" w:rsidRDefault="00C2134B" w:rsidP="003E54BE">
            <w:pPr>
              <w:autoSpaceDE w:val="0"/>
              <w:autoSpaceDN w:val="0"/>
              <w:adjustRightInd w:val="0"/>
              <w:rPr>
                <w:rFonts w:ascii="Verdana" w:hAnsi="Verdana"/>
                <w:sz w:val="17"/>
                <w:szCs w:val="17"/>
                <w:lang w:val="en-GB"/>
              </w:rPr>
            </w:pPr>
            <w:r w:rsidRPr="009D4605">
              <w:rPr>
                <w:rFonts w:ascii="Verdana" w:hAnsi="Verdana"/>
                <w:sz w:val="17"/>
                <w:szCs w:val="17"/>
                <w:lang w:val="en-GB"/>
              </w:rPr>
              <w:t>No</w:t>
            </w:r>
          </w:p>
        </w:tc>
      </w:tr>
      <w:tr w:rsidR="00C2134B" w:rsidRPr="009D4605" w14:paraId="556D54B7" w14:textId="77777777" w:rsidTr="00A66403">
        <w:trPr>
          <w:trHeight w:val="397"/>
        </w:trPr>
        <w:tc>
          <w:tcPr>
            <w:tcW w:w="665" w:type="dxa"/>
            <w:vMerge/>
            <w:tcBorders>
              <w:right w:val="single" w:sz="4" w:space="0" w:color="auto"/>
            </w:tcBorders>
            <w:shd w:val="clear" w:color="auto" w:fill="F2F2F2" w:themeFill="background1" w:themeFillShade="F2"/>
          </w:tcPr>
          <w:p w14:paraId="39C64FA9" w14:textId="7E7DD76A" w:rsidR="00C2134B" w:rsidRPr="009D4605" w:rsidRDefault="00C2134B" w:rsidP="003E54BE">
            <w:pPr>
              <w:rPr>
                <w:rFonts w:ascii="Verdana" w:hAnsi="Verdana"/>
                <w:sz w:val="17"/>
                <w:szCs w:val="17"/>
                <w:lang w:val="en-GB"/>
              </w:rPr>
            </w:pPr>
          </w:p>
        </w:tc>
        <w:tc>
          <w:tcPr>
            <w:tcW w:w="6843" w:type="dxa"/>
            <w:vMerge/>
            <w:tcBorders>
              <w:left w:val="single" w:sz="4" w:space="0" w:color="auto"/>
              <w:right w:val="single" w:sz="4" w:space="0" w:color="auto"/>
            </w:tcBorders>
            <w:vAlign w:val="center"/>
          </w:tcPr>
          <w:p w14:paraId="39257941" w14:textId="3DCBEC43" w:rsidR="00C2134B" w:rsidRPr="009D4605" w:rsidRDefault="00C2134B" w:rsidP="003E54BE">
            <w:pPr>
              <w:rPr>
                <w:rFonts w:ascii="Verdana" w:hAnsi="Verdana"/>
                <w:sz w:val="17"/>
                <w:szCs w:val="17"/>
              </w:rPr>
            </w:pPr>
          </w:p>
        </w:tc>
        <w:tc>
          <w:tcPr>
            <w:tcW w:w="2240" w:type="dxa"/>
            <w:gridSpan w:val="2"/>
            <w:tcBorders>
              <w:top w:val="single" w:sz="4" w:space="0" w:color="auto"/>
              <w:left w:val="single" w:sz="4" w:space="0" w:color="auto"/>
            </w:tcBorders>
            <w:vAlign w:val="center"/>
          </w:tcPr>
          <w:p w14:paraId="6DA99391" w14:textId="15ADD44B" w:rsidR="00C2134B" w:rsidRPr="009D4605" w:rsidRDefault="00452774" w:rsidP="003E54BE">
            <w:pPr>
              <w:rPr>
                <w:rFonts w:ascii="Verdana" w:hAnsi="Verdana"/>
                <w:sz w:val="17"/>
                <w:szCs w:val="17"/>
              </w:rPr>
            </w:pPr>
            <w:r>
              <w:rPr>
                <w:rFonts w:ascii="Verdana" w:hAnsi="Verdana"/>
                <w:sz w:val="17"/>
                <w:szCs w:val="17"/>
              </w:rPr>
              <w:t>X</w:t>
            </w:r>
            <w:r w:rsidR="00265F68">
              <w:rPr>
                <w:rFonts w:ascii="Verdana" w:hAnsi="Verdana"/>
                <w:sz w:val="17"/>
                <w:szCs w:val="17"/>
              </w:rPr>
              <w:t>X</w:t>
            </w:r>
            <w:r w:rsidR="00BA07EF">
              <w:rPr>
                <w:rFonts w:ascii="Verdana" w:hAnsi="Verdana"/>
                <w:sz w:val="17"/>
                <w:szCs w:val="17"/>
              </w:rPr>
              <w:t>X</w:t>
            </w:r>
            <w:r w:rsidR="005225ED">
              <w:rPr>
                <w:rFonts w:ascii="Verdana" w:hAnsi="Verdana"/>
                <w:sz w:val="17"/>
                <w:szCs w:val="17"/>
              </w:rPr>
              <w:t>X</w:t>
            </w:r>
            <w:r w:rsidR="003A4A2A">
              <w:rPr>
                <w:rFonts w:ascii="Verdana" w:hAnsi="Verdana"/>
                <w:sz w:val="17"/>
                <w:szCs w:val="17"/>
              </w:rPr>
              <w:t>X</w:t>
            </w:r>
          </w:p>
        </w:tc>
        <w:tc>
          <w:tcPr>
            <w:tcW w:w="2241" w:type="dxa"/>
            <w:gridSpan w:val="2"/>
            <w:tcBorders>
              <w:top w:val="single" w:sz="4" w:space="0" w:color="auto"/>
            </w:tcBorders>
            <w:vAlign w:val="center"/>
          </w:tcPr>
          <w:p w14:paraId="1D8F2387" w14:textId="7B04F122" w:rsidR="00C2134B" w:rsidRPr="009D4605" w:rsidRDefault="00595725" w:rsidP="003E54BE">
            <w:pPr>
              <w:rPr>
                <w:rFonts w:ascii="Verdana" w:hAnsi="Verdana"/>
                <w:sz w:val="17"/>
                <w:szCs w:val="17"/>
              </w:rPr>
            </w:pPr>
            <w:r>
              <w:rPr>
                <w:rFonts w:ascii="Verdana" w:hAnsi="Verdana"/>
                <w:sz w:val="17"/>
                <w:szCs w:val="17"/>
              </w:rPr>
              <w:t>X</w:t>
            </w:r>
          </w:p>
        </w:tc>
        <w:tc>
          <w:tcPr>
            <w:tcW w:w="2241" w:type="dxa"/>
            <w:gridSpan w:val="2"/>
            <w:tcBorders>
              <w:top w:val="single" w:sz="4" w:space="0" w:color="auto"/>
            </w:tcBorders>
            <w:vAlign w:val="center"/>
          </w:tcPr>
          <w:p w14:paraId="07EACAA8" w14:textId="7C90D213" w:rsidR="00C2134B" w:rsidRPr="009D4605" w:rsidRDefault="00C2134B" w:rsidP="003E54BE">
            <w:pPr>
              <w:rPr>
                <w:rFonts w:ascii="Verdana" w:hAnsi="Verdana"/>
                <w:sz w:val="17"/>
                <w:szCs w:val="17"/>
                <w:lang w:val="en-GB"/>
              </w:rPr>
            </w:pPr>
          </w:p>
        </w:tc>
      </w:tr>
      <w:tr w:rsidR="003E54BE" w:rsidRPr="009D4605" w14:paraId="1FC781A0" w14:textId="77777777" w:rsidTr="00A66403">
        <w:trPr>
          <w:trHeight w:val="397"/>
        </w:trPr>
        <w:tc>
          <w:tcPr>
            <w:tcW w:w="665" w:type="dxa"/>
            <w:vMerge w:val="restart"/>
            <w:shd w:val="clear" w:color="auto" w:fill="F2F2F2" w:themeFill="background1" w:themeFillShade="F2"/>
          </w:tcPr>
          <w:p w14:paraId="5E57C778" w14:textId="760855F5" w:rsidR="003E54BE" w:rsidRPr="009D4605" w:rsidRDefault="003E54BE" w:rsidP="003E54BE">
            <w:pPr>
              <w:rPr>
                <w:rFonts w:ascii="Verdana" w:hAnsi="Verdana"/>
                <w:sz w:val="17"/>
                <w:szCs w:val="17"/>
                <w:lang w:val="en-GB"/>
              </w:rPr>
            </w:pPr>
            <w:r>
              <w:rPr>
                <w:rFonts w:ascii="Verdana" w:hAnsi="Verdana"/>
                <w:sz w:val="17"/>
                <w:szCs w:val="17"/>
                <w:lang w:val="en-GB"/>
              </w:rPr>
              <w:lastRenderedPageBreak/>
              <w:t>1</w:t>
            </w:r>
            <w:r w:rsidR="007A315B">
              <w:rPr>
                <w:rFonts w:ascii="Verdana" w:hAnsi="Verdana"/>
                <w:sz w:val="17"/>
                <w:szCs w:val="17"/>
                <w:lang w:val="en-GB"/>
              </w:rPr>
              <w:t>3</w:t>
            </w:r>
            <w:r>
              <w:rPr>
                <w:rFonts w:ascii="Verdana" w:hAnsi="Verdana"/>
                <w:sz w:val="17"/>
                <w:szCs w:val="17"/>
                <w:lang w:val="en-GB"/>
              </w:rPr>
              <w:t>.</w:t>
            </w:r>
          </w:p>
        </w:tc>
        <w:tc>
          <w:tcPr>
            <w:tcW w:w="13565" w:type="dxa"/>
            <w:gridSpan w:val="7"/>
            <w:shd w:val="clear" w:color="auto" w:fill="F2F2F2" w:themeFill="background1" w:themeFillShade="F2"/>
            <w:vAlign w:val="center"/>
          </w:tcPr>
          <w:p w14:paraId="6036577F" w14:textId="79FF0AA1" w:rsidR="003E54BE" w:rsidRPr="009D4605" w:rsidRDefault="003E54BE" w:rsidP="003E54BE">
            <w:pPr>
              <w:autoSpaceDE w:val="0"/>
              <w:autoSpaceDN w:val="0"/>
              <w:adjustRightInd w:val="0"/>
              <w:rPr>
                <w:rFonts w:ascii="Verdana" w:hAnsi="Verdana"/>
                <w:sz w:val="17"/>
                <w:szCs w:val="17"/>
                <w:lang w:val="en-GB"/>
              </w:rPr>
            </w:pPr>
            <w:r w:rsidRPr="009D4605">
              <w:rPr>
                <w:rFonts w:ascii="Arial" w:eastAsia="Times New Roman" w:hAnsi="Arial" w:cs="Arial"/>
                <w:b/>
                <w:bCs/>
                <w:color w:val="000000"/>
                <w:sz w:val="20"/>
                <w:szCs w:val="20"/>
                <w:lang w:val="en-GB" w:eastAsia="en-GB"/>
              </w:rPr>
              <w:t>Comments</w:t>
            </w:r>
            <w:r w:rsidR="00500990">
              <w:rPr>
                <w:rFonts w:ascii="Arial" w:eastAsia="Times New Roman" w:hAnsi="Arial" w:cs="Arial"/>
                <w:b/>
                <w:bCs/>
                <w:color w:val="000000"/>
                <w:sz w:val="20"/>
                <w:szCs w:val="20"/>
                <w:lang w:val="en-GB" w:eastAsia="en-GB"/>
              </w:rPr>
              <w:t xml:space="preserve"> on market risk SCR design/calibration</w:t>
            </w:r>
          </w:p>
        </w:tc>
      </w:tr>
      <w:tr w:rsidR="003E54BE" w:rsidRPr="009D4605" w14:paraId="553F690E" w14:textId="77777777" w:rsidTr="00A66403">
        <w:trPr>
          <w:trHeight w:val="397"/>
        </w:trPr>
        <w:tc>
          <w:tcPr>
            <w:tcW w:w="665" w:type="dxa"/>
            <w:vMerge/>
            <w:shd w:val="clear" w:color="auto" w:fill="F2F2F2" w:themeFill="background1" w:themeFillShade="F2"/>
          </w:tcPr>
          <w:p w14:paraId="43C48C79" w14:textId="77777777" w:rsidR="003E54BE" w:rsidRPr="009D4605" w:rsidRDefault="003E54BE" w:rsidP="003E54BE">
            <w:pPr>
              <w:rPr>
                <w:rFonts w:ascii="Verdana" w:hAnsi="Verdana"/>
                <w:sz w:val="17"/>
                <w:szCs w:val="17"/>
                <w:lang w:val="en-GB"/>
              </w:rPr>
            </w:pPr>
          </w:p>
        </w:tc>
        <w:tc>
          <w:tcPr>
            <w:tcW w:w="13565" w:type="dxa"/>
            <w:gridSpan w:val="7"/>
            <w:shd w:val="clear" w:color="auto" w:fill="auto"/>
            <w:vAlign w:val="center"/>
          </w:tcPr>
          <w:p w14:paraId="302F0A95" w14:textId="77777777" w:rsidR="00265F68" w:rsidRDefault="00265F68" w:rsidP="00265F68">
            <w:pPr>
              <w:rPr>
                <w:rFonts w:ascii="Verdana" w:hAnsi="Verdana"/>
                <w:sz w:val="17"/>
                <w:szCs w:val="17"/>
                <w:lang w:val="en-AU"/>
              </w:rPr>
            </w:pPr>
            <w:r>
              <w:rPr>
                <w:rFonts w:ascii="Verdana" w:hAnsi="Verdana"/>
                <w:sz w:val="17"/>
                <w:szCs w:val="17"/>
                <w:lang w:val="en-AU"/>
              </w:rPr>
              <w:t>Interest risk – we suggest reassessment of symmetric shift stresses (non-symmetric might be more relevant).</w:t>
            </w:r>
          </w:p>
          <w:p w14:paraId="7C0C4D87" w14:textId="77777777" w:rsidR="003E54BE" w:rsidRDefault="00265F68" w:rsidP="00265F68">
            <w:pPr>
              <w:rPr>
                <w:rFonts w:ascii="Verdana" w:hAnsi="Verdana"/>
                <w:sz w:val="17"/>
                <w:szCs w:val="17"/>
                <w:lang w:val="en-AU"/>
              </w:rPr>
            </w:pPr>
            <w:r>
              <w:rPr>
                <w:rFonts w:ascii="Verdana" w:hAnsi="Verdana"/>
                <w:sz w:val="17"/>
                <w:szCs w:val="17"/>
                <w:lang w:val="en-AU"/>
              </w:rPr>
              <w:t>Spread risk – EU government bonds not to be assumed risk free.</w:t>
            </w:r>
          </w:p>
          <w:p w14:paraId="664DE462" w14:textId="7F071D8A" w:rsidR="005225ED" w:rsidRPr="009D4605" w:rsidRDefault="005225ED" w:rsidP="00265F68">
            <w:pPr>
              <w:rPr>
                <w:rFonts w:ascii="Verdana" w:hAnsi="Verdana"/>
                <w:sz w:val="17"/>
                <w:szCs w:val="17"/>
                <w:lang w:val="en-GB"/>
              </w:rPr>
            </w:pPr>
            <w:r w:rsidRPr="00217D9B">
              <w:rPr>
                <w:rFonts w:ascii="Verdana" w:hAnsi="Verdana"/>
                <w:sz w:val="17"/>
                <w:szCs w:val="17"/>
                <w:lang w:val="en-GB"/>
              </w:rPr>
              <w:t>To</w:t>
            </w:r>
            <w:r>
              <w:rPr>
                <w:rFonts w:ascii="Verdana" w:hAnsi="Verdana"/>
                <w:sz w:val="17"/>
                <w:szCs w:val="17"/>
                <w:lang w:val="en-GB"/>
              </w:rPr>
              <w:t>o</w:t>
            </w:r>
            <w:r w:rsidRPr="00217D9B">
              <w:rPr>
                <w:rFonts w:ascii="Verdana" w:hAnsi="Verdana"/>
                <w:sz w:val="17"/>
                <w:szCs w:val="17"/>
                <w:lang w:val="en-GB"/>
              </w:rPr>
              <w:t xml:space="preserve"> high requi</w:t>
            </w:r>
            <w:r>
              <w:rPr>
                <w:rFonts w:ascii="Verdana" w:hAnsi="Verdana"/>
                <w:sz w:val="17"/>
                <w:szCs w:val="17"/>
                <w:lang w:val="en-GB"/>
              </w:rPr>
              <w:t>rement for property</w:t>
            </w:r>
          </w:p>
        </w:tc>
      </w:tr>
    </w:tbl>
    <w:p w14:paraId="7CAE15AC" w14:textId="77777777" w:rsidR="00563F63" w:rsidRPr="009D4605" w:rsidRDefault="00563F63" w:rsidP="00563F63">
      <w:pPr>
        <w:rPr>
          <w:rFonts w:ascii="Verdana" w:hAnsi="Verdana"/>
          <w:b/>
          <w:sz w:val="17"/>
          <w:szCs w:val="17"/>
        </w:rPr>
      </w:pPr>
    </w:p>
    <w:p w14:paraId="3D8274A6" w14:textId="77777777" w:rsidR="00631472" w:rsidRPr="00A66403" w:rsidRDefault="00631472" w:rsidP="00A66403">
      <w:pPr>
        <w:pStyle w:val="Odsekzoznamu"/>
        <w:numPr>
          <w:ilvl w:val="0"/>
          <w:numId w:val="37"/>
        </w:numPr>
        <w:rPr>
          <w:b/>
          <w:sz w:val="24"/>
        </w:rPr>
      </w:pPr>
      <w:r w:rsidRPr="00A66403">
        <w:rPr>
          <w:b/>
          <w:sz w:val="24"/>
        </w:rPr>
        <w:t>Liquidity testing</w:t>
      </w:r>
    </w:p>
    <w:p w14:paraId="50C1E63C" w14:textId="77777777" w:rsidR="00563F63" w:rsidRPr="009D4605" w:rsidRDefault="00563F63" w:rsidP="00563F63">
      <w:pPr>
        <w:rPr>
          <w:rFonts w:ascii="Verdana" w:hAnsi="Verdana"/>
          <w:b/>
          <w:sz w:val="17"/>
          <w:szCs w:val="17"/>
        </w:rPr>
      </w:pPr>
    </w:p>
    <w:tbl>
      <w:tblPr>
        <w:tblStyle w:val="Mriekatabuky"/>
        <w:tblW w:w="14230" w:type="dxa"/>
        <w:tblCellMar>
          <w:top w:w="57" w:type="dxa"/>
          <w:bottom w:w="57" w:type="dxa"/>
        </w:tblCellMar>
        <w:tblLook w:val="04A0" w:firstRow="1" w:lastRow="0" w:firstColumn="1" w:lastColumn="0" w:noHBand="0" w:noVBand="1"/>
      </w:tblPr>
      <w:tblGrid>
        <w:gridCol w:w="603"/>
        <w:gridCol w:w="7047"/>
        <w:gridCol w:w="2193"/>
        <w:gridCol w:w="2193"/>
        <w:gridCol w:w="2194"/>
      </w:tblGrid>
      <w:tr w:rsidR="007A315B" w:rsidRPr="009D4605" w14:paraId="18345039" w14:textId="77777777" w:rsidTr="00A66403">
        <w:trPr>
          <w:trHeight w:val="397"/>
        </w:trPr>
        <w:tc>
          <w:tcPr>
            <w:tcW w:w="603" w:type="dxa"/>
            <w:vMerge w:val="restart"/>
            <w:shd w:val="clear" w:color="auto" w:fill="F2F2F2" w:themeFill="background1" w:themeFillShade="F2"/>
          </w:tcPr>
          <w:p w14:paraId="39AA7526" w14:textId="4847B6B4" w:rsidR="007A315B" w:rsidRPr="009D4605" w:rsidRDefault="007A315B" w:rsidP="007A315B">
            <w:pPr>
              <w:rPr>
                <w:rFonts w:ascii="Verdana" w:hAnsi="Verdana"/>
                <w:sz w:val="17"/>
                <w:szCs w:val="17"/>
                <w:lang w:val="en-GB"/>
              </w:rPr>
            </w:pPr>
            <w:r>
              <w:rPr>
                <w:rFonts w:ascii="Verdana" w:hAnsi="Verdana"/>
                <w:sz w:val="17"/>
                <w:szCs w:val="17"/>
                <w:lang w:val="en-GB"/>
              </w:rPr>
              <w:t>14</w:t>
            </w:r>
            <w:r w:rsidRPr="009D4605">
              <w:rPr>
                <w:rFonts w:ascii="Verdana" w:hAnsi="Verdana"/>
                <w:sz w:val="17"/>
                <w:szCs w:val="17"/>
                <w:lang w:val="en-GB"/>
              </w:rPr>
              <w:t>.</w:t>
            </w:r>
          </w:p>
        </w:tc>
        <w:tc>
          <w:tcPr>
            <w:tcW w:w="7047" w:type="dxa"/>
            <w:vMerge w:val="restart"/>
            <w:shd w:val="clear" w:color="auto" w:fill="F2F2F2" w:themeFill="background1" w:themeFillShade="F2"/>
            <w:vAlign w:val="center"/>
          </w:tcPr>
          <w:p w14:paraId="4E0C4028" w14:textId="32E4708D" w:rsidR="007A315B" w:rsidRPr="00A66403" w:rsidRDefault="007A315B" w:rsidP="007A315B">
            <w:pPr>
              <w:autoSpaceDE w:val="0"/>
              <w:autoSpaceDN w:val="0"/>
              <w:adjustRightInd w:val="0"/>
              <w:rPr>
                <w:rFonts w:ascii="Verdana" w:hAnsi="Verdana"/>
                <w:sz w:val="17"/>
                <w:szCs w:val="17"/>
                <w:lang w:val="en-GB"/>
              </w:rPr>
            </w:pPr>
            <w:r w:rsidRPr="009D4605">
              <w:rPr>
                <w:rFonts w:ascii="Arial" w:eastAsia="Times New Roman" w:hAnsi="Arial" w:cs="Arial"/>
                <w:b/>
                <w:bCs/>
                <w:color w:val="000000"/>
                <w:sz w:val="20"/>
                <w:szCs w:val="20"/>
                <w:lang w:val="en-GB" w:eastAsia="en-GB"/>
              </w:rPr>
              <w:t>Do you support the use of a liquidity test to demonstrate the extent to which insurers are at risk of forced asset sales?</w:t>
            </w:r>
            <w:r w:rsidRPr="00A66403">
              <w:rPr>
                <w:rFonts w:ascii="Arial" w:eastAsia="Times New Roman" w:hAnsi="Arial" w:cs="Arial"/>
                <w:bCs/>
                <w:color w:val="000000"/>
                <w:sz w:val="20"/>
                <w:szCs w:val="20"/>
                <w:lang w:val="en-GB" w:eastAsia="en-GB"/>
              </w:rPr>
              <w:t xml:space="preserve"> (The idea of a liquidity test was discussed as part of the long-term equity proposals (see </w:t>
            </w:r>
            <w:hyperlink r:id="rId11" w:history="1">
              <w:r w:rsidRPr="00A66403">
                <w:rPr>
                  <w:rStyle w:val="Hypertextovprepojenie"/>
                  <w:rFonts w:ascii="Arial" w:eastAsia="Times New Roman" w:hAnsi="Arial" w:cs="Arial"/>
                  <w:bCs/>
                  <w:sz w:val="20"/>
                  <w:szCs w:val="20"/>
                  <w:lang w:val="en-GB" w:eastAsia="en-GB"/>
                </w:rPr>
                <w:t>here</w:t>
              </w:r>
            </w:hyperlink>
            <w:r w:rsidRPr="00A66403">
              <w:rPr>
                <w:rFonts w:ascii="Arial" w:eastAsia="Times New Roman" w:hAnsi="Arial" w:cs="Arial"/>
                <w:bCs/>
                <w:color w:val="000000"/>
                <w:sz w:val="20"/>
                <w:szCs w:val="20"/>
                <w:lang w:val="en-GB" w:eastAsia="en-GB"/>
              </w:rPr>
              <w:t xml:space="preserve">) and response to the illiquid liabilities consultation (see </w:t>
            </w:r>
            <w:hyperlink r:id="rId12" w:history="1">
              <w:r w:rsidRPr="00A66403">
                <w:rPr>
                  <w:rStyle w:val="Hypertextovprepojenie"/>
                  <w:rFonts w:ascii="Arial" w:eastAsia="Times New Roman" w:hAnsi="Arial" w:cs="Arial"/>
                  <w:bCs/>
                  <w:sz w:val="20"/>
                  <w:szCs w:val="20"/>
                  <w:lang w:val="en-GB" w:eastAsia="en-GB"/>
                </w:rPr>
                <w:t>here</w:t>
              </w:r>
            </w:hyperlink>
            <w:r w:rsidRPr="00A66403">
              <w:rPr>
                <w:rFonts w:ascii="Arial" w:eastAsia="Times New Roman" w:hAnsi="Arial" w:cs="Arial"/>
                <w:bCs/>
                <w:color w:val="000000"/>
                <w:sz w:val="20"/>
                <w:szCs w:val="20"/>
                <w:lang w:val="en-GB" w:eastAsia="en-GB"/>
              </w:rPr>
              <w:t>)</w:t>
            </w:r>
            <w:r>
              <w:rPr>
                <w:rFonts w:ascii="Arial" w:eastAsia="Times New Roman" w:hAnsi="Arial" w:cs="Arial"/>
                <w:bCs/>
                <w:color w:val="000000"/>
                <w:sz w:val="20"/>
                <w:szCs w:val="20"/>
                <w:lang w:val="en-GB" w:eastAsia="en-GB"/>
              </w:rPr>
              <w:t>)</w:t>
            </w:r>
          </w:p>
        </w:tc>
        <w:tc>
          <w:tcPr>
            <w:tcW w:w="2193" w:type="dxa"/>
            <w:shd w:val="clear" w:color="auto" w:fill="F2F2F2" w:themeFill="background1" w:themeFillShade="F2"/>
            <w:vAlign w:val="center"/>
          </w:tcPr>
          <w:p w14:paraId="470626AE" w14:textId="76A340D0" w:rsidR="007A315B" w:rsidRPr="009D4605" w:rsidRDefault="007A315B" w:rsidP="007A315B">
            <w:pPr>
              <w:autoSpaceDE w:val="0"/>
              <w:autoSpaceDN w:val="0"/>
              <w:adjustRightInd w:val="0"/>
              <w:rPr>
                <w:rFonts w:ascii="Verdana" w:hAnsi="Verdana"/>
                <w:sz w:val="17"/>
                <w:szCs w:val="17"/>
              </w:rPr>
            </w:pPr>
            <w:r>
              <w:rPr>
                <w:rFonts w:ascii="Verdana" w:hAnsi="Verdana"/>
                <w:sz w:val="17"/>
                <w:szCs w:val="17"/>
                <w:lang w:val="en-GB"/>
              </w:rPr>
              <w:t>Not sure yet</w:t>
            </w:r>
          </w:p>
        </w:tc>
        <w:tc>
          <w:tcPr>
            <w:tcW w:w="2193" w:type="dxa"/>
            <w:shd w:val="clear" w:color="auto" w:fill="F2F2F2" w:themeFill="background1" w:themeFillShade="F2"/>
            <w:vAlign w:val="center"/>
          </w:tcPr>
          <w:p w14:paraId="5206CD7B" w14:textId="67576CCC" w:rsidR="007A315B" w:rsidRPr="009D4605" w:rsidRDefault="007A315B" w:rsidP="007A315B">
            <w:pPr>
              <w:autoSpaceDE w:val="0"/>
              <w:autoSpaceDN w:val="0"/>
              <w:adjustRightInd w:val="0"/>
              <w:rPr>
                <w:rFonts w:ascii="Verdana" w:hAnsi="Verdana"/>
                <w:sz w:val="17"/>
                <w:szCs w:val="17"/>
              </w:rPr>
            </w:pPr>
            <w:r>
              <w:rPr>
                <w:rFonts w:ascii="Verdana" w:hAnsi="Verdana"/>
                <w:sz w:val="17"/>
                <w:szCs w:val="17"/>
                <w:lang w:val="en-GB"/>
              </w:rPr>
              <w:t>Yes (please comment)</w:t>
            </w:r>
          </w:p>
        </w:tc>
        <w:tc>
          <w:tcPr>
            <w:tcW w:w="2194" w:type="dxa"/>
            <w:shd w:val="clear" w:color="auto" w:fill="F2F2F2" w:themeFill="background1" w:themeFillShade="F2"/>
            <w:vAlign w:val="center"/>
          </w:tcPr>
          <w:p w14:paraId="5B5CF51D" w14:textId="0699F024" w:rsidR="007A315B" w:rsidRPr="009D4605" w:rsidRDefault="007A315B" w:rsidP="007A315B">
            <w:pPr>
              <w:autoSpaceDE w:val="0"/>
              <w:autoSpaceDN w:val="0"/>
              <w:adjustRightInd w:val="0"/>
              <w:rPr>
                <w:rFonts w:ascii="Verdana" w:hAnsi="Verdana"/>
                <w:sz w:val="17"/>
                <w:szCs w:val="17"/>
                <w:lang w:val="en-GB"/>
              </w:rPr>
            </w:pPr>
            <w:r w:rsidRPr="009D4605">
              <w:rPr>
                <w:rFonts w:ascii="Verdana" w:hAnsi="Verdana"/>
                <w:sz w:val="17"/>
                <w:szCs w:val="17"/>
                <w:lang w:val="en-GB"/>
              </w:rPr>
              <w:t>No</w:t>
            </w:r>
            <w:r w:rsidR="009539EB">
              <w:rPr>
                <w:rFonts w:ascii="Verdana" w:hAnsi="Verdana"/>
                <w:sz w:val="17"/>
                <w:szCs w:val="17"/>
                <w:lang w:val="en-GB"/>
              </w:rPr>
              <w:t xml:space="preserve"> (please comment)</w:t>
            </w:r>
          </w:p>
        </w:tc>
      </w:tr>
      <w:tr w:rsidR="007A315B" w:rsidRPr="009D4605" w14:paraId="6539DA8A" w14:textId="77777777" w:rsidTr="00A66403">
        <w:trPr>
          <w:trHeight w:val="397"/>
        </w:trPr>
        <w:tc>
          <w:tcPr>
            <w:tcW w:w="603" w:type="dxa"/>
            <w:vMerge/>
            <w:shd w:val="clear" w:color="auto" w:fill="F2F2F2" w:themeFill="background1" w:themeFillShade="F2"/>
          </w:tcPr>
          <w:p w14:paraId="29F669C2" w14:textId="77777777" w:rsidR="007A315B" w:rsidRPr="009D4605" w:rsidRDefault="007A315B" w:rsidP="007A315B">
            <w:pPr>
              <w:rPr>
                <w:rFonts w:ascii="Verdana" w:hAnsi="Verdana"/>
                <w:sz w:val="17"/>
                <w:szCs w:val="17"/>
                <w:lang w:val="en-GB"/>
              </w:rPr>
            </w:pPr>
          </w:p>
        </w:tc>
        <w:tc>
          <w:tcPr>
            <w:tcW w:w="7047" w:type="dxa"/>
            <w:vMerge/>
            <w:vAlign w:val="center"/>
          </w:tcPr>
          <w:p w14:paraId="1E9EB33D" w14:textId="77777777" w:rsidR="007A315B" w:rsidRPr="009D4605" w:rsidRDefault="007A315B" w:rsidP="007A315B">
            <w:pPr>
              <w:rPr>
                <w:rFonts w:ascii="Verdana" w:hAnsi="Verdana"/>
                <w:sz w:val="17"/>
                <w:szCs w:val="17"/>
              </w:rPr>
            </w:pPr>
          </w:p>
        </w:tc>
        <w:tc>
          <w:tcPr>
            <w:tcW w:w="2193" w:type="dxa"/>
            <w:vAlign w:val="center"/>
          </w:tcPr>
          <w:p w14:paraId="494EF6EA" w14:textId="07A398E5" w:rsidR="007A315B" w:rsidRPr="009D4605" w:rsidRDefault="00265F68" w:rsidP="007A315B">
            <w:pPr>
              <w:rPr>
                <w:rFonts w:ascii="Verdana" w:hAnsi="Verdana"/>
                <w:sz w:val="17"/>
                <w:szCs w:val="17"/>
              </w:rPr>
            </w:pPr>
            <w:r>
              <w:rPr>
                <w:rFonts w:ascii="Verdana" w:hAnsi="Verdana"/>
                <w:sz w:val="17"/>
                <w:szCs w:val="17"/>
              </w:rPr>
              <w:t>X</w:t>
            </w:r>
            <w:r w:rsidR="00595725">
              <w:rPr>
                <w:rFonts w:ascii="Verdana" w:hAnsi="Verdana"/>
                <w:sz w:val="17"/>
                <w:szCs w:val="17"/>
              </w:rPr>
              <w:t>X</w:t>
            </w:r>
          </w:p>
        </w:tc>
        <w:tc>
          <w:tcPr>
            <w:tcW w:w="2193" w:type="dxa"/>
            <w:vAlign w:val="center"/>
          </w:tcPr>
          <w:p w14:paraId="75633AFB" w14:textId="48B5FB04" w:rsidR="007A315B" w:rsidRPr="009D4605" w:rsidRDefault="00265F68" w:rsidP="007A315B">
            <w:pPr>
              <w:rPr>
                <w:rFonts w:ascii="Verdana" w:hAnsi="Verdana"/>
                <w:sz w:val="17"/>
                <w:szCs w:val="17"/>
              </w:rPr>
            </w:pPr>
            <w:r>
              <w:rPr>
                <w:rFonts w:ascii="Verdana" w:hAnsi="Verdana"/>
                <w:sz w:val="17"/>
                <w:szCs w:val="17"/>
              </w:rPr>
              <w:t>X</w:t>
            </w:r>
            <w:r w:rsidR="003A4A2A">
              <w:rPr>
                <w:rFonts w:ascii="Verdana" w:hAnsi="Verdana"/>
                <w:sz w:val="17"/>
                <w:szCs w:val="17"/>
              </w:rPr>
              <w:t>X</w:t>
            </w:r>
          </w:p>
        </w:tc>
        <w:tc>
          <w:tcPr>
            <w:tcW w:w="2194" w:type="dxa"/>
            <w:vAlign w:val="center"/>
          </w:tcPr>
          <w:p w14:paraId="6D440327" w14:textId="4F052DBE" w:rsidR="007A315B" w:rsidRPr="009D4605" w:rsidRDefault="00BA07EF" w:rsidP="007A315B">
            <w:pPr>
              <w:rPr>
                <w:rFonts w:ascii="Verdana" w:hAnsi="Verdana"/>
                <w:sz w:val="17"/>
                <w:szCs w:val="17"/>
                <w:lang w:val="en-GB"/>
              </w:rPr>
            </w:pPr>
            <w:r>
              <w:rPr>
                <w:rFonts w:ascii="Verdana" w:hAnsi="Verdana"/>
                <w:sz w:val="17"/>
                <w:szCs w:val="17"/>
                <w:lang w:val="en-GB"/>
              </w:rPr>
              <w:t>X</w:t>
            </w:r>
            <w:r w:rsidR="005225ED">
              <w:rPr>
                <w:rFonts w:ascii="Verdana" w:hAnsi="Verdana"/>
                <w:sz w:val="17"/>
                <w:szCs w:val="17"/>
                <w:lang w:val="en-GB"/>
              </w:rPr>
              <w:t>X</w:t>
            </w:r>
          </w:p>
        </w:tc>
      </w:tr>
      <w:tr w:rsidR="007A315B" w:rsidRPr="009D4605" w14:paraId="5240E700" w14:textId="77777777" w:rsidTr="007A315B">
        <w:trPr>
          <w:trHeight w:val="397"/>
        </w:trPr>
        <w:tc>
          <w:tcPr>
            <w:tcW w:w="603" w:type="dxa"/>
            <w:vMerge w:val="restart"/>
            <w:shd w:val="clear" w:color="auto" w:fill="F2F2F2" w:themeFill="background1" w:themeFillShade="F2"/>
          </w:tcPr>
          <w:p w14:paraId="66A32077" w14:textId="39DDEDE7" w:rsidR="007A315B" w:rsidRPr="009D4605" w:rsidRDefault="007A315B" w:rsidP="007A315B">
            <w:pPr>
              <w:rPr>
                <w:rFonts w:ascii="Verdana" w:hAnsi="Verdana"/>
                <w:sz w:val="17"/>
                <w:szCs w:val="17"/>
              </w:rPr>
            </w:pPr>
            <w:r>
              <w:rPr>
                <w:rFonts w:ascii="Verdana" w:hAnsi="Verdana"/>
                <w:sz w:val="17"/>
                <w:szCs w:val="17"/>
                <w:lang w:val="en-GB"/>
              </w:rPr>
              <w:t>15</w:t>
            </w:r>
            <w:r w:rsidRPr="009D4605">
              <w:rPr>
                <w:rFonts w:ascii="Verdana" w:hAnsi="Verdana"/>
                <w:sz w:val="17"/>
                <w:szCs w:val="17"/>
                <w:lang w:val="en-GB"/>
              </w:rPr>
              <w:t>.</w:t>
            </w:r>
          </w:p>
          <w:p w14:paraId="2BE41257" w14:textId="1FBCD123" w:rsidR="007A315B" w:rsidRPr="009D4605" w:rsidRDefault="007A315B" w:rsidP="007A315B">
            <w:pPr>
              <w:rPr>
                <w:rFonts w:ascii="Verdana" w:hAnsi="Verdana"/>
                <w:sz w:val="17"/>
                <w:szCs w:val="17"/>
              </w:rPr>
            </w:pPr>
          </w:p>
        </w:tc>
        <w:tc>
          <w:tcPr>
            <w:tcW w:w="13627" w:type="dxa"/>
            <w:gridSpan w:val="4"/>
            <w:shd w:val="clear" w:color="auto" w:fill="EDEDED" w:themeFill="accent3" w:themeFillTint="33"/>
            <w:vAlign w:val="center"/>
          </w:tcPr>
          <w:p w14:paraId="7E670BE9" w14:textId="5408B857" w:rsidR="007A315B" w:rsidRPr="009D4605" w:rsidRDefault="007A315B">
            <w:pPr>
              <w:rPr>
                <w:rFonts w:ascii="Verdana" w:hAnsi="Verdana"/>
                <w:sz w:val="17"/>
                <w:szCs w:val="17"/>
              </w:rPr>
            </w:pPr>
            <w:r w:rsidRPr="009D4605">
              <w:rPr>
                <w:rFonts w:ascii="Arial" w:eastAsia="Times New Roman" w:hAnsi="Arial" w:cs="Arial"/>
                <w:b/>
                <w:bCs/>
                <w:color w:val="000000"/>
                <w:sz w:val="20"/>
                <w:szCs w:val="20"/>
                <w:lang w:val="en-GB" w:eastAsia="en-GB"/>
              </w:rPr>
              <w:t>Comments</w:t>
            </w:r>
            <w:r w:rsidR="00500990">
              <w:rPr>
                <w:rFonts w:ascii="Arial" w:eastAsia="Times New Roman" w:hAnsi="Arial" w:cs="Arial"/>
                <w:b/>
                <w:bCs/>
                <w:color w:val="000000"/>
                <w:sz w:val="20"/>
                <w:szCs w:val="20"/>
                <w:lang w:val="en-GB" w:eastAsia="en-GB"/>
              </w:rPr>
              <w:t xml:space="preserve"> on liquidity testing</w:t>
            </w:r>
          </w:p>
        </w:tc>
      </w:tr>
      <w:tr w:rsidR="007A315B" w:rsidRPr="009D4605" w14:paraId="16696E41" w14:textId="77777777" w:rsidTr="007A315B">
        <w:trPr>
          <w:trHeight w:val="397"/>
        </w:trPr>
        <w:tc>
          <w:tcPr>
            <w:tcW w:w="603" w:type="dxa"/>
            <w:vMerge/>
            <w:shd w:val="clear" w:color="auto" w:fill="F2F2F2" w:themeFill="background1" w:themeFillShade="F2"/>
          </w:tcPr>
          <w:p w14:paraId="6D548666" w14:textId="78B29B38" w:rsidR="007A315B" w:rsidRDefault="007A315B" w:rsidP="007A315B">
            <w:pPr>
              <w:rPr>
                <w:rFonts w:ascii="Verdana" w:hAnsi="Verdana"/>
                <w:sz w:val="17"/>
                <w:szCs w:val="17"/>
              </w:rPr>
            </w:pPr>
          </w:p>
        </w:tc>
        <w:tc>
          <w:tcPr>
            <w:tcW w:w="13627" w:type="dxa"/>
            <w:gridSpan w:val="4"/>
            <w:vAlign w:val="center"/>
          </w:tcPr>
          <w:p w14:paraId="6082D037" w14:textId="77777777" w:rsidR="007A315B" w:rsidRDefault="00265F68" w:rsidP="007A315B">
            <w:pPr>
              <w:rPr>
                <w:rFonts w:ascii="Verdana" w:hAnsi="Verdana"/>
                <w:sz w:val="17"/>
                <w:szCs w:val="17"/>
              </w:rPr>
            </w:pPr>
            <w:r>
              <w:rPr>
                <w:rFonts w:ascii="Verdana" w:hAnsi="Verdana"/>
                <w:sz w:val="17"/>
                <w:szCs w:val="17"/>
              </w:rPr>
              <w:t>Solvency II does not capture liquidity problem, however immediate liquidity can be a significant risk under the stressed situation</w:t>
            </w:r>
          </w:p>
          <w:p w14:paraId="334C6FCA" w14:textId="157AB6E2" w:rsidR="005225ED" w:rsidRDefault="005225ED" w:rsidP="007A315B">
            <w:pPr>
              <w:rPr>
                <w:rFonts w:ascii="Verdana" w:hAnsi="Verdana"/>
                <w:sz w:val="17"/>
                <w:szCs w:val="17"/>
              </w:rPr>
            </w:pPr>
            <w:r>
              <w:rPr>
                <w:rFonts w:ascii="Verdana" w:hAnsi="Verdana"/>
                <w:sz w:val="17"/>
                <w:szCs w:val="17"/>
                <w:lang w:val="en-GB"/>
              </w:rPr>
              <w:t>Taken into account in own risk assessment</w:t>
            </w:r>
          </w:p>
        </w:tc>
      </w:tr>
    </w:tbl>
    <w:p w14:paraId="713FC54F" w14:textId="77777777" w:rsidR="00631472" w:rsidRPr="009D4605" w:rsidRDefault="00631472">
      <w:pPr>
        <w:rPr>
          <w:rFonts w:ascii="Verdana" w:hAnsi="Verdana"/>
          <w:sz w:val="17"/>
          <w:szCs w:val="17"/>
        </w:rPr>
      </w:pPr>
    </w:p>
    <w:p w14:paraId="368167E7" w14:textId="6FECD5BB" w:rsidR="00631472" w:rsidRDefault="00EB6D40" w:rsidP="00A66403">
      <w:pPr>
        <w:ind w:left="426"/>
        <w:rPr>
          <w:rFonts w:ascii="Verdana" w:hAnsi="Verdana"/>
          <w:b/>
          <w:sz w:val="24"/>
          <w:szCs w:val="17"/>
        </w:rPr>
      </w:pPr>
      <w:r>
        <w:rPr>
          <w:rFonts w:ascii="Verdana" w:hAnsi="Verdana"/>
          <w:b/>
          <w:sz w:val="24"/>
          <w:szCs w:val="17"/>
        </w:rPr>
        <w:t>7</w:t>
      </w:r>
      <w:r w:rsidR="008E201A">
        <w:rPr>
          <w:rFonts w:ascii="Verdana" w:hAnsi="Verdana"/>
          <w:b/>
          <w:sz w:val="24"/>
          <w:szCs w:val="17"/>
        </w:rPr>
        <w:t xml:space="preserve">. </w:t>
      </w:r>
      <w:r w:rsidR="00631472" w:rsidRPr="009D4605">
        <w:rPr>
          <w:rFonts w:ascii="Verdana" w:hAnsi="Verdana"/>
          <w:b/>
          <w:sz w:val="24"/>
          <w:szCs w:val="17"/>
        </w:rPr>
        <w:t xml:space="preserve">Other </w:t>
      </w:r>
      <w:r w:rsidR="004076A1">
        <w:rPr>
          <w:rFonts w:ascii="Verdana" w:hAnsi="Verdana"/>
          <w:b/>
          <w:sz w:val="24"/>
          <w:szCs w:val="17"/>
        </w:rPr>
        <w:t xml:space="preserve">SII </w:t>
      </w:r>
      <w:r w:rsidR="00631472" w:rsidRPr="009D4605">
        <w:rPr>
          <w:rFonts w:ascii="Verdana" w:hAnsi="Verdana"/>
          <w:b/>
          <w:sz w:val="24"/>
          <w:szCs w:val="17"/>
        </w:rPr>
        <w:t>issues</w:t>
      </w:r>
    </w:p>
    <w:p w14:paraId="1D7BDAAB" w14:textId="6BD06C01" w:rsidR="004076A1" w:rsidRPr="00A66403" w:rsidRDefault="006A62C9" w:rsidP="00396CA5">
      <w:pPr>
        <w:rPr>
          <w:rFonts w:ascii="Verdana" w:hAnsi="Verdana" w:cs="Times New Roman"/>
          <w:color w:val="000000"/>
          <w:sz w:val="20"/>
          <w:szCs w:val="20"/>
        </w:rPr>
      </w:pPr>
      <w:r w:rsidRPr="00A66403">
        <w:rPr>
          <w:rFonts w:ascii="Verdana" w:hAnsi="Verdana" w:cs="Times New Roman"/>
          <w:color w:val="000000"/>
          <w:sz w:val="20"/>
          <w:szCs w:val="20"/>
        </w:rPr>
        <w:t>Please feel free to provide a list of areas</w:t>
      </w:r>
      <w:r>
        <w:rPr>
          <w:rFonts w:ascii="Verdana" w:hAnsi="Verdana" w:cs="Times New Roman"/>
          <w:color w:val="000000"/>
          <w:sz w:val="20"/>
          <w:szCs w:val="20"/>
        </w:rPr>
        <w:t xml:space="preserve">, </w:t>
      </w:r>
      <w:proofErr w:type="spellStart"/>
      <w:r>
        <w:rPr>
          <w:rFonts w:ascii="Verdana" w:hAnsi="Verdana" w:cs="Times New Roman"/>
          <w:color w:val="000000"/>
          <w:sz w:val="20"/>
          <w:szCs w:val="20"/>
        </w:rPr>
        <w:t>eg</w:t>
      </w:r>
      <w:proofErr w:type="spellEnd"/>
      <w:r>
        <w:rPr>
          <w:rFonts w:ascii="Verdana" w:hAnsi="Verdana" w:cs="Times New Roman"/>
          <w:color w:val="000000"/>
          <w:sz w:val="20"/>
          <w:szCs w:val="20"/>
        </w:rPr>
        <w:t xml:space="preserve"> treatment of non-proportional reinsurance. In light of feedback received, </w:t>
      </w:r>
      <w:r w:rsidRPr="00A66403">
        <w:rPr>
          <w:rFonts w:ascii="Verdana" w:hAnsi="Verdana" w:cs="Times New Roman"/>
          <w:color w:val="000000"/>
          <w:sz w:val="20"/>
          <w:szCs w:val="20"/>
        </w:rPr>
        <w:t xml:space="preserve">Insurance Europe will develop a separate </w:t>
      </w:r>
      <w:proofErr w:type="spellStart"/>
      <w:r w:rsidRPr="00A66403">
        <w:rPr>
          <w:rFonts w:ascii="Verdana" w:hAnsi="Verdana" w:cs="Times New Roman"/>
          <w:color w:val="000000"/>
          <w:sz w:val="20"/>
          <w:szCs w:val="20"/>
        </w:rPr>
        <w:t>workstream</w:t>
      </w:r>
      <w:proofErr w:type="spellEnd"/>
      <w:r w:rsidRPr="00A66403">
        <w:rPr>
          <w:rFonts w:ascii="Verdana" w:hAnsi="Verdana" w:cs="Times New Roman"/>
          <w:color w:val="000000"/>
          <w:sz w:val="20"/>
          <w:szCs w:val="20"/>
        </w:rPr>
        <w:t xml:space="preserve"> on the “Other issues” category</w:t>
      </w:r>
      <w:r>
        <w:rPr>
          <w:rFonts w:ascii="Verdana" w:hAnsi="Verdana" w:cs="Times New Roman"/>
          <w:color w:val="000000"/>
          <w:sz w:val="20"/>
          <w:szCs w:val="20"/>
        </w:rPr>
        <w:t xml:space="preserve">. </w:t>
      </w:r>
    </w:p>
    <w:tbl>
      <w:tblPr>
        <w:tblStyle w:val="Mriekatabuky"/>
        <w:tblW w:w="14230" w:type="dxa"/>
        <w:tblCellMar>
          <w:top w:w="57" w:type="dxa"/>
          <w:bottom w:w="57" w:type="dxa"/>
        </w:tblCellMar>
        <w:tblLook w:val="04A0" w:firstRow="1" w:lastRow="0" w:firstColumn="1" w:lastColumn="0" w:noHBand="0" w:noVBand="1"/>
      </w:tblPr>
      <w:tblGrid>
        <w:gridCol w:w="603"/>
        <w:gridCol w:w="7047"/>
        <w:gridCol w:w="2193"/>
        <w:gridCol w:w="2193"/>
        <w:gridCol w:w="2194"/>
      </w:tblGrid>
      <w:tr w:rsidR="007A315B" w:rsidRPr="009D4605" w14:paraId="4C74637D" w14:textId="77777777" w:rsidTr="00A66403">
        <w:trPr>
          <w:trHeight w:val="397"/>
        </w:trPr>
        <w:tc>
          <w:tcPr>
            <w:tcW w:w="603" w:type="dxa"/>
            <w:vMerge w:val="restart"/>
            <w:shd w:val="clear" w:color="auto" w:fill="F2F2F2" w:themeFill="background1" w:themeFillShade="F2"/>
          </w:tcPr>
          <w:p w14:paraId="33808C1E" w14:textId="35CC52FB" w:rsidR="007A315B" w:rsidRPr="009D4605" w:rsidRDefault="007A315B" w:rsidP="007A315B">
            <w:pPr>
              <w:rPr>
                <w:rFonts w:ascii="Verdana" w:hAnsi="Verdana"/>
                <w:sz w:val="17"/>
                <w:szCs w:val="17"/>
                <w:lang w:val="en-GB"/>
              </w:rPr>
            </w:pPr>
            <w:r w:rsidRPr="009D4605">
              <w:rPr>
                <w:rFonts w:ascii="Verdana" w:hAnsi="Verdana"/>
                <w:sz w:val="17"/>
                <w:szCs w:val="17"/>
                <w:lang w:val="en-GB"/>
              </w:rPr>
              <w:t>1</w:t>
            </w:r>
            <w:r>
              <w:rPr>
                <w:rFonts w:ascii="Verdana" w:hAnsi="Verdana"/>
                <w:sz w:val="17"/>
                <w:szCs w:val="17"/>
                <w:lang w:val="en-GB"/>
              </w:rPr>
              <w:t>6</w:t>
            </w:r>
            <w:r w:rsidRPr="009D4605">
              <w:rPr>
                <w:rFonts w:ascii="Verdana" w:hAnsi="Verdana"/>
                <w:sz w:val="17"/>
                <w:szCs w:val="17"/>
                <w:lang w:val="en-GB"/>
              </w:rPr>
              <w:t>.</w:t>
            </w:r>
          </w:p>
        </w:tc>
        <w:tc>
          <w:tcPr>
            <w:tcW w:w="7047" w:type="dxa"/>
            <w:vMerge w:val="restart"/>
            <w:shd w:val="clear" w:color="auto" w:fill="F2F2F2" w:themeFill="background1" w:themeFillShade="F2"/>
            <w:vAlign w:val="center"/>
          </w:tcPr>
          <w:p w14:paraId="7C5E0198" w14:textId="77777777" w:rsidR="007A315B" w:rsidRPr="00A66403" w:rsidRDefault="007A315B" w:rsidP="007A315B">
            <w:pPr>
              <w:autoSpaceDE w:val="0"/>
              <w:autoSpaceDN w:val="0"/>
              <w:adjustRightInd w:val="0"/>
              <w:rPr>
                <w:rFonts w:ascii="Arial" w:eastAsia="Times New Roman" w:hAnsi="Arial" w:cs="Arial"/>
                <w:b/>
                <w:bCs/>
                <w:color w:val="000000"/>
                <w:sz w:val="20"/>
                <w:szCs w:val="20"/>
                <w:lang w:val="en-GB" w:eastAsia="en-GB"/>
              </w:rPr>
            </w:pPr>
            <w:r w:rsidRPr="009D4605">
              <w:rPr>
                <w:rFonts w:ascii="Arial" w:eastAsia="Times New Roman" w:hAnsi="Arial" w:cs="Arial"/>
                <w:b/>
                <w:bCs/>
                <w:color w:val="000000"/>
                <w:sz w:val="20"/>
                <w:szCs w:val="20"/>
                <w:lang w:val="en-GB" w:eastAsia="en-GB"/>
              </w:rPr>
              <w:t>Are there any issues already considered as part of the 2018 review you would like to be re-viewed?</w:t>
            </w:r>
          </w:p>
        </w:tc>
        <w:tc>
          <w:tcPr>
            <w:tcW w:w="2193" w:type="dxa"/>
            <w:shd w:val="clear" w:color="auto" w:fill="F2F2F2" w:themeFill="background1" w:themeFillShade="F2"/>
            <w:vAlign w:val="center"/>
          </w:tcPr>
          <w:p w14:paraId="3D700CBF" w14:textId="7CF438D1" w:rsidR="007A315B" w:rsidRPr="009D4605" w:rsidRDefault="007A315B" w:rsidP="007A315B">
            <w:pPr>
              <w:autoSpaceDE w:val="0"/>
              <w:autoSpaceDN w:val="0"/>
              <w:adjustRightInd w:val="0"/>
              <w:rPr>
                <w:rFonts w:ascii="Arial" w:eastAsia="Times New Roman" w:hAnsi="Arial" w:cs="Arial"/>
                <w:b/>
                <w:bCs/>
                <w:color w:val="000000"/>
                <w:sz w:val="20"/>
                <w:szCs w:val="20"/>
                <w:lang w:eastAsia="en-GB"/>
              </w:rPr>
            </w:pPr>
            <w:r>
              <w:rPr>
                <w:rFonts w:ascii="Verdana" w:hAnsi="Verdana"/>
                <w:sz w:val="17"/>
                <w:szCs w:val="17"/>
                <w:lang w:val="en-GB"/>
              </w:rPr>
              <w:t>Not sure yet</w:t>
            </w:r>
          </w:p>
        </w:tc>
        <w:tc>
          <w:tcPr>
            <w:tcW w:w="2193" w:type="dxa"/>
            <w:shd w:val="clear" w:color="auto" w:fill="F2F2F2" w:themeFill="background1" w:themeFillShade="F2"/>
            <w:vAlign w:val="center"/>
          </w:tcPr>
          <w:p w14:paraId="0EA5BDDA" w14:textId="57D6B451" w:rsidR="007A315B" w:rsidRPr="009D4605" w:rsidRDefault="007A315B" w:rsidP="007A315B">
            <w:pPr>
              <w:autoSpaceDE w:val="0"/>
              <w:autoSpaceDN w:val="0"/>
              <w:adjustRightInd w:val="0"/>
              <w:rPr>
                <w:rFonts w:ascii="Arial" w:eastAsia="Times New Roman" w:hAnsi="Arial" w:cs="Arial"/>
                <w:b/>
                <w:bCs/>
                <w:color w:val="000000"/>
                <w:sz w:val="20"/>
                <w:szCs w:val="20"/>
                <w:lang w:eastAsia="en-GB"/>
              </w:rPr>
            </w:pPr>
            <w:r>
              <w:rPr>
                <w:rFonts w:ascii="Verdana" w:hAnsi="Verdana"/>
                <w:sz w:val="17"/>
                <w:szCs w:val="17"/>
                <w:lang w:val="en-GB"/>
              </w:rPr>
              <w:t>Yes (please comment)</w:t>
            </w:r>
          </w:p>
        </w:tc>
        <w:tc>
          <w:tcPr>
            <w:tcW w:w="2194" w:type="dxa"/>
            <w:shd w:val="clear" w:color="auto" w:fill="F2F2F2" w:themeFill="background1" w:themeFillShade="F2"/>
            <w:vAlign w:val="center"/>
          </w:tcPr>
          <w:p w14:paraId="658C2500" w14:textId="3E0835FA" w:rsidR="007A315B" w:rsidRPr="009D4605" w:rsidRDefault="007A315B" w:rsidP="007A315B">
            <w:pPr>
              <w:autoSpaceDE w:val="0"/>
              <w:autoSpaceDN w:val="0"/>
              <w:adjustRightInd w:val="0"/>
              <w:rPr>
                <w:rFonts w:ascii="Arial" w:eastAsia="Times New Roman" w:hAnsi="Arial" w:cs="Arial"/>
                <w:b/>
                <w:bCs/>
                <w:color w:val="000000"/>
                <w:sz w:val="20"/>
                <w:szCs w:val="20"/>
                <w:lang w:val="en-GB" w:eastAsia="en-GB"/>
              </w:rPr>
            </w:pPr>
            <w:r w:rsidRPr="009D4605">
              <w:rPr>
                <w:rFonts w:ascii="Verdana" w:hAnsi="Verdana"/>
                <w:sz w:val="17"/>
                <w:szCs w:val="17"/>
                <w:lang w:val="en-GB"/>
              </w:rPr>
              <w:t>No</w:t>
            </w:r>
          </w:p>
        </w:tc>
      </w:tr>
      <w:tr w:rsidR="007A315B" w:rsidRPr="009D4605" w14:paraId="2F32BC83" w14:textId="77777777" w:rsidTr="00A66403">
        <w:trPr>
          <w:trHeight w:val="397"/>
        </w:trPr>
        <w:tc>
          <w:tcPr>
            <w:tcW w:w="603" w:type="dxa"/>
            <w:vMerge/>
            <w:shd w:val="clear" w:color="auto" w:fill="F2F2F2" w:themeFill="background1" w:themeFillShade="F2"/>
          </w:tcPr>
          <w:p w14:paraId="2819A13B" w14:textId="77777777" w:rsidR="007A315B" w:rsidRPr="009D4605" w:rsidRDefault="007A315B" w:rsidP="007A315B">
            <w:pPr>
              <w:rPr>
                <w:rFonts w:ascii="Verdana" w:hAnsi="Verdana"/>
                <w:sz w:val="17"/>
                <w:szCs w:val="17"/>
                <w:lang w:val="en-GB"/>
              </w:rPr>
            </w:pPr>
          </w:p>
        </w:tc>
        <w:tc>
          <w:tcPr>
            <w:tcW w:w="7047" w:type="dxa"/>
            <w:vMerge/>
            <w:vAlign w:val="center"/>
          </w:tcPr>
          <w:p w14:paraId="172BF9F8" w14:textId="77777777" w:rsidR="007A315B" w:rsidRPr="009D4605" w:rsidRDefault="007A315B" w:rsidP="007A315B">
            <w:pPr>
              <w:rPr>
                <w:rFonts w:ascii="Verdana" w:hAnsi="Verdana"/>
                <w:sz w:val="17"/>
                <w:szCs w:val="17"/>
              </w:rPr>
            </w:pPr>
          </w:p>
        </w:tc>
        <w:tc>
          <w:tcPr>
            <w:tcW w:w="2193" w:type="dxa"/>
            <w:vAlign w:val="center"/>
          </w:tcPr>
          <w:p w14:paraId="0D216B73" w14:textId="086BA405" w:rsidR="007A315B" w:rsidRPr="009D4605" w:rsidRDefault="00265F68" w:rsidP="007A315B">
            <w:pPr>
              <w:rPr>
                <w:rFonts w:ascii="Verdana" w:hAnsi="Verdana"/>
                <w:sz w:val="17"/>
                <w:szCs w:val="17"/>
              </w:rPr>
            </w:pPr>
            <w:r>
              <w:rPr>
                <w:rFonts w:ascii="Verdana" w:hAnsi="Verdana"/>
                <w:sz w:val="17"/>
                <w:szCs w:val="17"/>
              </w:rPr>
              <w:t>XX</w:t>
            </w:r>
            <w:r w:rsidR="005225ED">
              <w:rPr>
                <w:rFonts w:ascii="Verdana" w:hAnsi="Verdana"/>
                <w:sz w:val="17"/>
                <w:szCs w:val="17"/>
              </w:rPr>
              <w:t>X</w:t>
            </w:r>
            <w:r w:rsidR="003A4A2A">
              <w:rPr>
                <w:rFonts w:ascii="Verdana" w:hAnsi="Verdana"/>
                <w:sz w:val="17"/>
                <w:szCs w:val="17"/>
              </w:rPr>
              <w:t>X</w:t>
            </w:r>
          </w:p>
        </w:tc>
        <w:tc>
          <w:tcPr>
            <w:tcW w:w="2193" w:type="dxa"/>
            <w:vAlign w:val="center"/>
          </w:tcPr>
          <w:p w14:paraId="5623D1C6" w14:textId="0A21ADAC" w:rsidR="007A315B" w:rsidRPr="009D4605" w:rsidRDefault="007A315B" w:rsidP="007A315B">
            <w:pPr>
              <w:rPr>
                <w:rFonts w:ascii="Verdana" w:hAnsi="Verdana"/>
                <w:sz w:val="17"/>
                <w:szCs w:val="17"/>
              </w:rPr>
            </w:pPr>
          </w:p>
        </w:tc>
        <w:tc>
          <w:tcPr>
            <w:tcW w:w="2194" w:type="dxa"/>
            <w:vAlign w:val="center"/>
          </w:tcPr>
          <w:p w14:paraId="7A4B20B5" w14:textId="2A2D4044" w:rsidR="007A315B" w:rsidRPr="009D4605" w:rsidRDefault="00BA07EF" w:rsidP="007A315B">
            <w:pPr>
              <w:rPr>
                <w:rFonts w:ascii="Verdana" w:hAnsi="Verdana"/>
                <w:sz w:val="17"/>
                <w:szCs w:val="17"/>
                <w:lang w:val="en-GB"/>
              </w:rPr>
            </w:pPr>
            <w:r>
              <w:rPr>
                <w:rFonts w:ascii="Verdana" w:hAnsi="Verdana"/>
                <w:sz w:val="17"/>
                <w:szCs w:val="17"/>
                <w:lang w:val="en-GB"/>
              </w:rPr>
              <w:t>X</w:t>
            </w:r>
            <w:r w:rsidR="00595725">
              <w:rPr>
                <w:rFonts w:ascii="Verdana" w:hAnsi="Verdana"/>
                <w:sz w:val="17"/>
                <w:szCs w:val="17"/>
                <w:lang w:val="en-GB"/>
              </w:rPr>
              <w:t>X</w:t>
            </w:r>
          </w:p>
        </w:tc>
      </w:tr>
      <w:tr w:rsidR="00C2134B" w:rsidRPr="009D4605" w14:paraId="71A163F2" w14:textId="77777777" w:rsidTr="00595725">
        <w:trPr>
          <w:trHeight w:val="525"/>
        </w:trPr>
        <w:tc>
          <w:tcPr>
            <w:tcW w:w="603" w:type="dxa"/>
            <w:vMerge w:val="restart"/>
            <w:shd w:val="clear" w:color="auto" w:fill="F2F2F2" w:themeFill="background1" w:themeFillShade="F2"/>
          </w:tcPr>
          <w:p w14:paraId="4876B1B3" w14:textId="7A984152" w:rsidR="00C2134B" w:rsidRPr="009D4605" w:rsidRDefault="00C2134B" w:rsidP="007A315B">
            <w:pPr>
              <w:rPr>
                <w:rFonts w:ascii="Verdana" w:hAnsi="Verdana"/>
                <w:sz w:val="17"/>
                <w:szCs w:val="17"/>
                <w:lang w:val="en-GB"/>
              </w:rPr>
            </w:pPr>
            <w:r w:rsidRPr="009D4605">
              <w:rPr>
                <w:rFonts w:ascii="Verdana" w:hAnsi="Verdana"/>
                <w:sz w:val="17"/>
                <w:szCs w:val="17"/>
                <w:lang w:val="en-GB"/>
              </w:rPr>
              <w:t>1</w:t>
            </w:r>
            <w:r>
              <w:rPr>
                <w:rFonts w:ascii="Verdana" w:hAnsi="Verdana"/>
                <w:sz w:val="17"/>
                <w:szCs w:val="17"/>
                <w:lang w:val="en-GB"/>
              </w:rPr>
              <w:t>7</w:t>
            </w:r>
            <w:r w:rsidRPr="009D4605">
              <w:rPr>
                <w:rFonts w:ascii="Verdana" w:hAnsi="Verdana"/>
                <w:sz w:val="17"/>
                <w:szCs w:val="17"/>
                <w:lang w:val="en-GB"/>
              </w:rPr>
              <w:t>.</w:t>
            </w:r>
          </w:p>
        </w:tc>
        <w:tc>
          <w:tcPr>
            <w:tcW w:w="7047" w:type="dxa"/>
            <w:vMerge w:val="restart"/>
            <w:shd w:val="clear" w:color="auto" w:fill="F2F2F2" w:themeFill="background1" w:themeFillShade="F2"/>
            <w:vAlign w:val="center"/>
          </w:tcPr>
          <w:p w14:paraId="06E6EDDF" w14:textId="239AFFDB" w:rsidR="00C2134B" w:rsidRPr="00A66403" w:rsidRDefault="00C2134B" w:rsidP="007A315B">
            <w:pPr>
              <w:autoSpaceDE w:val="0"/>
              <w:autoSpaceDN w:val="0"/>
              <w:adjustRightInd w:val="0"/>
              <w:rPr>
                <w:rFonts w:ascii="Verdana" w:hAnsi="Verdana"/>
                <w:sz w:val="17"/>
                <w:szCs w:val="17"/>
                <w:lang w:val="en-GB"/>
              </w:rPr>
            </w:pPr>
            <w:r w:rsidRPr="009D4605">
              <w:rPr>
                <w:rFonts w:ascii="Arial" w:eastAsia="Times New Roman" w:hAnsi="Arial" w:cs="Arial"/>
                <w:b/>
                <w:bCs/>
                <w:color w:val="000000"/>
                <w:sz w:val="20"/>
                <w:szCs w:val="20"/>
                <w:lang w:val="en-GB" w:eastAsia="en-GB"/>
              </w:rPr>
              <w:t xml:space="preserve">What other issues would you like to be assessed as part of the 2020 review? </w:t>
            </w:r>
          </w:p>
        </w:tc>
        <w:tc>
          <w:tcPr>
            <w:tcW w:w="2193" w:type="dxa"/>
            <w:shd w:val="clear" w:color="auto" w:fill="F2F2F2" w:themeFill="background1" w:themeFillShade="F2"/>
            <w:vAlign w:val="center"/>
          </w:tcPr>
          <w:p w14:paraId="644046EC" w14:textId="5A9E3ED9" w:rsidR="00C2134B" w:rsidRPr="009D4605" w:rsidRDefault="00C2134B" w:rsidP="007A315B">
            <w:pPr>
              <w:autoSpaceDE w:val="0"/>
              <w:autoSpaceDN w:val="0"/>
              <w:adjustRightInd w:val="0"/>
              <w:rPr>
                <w:rFonts w:ascii="Verdana" w:hAnsi="Verdana"/>
                <w:sz w:val="17"/>
                <w:szCs w:val="17"/>
              </w:rPr>
            </w:pPr>
            <w:r>
              <w:rPr>
                <w:rFonts w:ascii="Verdana" w:hAnsi="Verdana"/>
                <w:sz w:val="17"/>
                <w:szCs w:val="17"/>
                <w:lang w:val="en-GB"/>
              </w:rPr>
              <w:t>Not sure yet</w:t>
            </w:r>
          </w:p>
        </w:tc>
        <w:tc>
          <w:tcPr>
            <w:tcW w:w="2193" w:type="dxa"/>
            <w:shd w:val="clear" w:color="auto" w:fill="F2F2F2" w:themeFill="background1" w:themeFillShade="F2"/>
            <w:vAlign w:val="center"/>
          </w:tcPr>
          <w:p w14:paraId="10EDAD72" w14:textId="1688D4E4" w:rsidR="00C2134B" w:rsidRPr="009D4605" w:rsidRDefault="00C2134B" w:rsidP="007A315B">
            <w:pPr>
              <w:autoSpaceDE w:val="0"/>
              <w:autoSpaceDN w:val="0"/>
              <w:adjustRightInd w:val="0"/>
              <w:rPr>
                <w:rFonts w:ascii="Verdana" w:hAnsi="Verdana"/>
                <w:sz w:val="17"/>
                <w:szCs w:val="17"/>
              </w:rPr>
            </w:pPr>
            <w:r>
              <w:rPr>
                <w:rFonts w:ascii="Verdana" w:hAnsi="Verdana"/>
                <w:sz w:val="17"/>
                <w:szCs w:val="17"/>
                <w:lang w:val="en-GB"/>
              </w:rPr>
              <w:t>Yes (please comment)</w:t>
            </w:r>
          </w:p>
        </w:tc>
        <w:tc>
          <w:tcPr>
            <w:tcW w:w="2194" w:type="dxa"/>
            <w:shd w:val="clear" w:color="auto" w:fill="F2F2F2" w:themeFill="background1" w:themeFillShade="F2"/>
            <w:vAlign w:val="center"/>
          </w:tcPr>
          <w:p w14:paraId="0C8BFE24" w14:textId="75047059" w:rsidR="00C2134B" w:rsidRPr="009D4605" w:rsidRDefault="00C2134B" w:rsidP="007A315B">
            <w:pPr>
              <w:autoSpaceDE w:val="0"/>
              <w:autoSpaceDN w:val="0"/>
              <w:adjustRightInd w:val="0"/>
              <w:rPr>
                <w:rFonts w:ascii="Verdana" w:hAnsi="Verdana"/>
                <w:sz w:val="17"/>
                <w:szCs w:val="17"/>
                <w:lang w:val="en-GB"/>
              </w:rPr>
            </w:pPr>
            <w:r w:rsidRPr="009D4605">
              <w:rPr>
                <w:rFonts w:ascii="Verdana" w:hAnsi="Verdana"/>
                <w:sz w:val="17"/>
                <w:szCs w:val="17"/>
                <w:lang w:val="en-GB"/>
              </w:rPr>
              <w:t>No</w:t>
            </w:r>
          </w:p>
        </w:tc>
      </w:tr>
      <w:tr w:rsidR="00C2134B" w:rsidRPr="009D4605" w14:paraId="24B952B7" w14:textId="77777777" w:rsidTr="00A66403">
        <w:trPr>
          <w:trHeight w:val="397"/>
        </w:trPr>
        <w:tc>
          <w:tcPr>
            <w:tcW w:w="603" w:type="dxa"/>
            <w:vMerge/>
            <w:shd w:val="clear" w:color="auto" w:fill="F2F2F2" w:themeFill="background1" w:themeFillShade="F2"/>
          </w:tcPr>
          <w:p w14:paraId="578435F2" w14:textId="77777777" w:rsidR="00C2134B" w:rsidRPr="009D4605" w:rsidRDefault="00C2134B" w:rsidP="007A315B">
            <w:pPr>
              <w:rPr>
                <w:rFonts w:ascii="Verdana" w:hAnsi="Verdana"/>
                <w:sz w:val="17"/>
                <w:szCs w:val="17"/>
                <w:lang w:val="en-GB"/>
              </w:rPr>
            </w:pPr>
          </w:p>
        </w:tc>
        <w:tc>
          <w:tcPr>
            <w:tcW w:w="7047" w:type="dxa"/>
            <w:vMerge/>
            <w:vAlign w:val="center"/>
          </w:tcPr>
          <w:p w14:paraId="0328869C" w14:textId="77777777" w:rsidR="00C2134B" w:rsidRPr="009D4605" w:rsidRDefault="00C2134B" w:rsidP="007A315B">
            <w:pPr>
              <w:rPr>
                <w:rFonts w:ascii="Verdana" w:hAnsi="Verdana"/>
                <w:sz w:val="17"/>
                <w:szCs w:val="17"/>
              </w:rPr>
            </w:pPr>
          </w:p>
        </w:tc>
        <w:tc>
          <w:tcPr>
            <w:tcW w:w="2193" w:type="dxa"/>
            <w:vAlign w:val="center"/>
          </w:tcPr>
          <w:p w14:paraId="44C0C7FE" w14:textId="248005F2" w:rsidR="00C2134B" w:rsidRPr="009D4605" w:rsidRDefault="00BA07EF" w:rsidP="007A315B">
            <w:pPr>
              <w:rPr>
                <w:rFonts w:ascii="Verdana" w:hAnsi="Verdana"/>
                <w:sz w:val="17"/>
                <w:szCs w:val="17"/>
              </w:rPr>
            </w:pPr>
            <w:r>
              <w:rPr>
                <w:rFonts w:ascii="Verdana" w:hAnsi="Verdana"/>
                <w:sz w:val="17"/>
                <w:szCs w:val="17"/>
              </w:rPr>
              <w:t>X</w:t>
            </w:r>
            <w:r w:rsidR="003A4A2A">
              <w:rPr>
                <w:rFonts w:ascii="Verdana" w:hAnsi="Verdana"/>
                <w:sz w:val="17"/>
                <w:szCs w:val="17"/>
              </w:rPr>
              <w:t>X</w:t>
            </w:r>
          </w:p>
        </w:tc>
        <w:tc>
          <w:tcPr>
            <w:tcW w:w="2193" w:type="dxa"/>
            <w:vAlign w:val="center"/>
          </w:tcPr>
          <w:p w14:paraId="32C53365" w14:textId="25FF7EC8" w:rsidR="00C2134B" w:rsidRPr="009D4605" w:rsidRDefault="00265F68" w:rsidP="007A315B">
            <w:pPr>
              <w:rPr>
                <w:rFonts w:ascii="Verdana" w:hAnsi="Verdana"/>
                <w:sz w:val="17"/>
                <w:szCs w:val="17"/>
              </w:rPr>
            </w:pPr>
            <w:r>
              <w:rPr>
                <w:rFonts w:ascii="Verdana" w:hAnsi="Verdana"/>
                <w:sz w:val="17"/>
                <w:szCs w:val="17"/>
              </w:rPr>
              <w:t>X</w:t>
            </w:r>
            <w:r w:rsidR="005225ED">
              <w:rPr>
                <w:rFonts w:ascii="Verdana" w:hAnsi="Verdana"/>
                <w:sz w:val="17"/>
                <w:szCs w:val="17"/>
              </w:rPr>
              <w:t>X</w:t>
            </w:r>
          </w:p>
        </w:tc>
        <w:tc>
          <w:tcPr>
            <w:tcW w:w="2194" w:type="dxa"/>
            <w:vAlign w:val="center"/>
          </w:tcPr>
          <w:p w14:paraId="061668A6" w14:textId="25073796" w:rsidR="00C2134B" w:rsidRPr="009D4605" w:rsidRDefault="00265F68" w:rsidP="007A315B">
            <w:pPr>
              <w:rPr>
                <w:rFonts w:ascii="Verdana" w:hAnsi="Verdana"/>
                <w:sz w:val="17"/>
                <w:szCs w:val="17"/>
                <w:lang w:val="en-GB"/>
              </w:rPr>
            </w:pPr>
            <w:r>
              <w:rPr>
                <w:rFonts w:ascii="Verdana" w:hAnsi="Verdana"/>
                <w:sz w:val="17"/>
                <w:szCs w:val="17"/>
                <w:lang w:val="en-GB"/>
              </w:rPr>
              <w:t>X</w:t>
            </w:r>
            <w:r w:rsidR="00595725">
              <w:rPr>
                <w:rFonts w:ascii="Verdana" w:hAnsi="Verdana"/>
                <w:sz w:val="17"/>
                <w:szCs w:val="17"/>
                <w:lang w:val="en-GB"/>
              </w:rPr>
              <w:t>X</w:t>
            </w:r>
          </w:p>
        </w:tc>
      </w:tr>
      <w:tr w:rsidR="007A315B" w:rsidRPr="009D4605" w14:paraId="018BDC13" w14:textId="77777777" w:rsidTr="00A66403">
        <w:trPr>
          <w:trHeight w:val="397"/>
        </w:trPr>
        <w:tc>
          <w:tcPr>
            <w:tcW w:w="603" w:type="dxa"/>
            <w:shd w:val="clear" w:color="auto" w:fill="F2F2F2" w:themeFill="background1" w:themeFillShade="F2"/>
          </w:tcPr>
          <w:p w14:paraId="67AB5395" w14:textId="7924AC50" w:rsidR="007A315B" w:rsidRPr="009D4605" w:rsidRDefault="007A315B" w:rsidP="007A315B">
            <w:pPr>
              <w:rPr>
                <w:rFonts w:ascii="Verdana" w:hAnsi="Verdana"/>
                <w:sz w:val="17"/>
                <w:szCs w:val="17"/>
              </w:rPr>
            </w:pPr>
            <w:r>
              <w:rPr>
                <w:rFonts w:ascii="Verdana" w:hAnsi="Verdana"/>
                <w:sz w:val="17"/>
                <w:szCs w:val="17"/>
                <w:lang w:val="en-GB"/>
              </w:rPr>
              <w:t>18.</w:t>
            </w:r>
          </w:p>
        </w:tc>
        <w:tc>
          <w:tcPr>
            <w:tcW w:w="13627" w:type="dxa"/>
            <w:gridSpan w:val="4"/>
            <w:shd w:val="clear" w:color="auto" w:fill="EDEDED" w:themeFill="accent3" w:themeFillTint="33"/>
            <w:vAlign w:val="center"/>
          </w:tcPr>
          <w:p w14:paraId="32B269A6" w14:textId="381D4FF6" w:rsidR="007A315B" w:rsidRPr="00A66403" w:rsidRDefault="007A315B" w:rsidP="007A315B">
            <w:pPr>
              <w:rPr>
                <w:rFonts w:ascii="Verdana" w:hAnsi="Verdana"/>
                <w:sz w:val="17"/>
                <w:szCs w:val="17"/>
                <w:lang w:val="en-GB"/>
              </w:rPr>
            </w:pPr>
            <w:r w:rsidRPr="009D4605">
              <w:rPr>
                <w:rFonts w:ascii="Arial" w:eastAsia="Times New Roman" w:hAnsi="Arial" w:cs="Arial"/>
                <w:b/>
                <w:bCs/>
                <w:color w:val="000000"/>
                <w:sz w:val="20"/>
                <w:szCs w:val="20"/>
                <w:lang w:val="en-GB" w:eastAsia="en-GB"/>
              </w:rPr>
              <w:t>Comments</w:t>
            </w:r>
            <w:r w:rsidR="00500990">
              <w:rPr>
                <w:rFonts w:ascii="Arial" w:eastAsia="Times New Roman" w:hAnsi="Arial" w:cs="Arial"/>
                <w:b/>
                <w:bCs/>
                <w:color w:val="000000"/>
                <w:sz w:val="20"/>
                <w:szCs w:val="20"/>
                <w:lang w:val="en-GB" w:eastAsia="en-GB"/>
              </w:rPr>
              <w:t xml:space="preserve"> on other SII issues</w:t>
            </w:r>
          </w:p>
        </w:tc>
      </w:tr>
      <w:tr w:rsidR="007A315B" w:rsidRPr="009D4605" w14:paraId="1B04C36C" w14:textId="77777777" w:rsidTr="007A315B">
        <w:trPr>
          <w:trHeight w:val="397"/>
        </w:trPr>
        <w:tc>
          <w:tcPr>
            <w:tcW w:w="603" w:type="dxa"/>
            <w:shd w:val="clear" w:color="auto" w:fill="F2F2F2" w:themeFill="background1" w:themeFillShade="F2"/>
          </w:tcPr>
          <w:p w14:paraId="51D9B241" w14:textId="25EB6F74" w:rsidR="007A315B" w:rsidRPr="00A66403" w:rsidRDefault="007A315B" w:rsidP="007A315B">
            <w:pPr>
              <w:rPr>
                <w:rFonts w:ascii="Verdana" w:hAnsi="Verdana"/>
                <w:sz w:val="17"/>
                <w:szCs w:val="17"/>
                <w:lang w:val="en-GB"/>
              </w:rPr>
            </w:pPr>
          </w:p>
        </w:tc>
        <w:tc>
          <w:tcPr>
            <w:tcW w:w="13627" w:type="dxa"/>
            <w:gridSpan w:val="4"/>
            <w:vAlign w:val="center"/>
          </w:tcPr>
          <w:p w14:paraId="1A3BAD22" w14:textId="77777777" w:rsidR="007A315B" w:rsidRDefault="00265F68" w:rsidP="007A315B">
            <w:pPr>
              <w:rPr>
                <w:rFonts w:ascii="Verdana" w:hAnsi="Verdana"/>
                <w:sz w:val="17"/>
                <w:szCs w:val="17"/>
                <w:lang w:val="en-AU"/>
              </w:rPr>
            </w:pPr>
            <w:r>
              <w:rPr>
                <w:rFonts w:ascii="Verdana" w:hAnsi="Verdana"/>
                <w:sz w:val="17"/>
                <w:szCs w:val="17"/>
                <w:lang w:val="en-AU"/>
              </w:rPr>
              <w:t>Recalibration of CAT risks.</w:t>
            </w:r>
          </w:p>
          <w:p w14:paraId="7118852C" w14:textId="77777777" w:rsidR="00BA07EF" w:rsidRDefault="00BA07EF" w:rsidP="007A315B">
            <w:pPr>
              <w:rPr>
                <w:rFonts w:ascii="Verdana" w:hAnsi="Verdana"/>
                <w:sz w:val="17"/>
                <w:szCs w:val="17"/>
                <w:lang w:val="en-GB"/>
              </w:rPr>
            </w:pPr>
            <w:r>
              <w:rPr>
                <w:rFonts w:ascii="Verdana" w:hAnsi="Verdana"/>
                <w:sz w:val="17"/>
                <w:szCs w:val="17"/>
                <w:lang w:val="en-GB"/>
              </w:rPr>
              <w:t>There exists possibility to reduce mandatory quarterly reports (QRT) due to size of the company. So far the Company performs full reporting as big company. The aim is to reduce reporting proportionally to size of the company for 2019.</w:t>
            </w:r>
          </w:p>
          <w:p w14:paraId="45AE1825" w14:textId="5B9256DE" w:rsidR="00CB6C60" w:rsidRDefault="00CB6C60" w:rsidP="007A315B">
            <w:pPr>
              <w:rPr>
                <w:rFonts w:ascii="Verdana" w:hAnsi="Verdana"/>
                <w:sz w:val="17"/>
                <w:szCs w:val="17"/>
                <w:lang w:val="en-GB"/>
              </w:rPr>
            </w:pPr>
            <w:r>
              <w:rPr>
                <w:rFonts w:ascii="Verdana" w:hAnsi="Verdana"/>
                <w:sz w:val="17"/>
                <w:szCs w:val="17"/>
                <w:lang w:val="en-GB"/>
              </w:rPr>
              <w:t>Look–through approach – considerable burden for smaller insurance companies. Revision of limits for obligation of look – through approach or some kind of proportionality principle would be preferred. Exclude the unit-linked assets from look-through obligation (incl. reporting obligations).</w:t>
            </w:r>
          </w:p>
          <w:p w14:paraId="27985BC1" w14:textId="7E6DB382" w:rsidR="005225ED" w:rsidRPr="00A66403" w:rsidRDefault="005225ED" w:rsidP="007A315B">
            <w:pPr>
              <w:rPr>
                <w:rFonts w:ascii="Verdana" w:hAnsi="Verdana"/>
                <w:sz w:val="17"/>
                <w:szCs w:val="17"/>
                <w:lang w:val="en-GB"/>
              </w:rPr>
            </w:pPr>
          </w:p>
        </w:tc>
      </w:tr>
    </w:tbl>
    <w:p w14:paraId="74A708F9" w14:textId="77777777" w:rsidR="00631472" w:rsidRPr="009D4605" w:rsidRDefault="00631472" w:rsidP="00396CA5">
      <w:pPr>
        <w:rPr>
          <w:rFonts w:ascii="Verdana" w:hAnsi="Verdana"/>
          <w:sz w:val="17"/>
          <w:szCs w:val="17"/>
        </w:rPr>
      </w:pPr>
    </w:p>
    <w:sectPr w:rsidR="00631472" w:rsidRPr="009D4605" w:rsidSect="00A66403">
      <w:footerReference w:type="default" r:id="rId13"/>
      <w:headerReference w:type="first" r:id="rId14"/>
      <w:pgSz w:w="16838" w:h="11906" w:orient="landscape"/>
      <w:pgMar w:top="1440" w:right="1440" w:bottom="1440" w:left="1440" w:header="17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4659DA" w14:textId="77777777" w:rsidR="00D70527" w:rsidRDefault="00D70527" w:rsidP="00AF359D">
      <w:pPr>
        <w:spacing w:after="0" w:line="240" w:lineRule="auto"/>
      </w:pPr>
      <w:r>
        <w:separator/>
      </w:r>
    </w:p>
  </w:endnote>
  <w:endnote w:type="continuationSeparator" w:id="0">
    <w:p w14:paraId="29BC0C35" w14:textId="77777777" w:rsidR="00D70527" w:rsidRDefault="00D70527" w:rsidP="00AF3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1731473"/>
      <w:docPartObj>
        <w:docPartGallery w:val="Page Numbers (Bottom of Page)"/>
        <w:docPartUnique/>
      </w:docPartObj>
    </w:sdtPr>
    <w:sdtEndPr>
      <w:rPr>
        <w:noProof/>
      </w:rPr>
    </w:sdtEndPr>
    <w:sdtContent>
      <w:p w14:paraId="483FF7A3" w14:textId="77777777" w:rsidR="00AF359D" w:rsidRDefault="00AF359D">
        <w:pPr>
          <w:pStyle w:val="Pta"/>
          <w:jc w:val="right"/>
        </w:pPr>
        <w:r>
          <w:fldChar w:fldCharType="begin"/>
        </w:r>
        <w:r>
          <w:instrText xml:space="preserve"> PAGE   \* MERGEFORMAT </w:instrText>
        </w:r>
        <w:r>
          <w:fldChar w:fldCharType="separate"/>
        </w:r>
        <w:r w:rsidR="00F55F33">
          <w:rPr>
            <w:noProof/>
          </w:rPr>
          <w:t>5</w:t>
        </w:r>
        <w:r>
          <w:rPr>
            <w:noProof/>
          </w:rPr>
          <w:fldChar w:fldCharType="end"/>
        </w:r>
      </w:p>
    </w:sdtContent>
  </w:sdt>
  <w:p w14:paraId="590BF670" w14:textId="77777777" w:rsidR="00AF359D" w:rsidRDefault="00AF359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7003EA" w14:textId="77777777" w:rsidR="00D70527" w:rsidRDefault="00D70527" w:rsidP="00AF359D">
      <w:pPr>
        <w:spacing w:after="0" w:line="240" w:lineRule="auto"/>
      </w:pPr>
      <w:r>
        <w:separator/>
      </w:r>
    </w:p>
  </w:footnote>
  <w:footnote w:type="continuationSeparator" w:id="0">
    <w:p w14:paraId="44F8D6CB" w14:textId="77777777" w:rsidR="00D70527" w:rsidRDefault="00D70527" w:rsidP="00AF35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FBAD04" w14:textId="50FB3942" w:rsidR="0067699E" w:rsidRDefault="00A66403" w:rsidP="0067699E">
    <w:pPr>
      <w:pStyle w:val="Hlavika"/>
    </w:pPr>
    <w:r>
      <w:rPr>
        <w:noProof/>
        <w:lang w:val="sk-SK" w:eastAsia="sk-SK"/>
      </w:rPr>
      <mc:AlternateContent>
        <mc:Choice Requires="wps">
          <w:drawing>
            <wp:anchor distT="45720" distB="45720" distL="114300" distR="114300" simplePos="0" relativeHeight="251664384" behindDoc="0" locked="0" layoutInCell="1" allowOverlap="1" wp14:anchorId="50D07FA1" wp14:editId="7678714D">
              <wp:simplePos x="0" y="0"/>
              <wp:positionH relativeFrom="column">
                <wp:posOffset>5581155</wp:posOffset>
              </wp:positionH>
              <wp:positionV relativeFrom="paragraph">
                <wp:posOffset>167904</wp:posOffset>
              </wp:positionV>
              <wp:extent cx="236093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1000"/>
                      </a:xfrm>
                      <a:prstGeom prst="rect">
                        <a:avLst/>
                      </a:prstGeom>
                      <a:solidFill>
                        <a:srgbClr val="FFFFFF"/>
                      </a:solidFill>
                      <a:ln w="9525">
                        <a:noFill/>
                        <a:miter lim="800000"/>
                        <a:headEnd/>
                        <a:tailEnd/>
                      </a:ln>
                    </wps:spPr>
                    <wps:txbx>
                      <w:txbxContent>
                        <w:p w14:paraId="696B35C8" w14:textId="1D1945DF" w:rsidR="00A66403" w:rsidRPr="00A66403" w:rsidRDefault="00A66403" w:rsidP="00A66403">
                          <w:pPr>
                            <w:jc w:val="right"/>
                            <w:rPr>
                              <w:rFonts w:ascii="Verdana" w:hAnsi="Verdana"/>
                              <w:b/>
                              <w:color w:val="FF0000"/>
                              <w:sz w:val="20"/>
                              <w:szCs w:val="20"/>
                            </w:rPr>
                          </w:pPr>
                          <w:r w:rsidRPr="00A66403">
                            <w:rPr>
                              <w:rFonts w:ascii="Verdana" w:hAnsi="Verdana"/>
                              <w:b/>
                              <w:color w:val="FF0000"/>
                              <w:sz w:val="20"/>
                              <w:szCs w:val="20"/>
                            </w:rPr>
                            <w:t>Deadline for response: 22 February 2019</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0D07FA1" id="_x0000_t202" coordsize="21600,21600" o:spt="202" path="m,l,21600r21600,l21600,xe">
              <v:stroke joinstyle="miter"/>
              <v:path gradientshapeok="t" o:connecttype="rect"/>
            </v:shapetype>
            <v:shape id="Text Box 2" o:spid="_x0000_s1026" type="#_x0000_t202" style="position:absolute;margin-left:439.45pt;margin-top:13.2pt;width:185.9pt;height:30pt;z-index:25166438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" stroked="f">
              <v:textbox>
                <w:txbxContent>
                  <w:p w14:paraId="696B35C8" w14:textId="1D1945DF" w:rsidR="00A66403" w:rsidRPr="00A66403" w:rsidRDefault="00A66403" w:rsidP="00A66403">
                    <w:pPr>
                      <w:jc w:val="right"/>
                      <w:rPr>
                        <w:rFonts w:ascii="Verdana" w:hAnsi="Verdana"/>
                        <w:b/>
                        <w:color w:val="FF0000"/>
                        <w:sz w:val="20"/>
                        <w:szCs w:val="20"/>
                      </w:rPr>
                    </w:pPr>
                    <w:r w:rsidRPr="00A66403">
                      <w:rPr>
                        <w:rFonts w:ascii="Verdana" w:hAnsi="Verdana"/>
                        <w:b/>
                        <w:color w:val="FF0000"/>
                        <w:sz w:val="20"/>
                        <w:szCs w:val="20"/>
                      </w:rPr>
                      <w:t>Deadline for response: 22 February 2019</w:t>
                    </w:r>
                  </w:p>
                </w:txbxContent>
              </v:textbox>
              <w10:wrap type="square"/>
            </v:shape>
          </w:pict>
        </mc:Fallback>
      </mc:AlternateContent>
    </w:r>
    <w:r w:rsidRPr="00FC7AB0">
      <w:rPr>
        <w:i/>
        <w:noProof/>
        <w:color w:val="002957"/>
        <w:sz w:val="36"/>
        <w:szCs w:val="36"/>
        <w:lang w:val="sk-SK" w:eastAsia="sk-SK"/>
      </w:rPr>
      <w:drawing>
        <wp:anchor distT="0" distB="0" distL="114300" distR="114300" simplePos="0" relativeHeight="251662336" behindDoc="0" locked="0" layoutInCell="1" allowOverlap="1" wp14:anchorId="76ED29F8" wp14:editId="1C5587E4">
          <wp:simplePos x="0" y="0"/>
          <wp:positionH relativeFrom="page">
            <wp:posOffset>895350</wp:posOffset>
          </wp:positionH>
          <wp:positionV relativeFrom="page">
            <wp:posOffset>132715</wp:posOffset>
          </wp:positionV>
          <wp:extent cx="1069739" cy="657225"/>
          <wp:effectExtent l="0" t="0" r="0" b="0"/>
          <wp:wrapSquare wrapText="bothSides"/>
          <wp:docPr id="4" name="Picture 11" descr="CEA+baseline_RVB_200dpi(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A+baseline_RVB_200dpi(psd)"/>
                  <pic:cNvPicPr>
                    <a:picLocks noChangeAspect="1" noChangeArrowheads="1"/>
                  </pic:cNvPicPr>
                </pic:nvPicPr>
                <pic:blipFill>
                  <a:blip r:embed="rId1"/>
                  <a:stretch>
                    <a:fillRect/>
                  </a:stretch>
                </pic:blipFill>
                <pic:spPr bwMode="auto">
                  <a:xfrm>
                    <a:off x="0" y="0"/>
                    <a:ext cx="1069739" cy="657225"/>
                  </a:xfrm>
                  <a:prstGeom prst="rect">
                    <a:avLst/>
                  </a:prstGeom>
                  <a:noFill/>
                </pic:spPr>
              </pic:pic>
            </a:graphicData>
          </a:graphic>
          <wp14:sizeRelH relativeFrom="margin">
            <wp14:pctWidth>0</wp14:pctWidth>
          </wp14:sizeRelH>
          <wp14:sizeRelV relativeFrom="margin">
            <wp14:pctHeight>0</wp14:pctHeight>
          </wp14:sizeRelV>
        </wp:anchor>
      </w:drawing>
    </w:r>
  </w:p>
  <w:p w14:paraId="66A77A21" w14:textId="6C49C67B" w:rsidR="008A493B" w:rsidRDefault="008A493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75pt;height:12.75pt" o:bullet="t">
        <v:imagedata r:id="rId1" o:title="CEA - Bullets Rounded Squares_BulletLevel1_forMS"/>
      </v:shape>
    </w:pict>
  </w:numPicBullet>
  <w:abstractNum w:abstractNumId="0" w15:restartNumberingAfterBreak="0">
    <w:nsid w:val="83D6786A"/>
    <w:multiLevelType w:val="hybridMultilevel"/>
    <w:tmpl w:val="80985EF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E53938"/>
    <w:multiLevelType w:val="hybridMultilevel"/>
    <w:tmpl w:val="0E2B18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989404F"/>
    <w:multiLevelType w:val="hybridMultilevel"/>
    <w:tmpl w:val="DB2E82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BACEBB"/>
    <w:multiLevelType w:val="hybridMultilevel"/>
    <w:tmpl w:val="5C9047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4BDDB33"/>
    <w:multiLevelType w:val="hybridMultilevel"/>
    <w:tmpl w:val="D2CBDE5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20EEE1C"/>
    <w:multiLevelType w:val="hybridMultilevel"/>
    <w:tmpl w:val="C7B115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D6A86F9"/>
    <w:multiLevelType w:val="hybridMultilevel"/>
    <w:tmpl w:val="F0063A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326244D"/>
    <w:multiLevelType w:val="hybridMultilevel"/>
    <w:tmpl w:val="08607DA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C6B39F6"/>
    <w:multiLevelType w:val="hybridMultilevel"/>
    <w:tmpl w:val="05B9D31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DE7496A"/>
    <w:multiLevelType w:val="hybridMultilevel"/>
    <w:tmpl w:val="0D58934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AD56A6E"/>
    <w:multiLevelType w:val="hybridMultilevel"/>
    <w:tmpl w:val="1648A1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E5E793C"/>
    <w:multiLevelType w:val="hybridMultilevel"/>
    <w:tmpl w:val="D749AF8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3BBC5BB"/>
    <w:multiLevelType w:val="hybridMultilevel"/>
    <w:tmpl w:val="D275B7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A0E4518"/>
    <w:multiLevelType w:val="hybridMultilevel"/>
    <w:tmpl w:val="D912055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AD12F5C"/>
    <w:multiLevelType w:val="hybridMultilevel"/>
    <w:tmpl w:val="095A6D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CB10AEC"/>
    <w:multiLevelType w:val="hybridMultilevel"/>
    <w:tmpl w:val="0CB26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ED8D0A3"/>
    <w:multiLevelType w:val="hybridMultilevel"/>
    <w:tmpl w:val="4D4E5B6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232C43D"/>
    <w:multiLevelType w:val="hybridMultilevel"/>
    <w:tmpl w:val="E8706F3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4DA0CBB"/>
    <w:multiLevelType w:val="hybridMultilevel"/>
    <w:tmpl w:val="00596F8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A767FF7"/>
    <w:multiLevelType w:val="hybridMultilevel"/>
    <w:tmpl w:val="479C8B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031326E"/>
    <w:multiLevelType w:val="hybridMultilevel"/>
    <w:tmpl w:val="14FEC0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609E3C7"/>
    <w:multiLevelType w:val="hybridMultilevel"/>
    <w:tmpl w:val="57D2DC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424DCB1"/>
    <w:multiLevelType w:val="hybridMultilevel"/>
    <w:tmpl w:val="3CBEB8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7BF092B"/>
    <w:multiLevelType w:val="hybridMultilevel"/>
    <w:tmpl w:val="058B186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7E8CF77"/>
    <w:multiLevelType w:val="hybridMultilevel"/>
    <w:tmpl w:val="E702405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3A3971C7"/>
    <w:multiLevelType w:val="hybridMultilevel"/>
    <w:tmpl w:val="838DF2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C5A6293"/>
    <w:multiLevelType w:val="hybridMultilevel"/>
    <w:tmpl w:val="FEF533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D7966B9"/>
    <w:multiLevelType w:val="hybridMultilevel"/>
    <w:tmpl w:val="DC28977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8725B2E"/>
    <w:multiLevelType w:val="hybridMultilevel"/>
    <w:tmpl w:val="5A8584F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A6BBA59"/>
    <w:multiLevelType w:val="hybridMultilevel"/>
    <w:tmpl w:val="89E789E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3E23B94"/>
    <w:multiLevelType w:val="hybridMultilevel"/>
    <w:tmpl w:val="3124A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143B68"/>
    <w:multiLevelType w:val="hybridMultilevel"/>
    <w:tmpl w:val="EEBA0D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3AD26B9"/>
    <w:multiLevelType w:val="hybridMultilevel"/>
    <w:tmpl w:val="9D9C1E7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5CA2DF1"/>
    <w:multiLevelType w:val="hybridMultilevel"/>
    <w:tmpl w:val="90391E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658253C"/>
    <w:multiLevelType w:val="hybridMultilevel"/>
    <w:tmpl w:val="0160D88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77D95FB6"/>
    <w:multiLevelType w:val="hybridMultilevel"/>
    <w:tmpl w:val="5D747D9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2"/>
  </w:num>
  <w:num w:numId="2">
    <w:abstractNumId w:val="20"/>
  </w:num>
  <w:num w:numId="3">
    <w:abstractNumId w:val="19"/>
  </w:num>
  <w:num w:numId="4">
    <w:abstractNumId w:val="27"/>
  </w:num>
  <w:num w:numId="5">
    <w:abstractNumId w:val="8"/>
  </w:num>
  <w:num w:numId="6">
    <w:abstractNumId w:val="9"/>
  </w:num>
  <w:num w:numId="7">
    <w:abstractNumId w:val="18"/>
  </w:num>
  <w:num w:numId="8">
    <w:abstractNumId w:val="4"/>
  </w:num>
  <w:num w:numId="9">
    <w:abstractNumId w:val="33"/>
  </w:num>
  <w:num w:numId="10">
    <w:abstractNumId w:val="3"/>
  </w:num>
  <w:num w:numId="11">
    <w:abstractNumId w:val="34"/>
  </w:num>
  <w:num w:numId="12">
    <w:abstractNumId w:val="36"/>
  </w:num>
  <w:num w:numId="13">
    <w:abstractNumId w:val="24"/>
  </w:num>
  <w:num w:numId="14">
    <w:abstractNumId w:val="26"/>
  </w:num>
  <w:num w:numId="15">
    <w:abstractNumId w:val="29"/>
  </w:num>
  <w:num w:numId="16">
    <w:abstractNumId w:val="2"/>
  </w:num>
  <w:num w:numId="17">
    <w:abstractNumId w:val="10"/>
  </w:num>
  <w:num w:numId="18">
    <w:abstractNumId w:val="21"/>
  </w:num>
  <w:num w:numId="19">
    <w:abstractNumId w:val="6"/>
  </w:num>
  <w:num w:numId="20">
    <w:abstractNumId w:val="13"/>
  </w:num>
  <w:num w:numId="21">
    <w:abstractNumId w:val="12"/>
  </w:num>
  <w:num w:numId="22">
    <w:abstractNumId w:val="17"/>
  </w:num>
  <w:num w:numId="23">
    <w:abstractNumId w:val="7"/>
  </w:num>
  <w:num w:numId="24">
    <w:abstractNumId w:val="16"/>
  </w:num>
  <w:num w:numId="25">
    <w:abstractNumId w:val="1"/>
  </w:num>
  <w:num w:numId="26">
    <w:abstractNumId w:val="22"/>
  </w:num>
  <w:num w:numId="27">
    <w:abstractNumId w:val="28"/>
  </w:num>
  <w:num w:numId="28">
    <w:abstractNumId w:val="11"/>
  </w:num>
  <w:num w:numId="29">
    <w:abstractNumId w:val="25"/>
  </w:num>
  <w:num w:numId="30">
    <w:abstractNumId w:val="14"/>
  </w:num>
  <w:num w:numId="31">
    <w:abstractNumId w:val="35"/>
  </w:num>
  <w:num w:numId="32">
    <w:abstractNumId w:val="5"/>
  </w:num>
  <w:num w:numId="33">
    <w:abstractNumId w:val="31"/>
  </w:num>
  <w:num w:numId="34">
    <w:abstractNumId w:val="23"/>
  </w:num>
  <w:num w:numId="35">
    <w:abstractNumId w:val="0"/>
  </w:num>
  <w:num w:numId="36">
    <w:abstractNumId w:val="3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90C"/>
    <w:rsid w:val="000036FC"/>
    <w:rsid w:val="00013728"/>
    <w:rsid w:val="0008190C"/>
    <w:rsid w:val="000A21E1"/>
    <w:rsid w:val="000A2C94"/>
    <w:rsid w:val="000A3189"/>
    <w:rsid w:val="000D250B"/>
    <w:rsid w:val="00115CEE"/>
    <w:rsid w:val="00143A2E"/>
    <w:rsid w:val="00146108"/>
    <w:rsid w:val="001664E6"/>
    <w:rsid w:val="0018177C"/>
    <w:rsid w:val="001F1866"/>
    <w:rsid w:val="001F36CD"/>
    <w:rsid w:val="002504EE"/>
    <w:rsid w:val="00265F68"/>
    <w:rsid w:val="002B0C4E"/>
    <w:rsid w:val="002C4C95"/>
    <w:rsid w:val="003100D2"/>
    <w:rsid w:val="0037054E"/>
    <w:rsid w:val="00396CA5"/>
    <w:rsid w:val="003A22C2"/>
    <w:rsid w:val="003A4A2A"/>
    <w:rsid w:val="003A7702"/>
    <w:rsid w:val="003E54BE"/>
    <w:rsid w:val="004019E3"/>
    <w:rsid w:val="00406A7A"/>
    <w:rsid w:val="004076A1"/>
    <w:rsid w:val="00442F3F"/>
    <w:rsid w:val="00452774"/>
    <w:rsid w:val="00453783"/>
    <w:rsid w:val="004A4BCA"/>
    <w:rsid w:val="004A5F05"/>
    <w:rsid w:val="004B4058"/>
    <w:rsid w:val="00500990"/>
    <w:rsid w:val="00512DAD"/>
    <w:rsid w:val="005225ED"/>
    <w:rsid w:val="00563F63"/>
    <w:rsid w:val="00571E0D"/>
    <w:rsid w:val="005775E1"/>
    <w:rsid w:val="00581B29"/>
    <w:rsid w:val="00595725"/>
    <w:rsid w:val="005C16DA"/>
    <w:rsid w:val="005E75D7"/>
    <w:rsid w:val="0060589A"/>
    <w:rsid w:val="00615468"/>
    <w:rsid w:val="00620036"/>
    <w:rsid w:val="0062704C"/>
    <w:rsid w:val="00631472"/>
    <w:rsid w:val="0067699E"/>
    <w:rsid w:val="006A62C9"/>
    <w:rsid w:val="006B0B3D"/>
    <w:rsid w:val="006F1579"/>
    <w:rsid w:val="00707211"/>
    <w:rsid w:val="00722E32"/>
    <w:rsid w:val="00727842"/>
    <w:rsid w:val="00727A98"/>
    <w:rsid w:val="007314AB"/>
    <w:rsid w:val="00735C8C"/>
    <w:rsid w:val="007600DD"/>
    <w:rsid w:val="007A315B"/>
    <w:rsid w:val="007D5BED"/>
    <w:rsid w:val="0083286F"/>
    <w:rsid w:val="00835468"/>
    <w:rsid w:val="008431FB"/>
    <w:rsid w:val="008834B3"/>
    <w:rsid w:val="008A493B"/>
    <w:rsid w:val="008C4C91"/>
    <w:rsid w:val="008E201A"/>
    <w:rsid w:val="008E3722"/>
    <w:rsid w:val="008E3BBC"/>
    <w:rsid w:val="009539EB"/>
    <w:rsid w:val="009D1773"/>
    <w:rsid w:val="009D4605"/>
    <w:rsid w:val="00A41C0F"/>
    <w:rsid w:val="00A42273"/>
    <w:rsid w:val="00A66403"/>
    <w:rsid w:val="00A86781"/>
    <w:rsid w:val="00AB1B30"/>
    <w:rsid w:val="00AE5E09"/>
    <w:rsid w:val="00AE6A44"/>
    <w:rsid w:val="00AF359D"/>
    <w:rsid w:val="00B12702"/>
    <w:rsid w:val="00B16BDC"/>
    <w:rsid w:val="00B65725"/>
    <w:rsid w:val="00B67D45"/>
    <w:rsid w:val="00B81142"/>
    <w:rsid w:val="00BA07EF"/>
    <w:rsid w:val="00BD658B"/>
    <w:rsid w:val="00C00A05"/>
    <w:rsid w:val="00C2134B"/>
    <w:rsid w:val="00C3234F"/>
    <w:rsid w:val="00CB6C60"/>
    <w:rsid w:val="00CC64F1"/>
    <w:rsid w:val="00CF05BB"/>
    <w:rsid w:val="00D06C6C"/>
    <w:rsid w:val="00D70527"/>
    <w:rsid w:val="00D73866"/>
    <w:rsid w:val="00D9387C"/>
    <w:rsid w:val="00DB33F9"/>
    <w:rsid w:val="00DD66F4"/>
    <w:rsid w:val="00DE7C03"/>
    <w:rsid w:val="00DF3DED"/>
    <w:rsid w:val="00DF6652"/>
    <w:rsid w:val="00E513CA"/>
    <w:rsid w:val="00E6443D"/>
    <w:rsid w:val="00E64A8B"/>
    <w:rsid w:val="00E84543"/>
    <w:rsid w:val="00E91CF0"/>
    <w:rsid w:val="00EB089B"/>
    <w:rsid w:val="00EB6D40"/>
    <w:rsid w:val="00F15CBF"/>
    <w:rsid w:val="00F21316"/>
    <w:rsid w:val="00F5093A"/>
    <w:rsid w:val="00F55F33"/>
    <w:rsid w:val="00FC3F3E"/>
    <w:rsid w:val="00FD23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337EF"/>
  <w15:chartTrackingRefBased/>
  <w15:docId w15:val="{06C5E930-6969-4272-AB21-1A0BFB8C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EABullet-Level1">
    <w:name w:val="CEA Bullet - Level 1"/>
    <w:basedOn w:val="Normlny"/>
    <w:qFormat/>
    <w:rsid w:val="00563F63"/>
    <w:pPr>
      <w:numPr>
        <w:numId w:val="1"/>
      </w:numPr>
      <w:autoSpaceDE w:val="0"/>
      <w:autoSpaceDN w:val="0"/>
      <w:adjustRightInd w:val="0"/>
      <w:spacing w:after="0" w:line="288" w:lineRule="auto"/>
      <w:jc w:val="both"/>
    </w:pPr>
    <w:rPr>
      <w:rFonts w:ascii="Verdana" w:eastAsia="Times New Roman" w:hAnsi="Verdana" w:cs="Frutiger LT Std 45 Light"/>
      <w:color w:val="000000"/>
      <w:sz w:val="17"/>
      <w:szCs w:val="20"/>
    </w:rPr>
  </w:style>
  <w:style w:type="character" w:styleId="Odkaznakomentr">
    <w:name w:val="annotation reference"/>
    <w:basedOn w:val="Predvolenpsmoodseku"/>
    <w:uiPriority w:val="99"/>
    <w:semiHidden/>
    <w:unhideWhenUsed/>
    <w:rsid w:val="00563F63"/>
    <w:rPr>
      <w:sz w:val="16"/>
      <w:szCs w:val="16"/>
    </w:rPr>
  </w:style>
  <w:style w:type="paragraph" w:styleId="Textkomentra">
    <w:name w:val="annotation text"/>
    <w:basedOn w:val="Normlny"/>
    <w:link w:val="TextkomentraChar"/>
    <w:uiPriority w:val="99"/>
    <w:semiHidden/>
    <w:unhideWhenUsed/>
    <w:rsid w:val="00563F63"/>
    <w:pPr>
      <w:spacing w:after="0" w:line="240" w:lineRule="auto"/>
      <w:jc w:val="both"/>
    </w:pPr>
    <w:rPr>
      <w:rFonts w:ascii="Verdana" w:eastAsia="Times New Roman" w:hAnsi="Verdana" w:cs="Times New Roman"/>
      <w:sz w:val="20"/>
      <w:szCs w:val="20"/>
    </w:rPr>
  </w:style>
  <w:style w:type="character" w:customStyle="1" w:styleId="TextkomentraChar">
    <w:name w:val="Text komentára Char"/>
    <w:basedOn w:val="Predvolenpsmoodseku"/>
    <w:link w:val="Textkomentra"/>
    <w:uiPriority w:val="99"/>
    <w:semiHidden/>
    <w:rsid w:val="00563F63"/>
    <w:rPr>
      <w:rFonts w:ascii="Verdana" w:eastAsia="Times New Roman" w:hAnsi="Verdana" w:cs="Times New Roman"/>
      <w:sz w:val="20"/>
      <w:szCs w:val="20"/>
    </w:rPr>
  </w:style>
  <w:style w:type="paragraph" w:styleId="Odsekzoznamu">
    <w:name w:val="List Paragraph"/>
    <w:basedOn w:val="Normlny"/>
    <w:uiPriority w:val="34"/>
    <w:qFormat/>
    <w:rsid w:val="00563F63"/>
    <w:pPr>
      <w:spacing w:after="0" w:line="288" w:lineRule="auto"/>
      <w:ind w:left="720"/>
      <w:contextualSpacing/>
      <w:jc w:val="both"/>
    </w:pPr>
    <w:rPr>
      <w:rFonts w:ascii="Verdana" w:eastAsia="Times New Roman" w:hAnsi="Verdana" w:cs="Times New Roman"/>
      <w:sz w:val="20"/>
      <w:szCs w:val="24"/>
    </w:rPr>
  </w:style>
  <w:style w:type="table" w:styleId="Mriekatabuky">
    <w:name w:val="Table Grid"/>
    <w:basedOn w:val="Normlnatabuka"/>
    <w:uiPriority w:val="59"/>
    <w:rsid w:val="00563F63"/>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563F6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3F63"/>
    <w:rPr>
      <w:rFonts w:ascii="Segoe UI" w:hAnsi="Segoe UI" w:cs="Segoe UI"/>
      <w:sz w:val="18"/>
      <w:szCs w:val="18"/>
    </w:rPr>
  </w:style>
  <w:style w:type="paragraph" w:styleId="Hlavika">
    <w:name w:val="header"/>
    <w:basedOn w:val="Normlny"/>
    <w:link w:val="HlavikaChar"/>
    <w:uiPriority w:val="99"/>
    <w:unhideWhenUsed/>
    <w:rsid w:val="00AF359D"/>
    <w:pPr>
      <w:tabs>
        <w:tab w:val="center" w:pos="4513"/>
        <w:tab w:val="right" w:pos="9026"/>
      </w:tabs>
      <w:spacing w:after="0" w:line="240" w:lineRule="auto"/>
    </w:pPr>
  </w:style>
  <w:style w:type="character" w:customStyle="1" w:styleId="HlavikaChar">
    <w:name w:val="Hlavička Char"/>
    <w:basedOn w:val="Predvolenpsmoodseku"/>
    <w:link w:val="Hlavika"/>
    <w:uiPriority w:val="99"/>
    <w:rsid w:val="00AF359D"/>
  </w:style>
  <w:style w:type="paragraph" w:styleId="Pta">
    <w:name w:val="footer"/>
    <w:basedOn w:val="Normlny"/>
    <w:link w:val="PtaChar"/>
    <w:uiPriority w:val="99"/>
    <w:unhideWhenUsed/>
    <w:rsid w:val="00AF359D"/>
    <w:pPr>
      <w:tabs>
        <w:tab w:val="center" w:pos="4513"/>
        <w:tab w:val="right" w:pos="9026"/>
      </w:tabs>
      <w:spacing w:after="0" w:line="240" w:lineRule="auto"/>
    </w:pPr>
  </w:style>
  <w:style w:type="character" w:customStyle="1" w:styleId="PtaChar">
    <w:name w:val="Päta Char"/>
    <w:basedOn w:val="Predvolenpsmoodseku"/>
    <w:link w:val="Pta"/>
    <w:uiPriority w:val="99"/>
    <w:rsid w:val="00AF359D"/>
  </w:style>
  <w:style w:type="paragraph" w:styleId="Textpoznmkypodiarou">
    <w:name w:val="footnote text"/>
    <w:basedOn w:val="Normlny"/>
    <w:link w:val="TextpoznmkypodiarouChar"/>
    <w:uiPriority w:val="99"/>
    <w:semiHidden/>
    <w:unhideWhenUsed/>
    <w:rsid w:val="00AF359D"/>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F359D"/>
    <w:rPr>
      <w:sz w:val="20"/>
      <w:szCs w:val="20"/>
    </w:rPr>
  </w:style>
  <w:style w:type="character" w:styleId="Odkaznapoznmkupodiarou">
    <w:name w:val="footnote reference"/>
    <w:basedOn w:val="Predvolenpsmoodseku"/>
    <w:uiPriority w:val="99"/>
    <w:semiHidden/>
    <w:unhideWhenUsed/>
    <w:rsid w:val="00AF359D"/>
    <w:rPr>
      <w:vertAlign w:val="superscript"/>
    </w:rPr>
  </w:style>
  <w:style w:type="paragraph" w:customStyle="1" w:styleId="Default">
    <w:name w:val="Default"/>
    <w:rsid w:val="0001372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Predmetkomentra">
    <w:name w:val="annotation subject"/>
    <w:basedOn w:val="Textkomentra"/>
    <w:next w:val="Textkomentra"/>
    <w:link w:val="PredmetkomentraChar"/>
    <w:uiPriority w:val="99"/>
    <w:semiHidden/>
    <w:unhideWhenUsed/>
    <w:rsid w:val="000A2C94"/>
    <w:pPr>
      <w:spacing w:after="160"/>
      <w:jc w:val="left"/>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0A2C94"/>
    <w:rPr>
      <w:rFonts w:ascii="Verdana" w:eastAsia="Times New Roman" w:hAnsi="Verdana" w:cs="Times New Roman"/>
      <w:b/>
      <w:bCs/>
      <w:sz w:val="20"/>
      <w:szCs w:val="20"/>
    </w:rPr>
  </w:style>
  <w:style w:type="character" w:styleId="Hypertextovprepojenie">
    <w:name w:val="Hyperlink"/>
    <w:basedOn w:val="Predvolenpsmoodseku"/>
    <w:uiPriority w:val="99"/>
    <w:unhideWhenUsed/>
    <w:rsid w:val="006F1579"/>
    <w:rPr>
      <w:color w:val="0563C1" w:themeColor="hyperlink"/>
      <w:u w:val="single"/>
    </w:rPr>
  </w:style>
  <w:style w:type="character" w:customStyle="1" w:styleId="UnresolvedMention1">
    <w:name w:val="Unresolved Mention1"/>
    <w:basedOn w:val="Predvolenpsmoodseku"/>
    <w:uiPriority w:val="99"/>
    <w:semiHidden/>
    <w:unhideWhenUsed/>
    <w:rsid w:val="006F15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tranet.insuranceeurope.eu/Solvency%20II%20Working%20Group/PublishedDocuments/ECO-SLV-18-228.doc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tranet.insuranceeurope.eu/Economics%20And%20Finance%20Committee/PublishedDocuments/Insurance%20Europe%20comments%20on%20the%20EC%20long-term%20equity%20proposal%20Art%20171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C249E940B92B4589F3CC898AEFCC96" ma:contentTypeVersion="" ma:contentTypeDescription="Create a new document." ma:contentTypeScope="" ma:versionID="78ef1634eb7755895234b55c7af4b90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5FE14-CAFA-496B-B39F-DC63CFE6E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4EEBF60-00BC-4528-A182-E69BF77D6E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E4AB93-D113-4E3F-9124-567CC4FCAC5D}">
  <ds:schemaRefs>
    <ds:schemaRef ds:uri="http://schemas.microsoft.com/sharepoint/v3/contenttype/forms"/>
  </ds:schemaRefs>
</ds:datastoreItem>
</file>

<file path=customXml/itemProps4.xml><?xml version="1.0" encoding="utf-8"?>
<ds:datastoreItem xmlns:ds="http://schemas.openxmlformats.org/officeDocument/2006/customXml" ds:itemID="{05C83CE0-0FD8-4957-B5D0-01D3EB94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1054</Words>
  <Characters>6011</Characters>
  <Application>Microsoft Office Word</Application>
  <DocSecurity>0</DocSecurity>
  <Lines>50</Lines>
  <Paragraphs>14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ECOFIN Survey on 2020 review</vt:lpstr>
      <vt:lpstr>ECOFIN Survey on 2020 review</vt:lpstr>
    </vt:vector>
  </TitlesOfParts>
  <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ECOFIN Survey on 2020 review</dc:title>
  <dc:subject/>
  <dc:creator>Ecofin</dc:creator>
  <cp:keywords/>
  <dc:description/>
  <cp:lastModifiedBy>Bachníček Jozef</cp:lastModifiedBy>
  <cp:revision>8</cp:revision>
  <cp:lastPrinted>2019-01-31T08:45:00Z</cp:lastPrinted>
  <dcterms:created xsi:type="dcterms:W3CDTF">2019-02-13T10:23:00Z</dcterms:created>
  <dcterms:modified xsi:type="dcterms:W3CDTF">2019-02-22T07:06:00Z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0x01010079C249E940B92B4589F3CC898AEFCC96</vt:lpwstr>
  </property>
  <property fmtid="{D5CDD505-2E9C-101B-9397-08002B2CF9AE}" pid="3" name="Can be edited">
    <vt:bool>true</vt:bool>
  </property>
  <property fmtid="{D5CDD505-2E9C-101B-9397-08002B2CF9AE}" pid="4" name="isAnnex">
    <vt:lpwstr>True</vt:lpwstr>
  </property>
  <property fmtid="{D5CDD505-2E9C-101B-9397-08002B2CF9AE}" pid="5" name="Validated">
    <vt:bool>false</vt:bool>
  </property>
  <property fmtid="{D5CDD505-2E9C-101B-9397-08002B2CF9AE}" pid="6" name="Display validated documents library button">
    <vt:bool>true</vt:bool>
  </property>
  <property fmtid="{D5CDD505-2E9C-101B-9397-08002B2CF9AE}" pid="7" name="AllowComments">
    <vt:bool>false</vt:bool>
  </property>
  <property fmtid="{D5CDD505-2E9C-101B-9397-08002B2CF9AE}" pid="8" name="Uploads">
    <vt:bool>true</vt:bool>
  </property>
  <property fmtid="{D5CDD505-2E9C-101B-9397-08002B2CF9AE}" pid="9" name="MSIP_Label_5a240272-e508-4aa4-a755-797e799e3de3_Enabled">
    <vt:lpwstr>True</vt:lpwstr>
  </property>
  <property fmtid="{D5CDD505-2E9C-101B-9397-08002B2CF9AE}" pid="10" name="MSIP_Label_5a240272-e508-4aa4-a755-797e799e3de3_SiteId">
    <vt:lpwstr>64af2aee-7d6c-49ac-a409-192d3fee73b8</vt:lpwstr>
  </property>
  <property fmtid="{D5CDD505-2E9C-101B-9397-08002B2CF9AE}" pid="11" name="MSIP_Label_5a240272-e508-4aa4-a755-797e799e3de3_Owner">
    <vt:lpwstr>JOZELINA@CSOB.SK</vt:lpwstr>
  </property>
  <property fmtid="{D5CDD505-2E9C-101B-9397-08002B2CF9AE}" pid="12" name="MSIP_Label_5a240272-e508-4aa4-a755-797e799e3de3_SetDate">
    <vt:lpwstr>2019-02-13T10:23:19.7518054Z</vt:lpwstr>
  </property>
  <property fmtid="{D5CDD505-2E9C-101B-9397-08002B2CF9AE}" pid="13" name="MSIP_Label_5a240272-e508-4aa4-a755-797e799e3de3_Name">
    <vt:lpwstr>Public</vt:lpwstr>
  </property>
  <property fmtid="{D5CDD505-2E9C-101B-9397-08002B2CF9AE}" pid="14" name="MSIP_Label_5a240272-e508-4aa4-a755-797e799e3de3_Application">
    <vt:lpwstr>Microsoft Azure Information Protection</vt:lpwstr>
  </property>
  <property fmtid="{D5CDD505-2E9C-101B-9397-08002B2CF9AE}" pid="15" name="MSIP_Label_5a240272-e508-4aa4-a755-797e799e3de3_Extended_MSFT_Method">
    <vt:lpwstr>Manual</vt:lpwstr>
  </property>
  <property fmtid="{D5CDD505-2E9C-101B-9397-08002B2CF9AE}" pid="16" name="MSIP_Label_0e69db62-8357-4998-8a24-6b58b87efd96_Enabled">
    <vt:lpwstr>True</vt:lpwstr>
  </property>
  <property fmtid="{D5CDD505-2E9C-101B-9397-08002B2CF9AE}" pid="17" name="MSIP_Label_0e69db62-8357-4998-8a24-6b58b87efd96_SiteId">
    <vt:lpwstr>64af2aee-7d6c-49ac-a409-192d3fee73b8</vt:lpwstr>
  </property>
  <property fmtid="{D5CDD505-2E9C-101B-9397-08002B2CF9AE}" pid="18" name="MSIP_Label_0e69db62-8357-4998-8a24-6b58b87efd96_Owner">
    <vt:lpwstr>JOZELINA@CSOB.SK</vt:lpwstr>
  </property>
  <property fmtid="{D5CDD505-2E9C-101B-9397-08002B2CF9AE}" pid="19" name="MSIP_Label_0e69db62-8357-4998-8a24-6b58b87efd96_SetDate">
    <vt:lpwstr>2019-02-13T10:23:19.7518054Z</vt:lpwstr>
  </property>
  <property fmtid="{D5CDD505-2E9C-101B-9397-08002B2CF9AE}" pid="20" name="MSIP_Label_0e69db62-8357-4998-8a24-6b58b87efd96_Name">
    <vt:lpwstr>Public - No Visual Marking (SK)</vt:lpwstr>
  </property>
  <property fmtid="{D5CDD505-2E9C-101B-9397-08002B2CF9AE}" pid="21" name="MSIP_Label_0e69db62-8357-4998-8a24-6b58b87efd96_Application">
    <vt:lpwstr>Microsoft Azure Information Protection</vt:lpwstr>
  </property>
  <property fmtid="{D5CDD505-2E9C-101B-9397-08002B2CF9AE}" pid="22" name="MSIP_Label_0e69db62-8357-4998-8a24-6b58b87efd96_Parent">
    <vt:lpwstr>5a240272-e508-4aa4-a755-797e799e3de3</vt:lpwstr>
  </property>
  <property fmtid="{D5CDD505-2E9C-101B-9397-08002B2CF9AE}" pid="23" name="MSIP_Label_0e69db62-8357-4998-8a24-6b58b87efd96_Extended_MSFT_Method">
    <vt:lpwstr>Manual</vt:lpwstr>
  </property>
  <property fmtid="{D5CDD505-2E9C-101B-9397-08002B2CF9AE}" pid="24" name="Sensitivity">
    <vt:lpwstr>Public Public - No Visual Marking (SK)</vt:lpwstr>
  </property>
</Properties>
</file>