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29" w:rsidRDefault="00E122C3" w:rsidP="00911A61">
      <w:pPr>
        <w:keepNext/>
        <w:tabs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Návrh</w:t>
      </w:r>
    </w:p>
    <w:p w:rsidR="00E122C3" w:rsidRDefault="00E122C3" w:rsidP="00911A61">
      <w:pPr>
        <w:keepNext/>
        <w:tabs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D137E7" w:rsidRPr="00D137E7" w:rsidRDefault="00D137E7" w:rsidP="00911A61">
      <w:pPr>
        <w:keepNext/>
        <w:tabs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137E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OPATRENIE</w:t>
      </w:r>
    </w:p>
    <w:p w:rsidR="00D137E7" w:rsidRPr="00D137E7" w:rsidRDefault="00D137E7" w:rsidP="0091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37E7">
        <w:rPr>
          <w:rFonts w:ascii="Times New Roman" w:eastAsia="Times New Roman" w:hAnsi="Times New Roman" w:cs="Times New Roman"/>
          <w:b/>
          <w:sz w:val="24"/>
          <w:szCs w:val="24"/>
        </w:rPr>
        <w:t xml:space="preserve">Národnej banky Slovenska </w:t>
      </w:r>
    </w:p>
    <w:p w:rsidR="00D137E7" w:rsidRPr="00D137E7" w:rsidRDefault="00D137E7" w:rsidP="0091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  ... </w:t>
      </w:r>
      <w:r w:rsidRPr="00D137E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D137E7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D137E7" w:rsidRPr="00D137E7" w:rsidRDefault="00D1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7E7" w:rsidRPr="00276E29" w:rsidRDefault="008C4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ktorým sa ustanovuj</w:t>
      </w:r>
      <w:r w:rsidR="003A68A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D137E7" w:rsidRPr="00D137E7">
        <w:rPr>
          <w:rFonts w:ascii="Times New Roman" w:eastAsia="Times New Roman" w:hAnsi="Times New Roman" w:cs="Times New Roman"/>
          <w:b/>
          <w:sz w:val="24"/>
          <w:szCs w:val="24"/>
        </w:rPr>
        <w:t xml:space="preserve"> vzor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formulár</w:t>
      </w:r>
      <w:r w:rsidR="003A68A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D137E7" w:rsidRPr="00D137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37E7" w:rsidRPr="008C4C68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3A68A6">
        <w:rPr>
          <w:rFonts w:ascii="Times New Roman" w:eastAsia="Times New Roman" w:hAnsi="Times New Roman" w:cs="Times New Roman"/>
          <w:b/>
          <w:sz w:val="24"/>
          <w:szCs w:val="24"/>
        </w:rPr>
        <w:t> dôležitých zmluvných</w:t>
      </w:r>
      <w:r w:rsidR="00D137E7" w:rsidRPr="008C4C68">
        <w:rPr>
          <w:rFonts w:ascii="Times New Roman" w:eastAsia="Times New Roman" w:hAnsi="Times New Roman" w:cs="Times New Roman"/>
          <w:b/>
          <w:sz w:val="24"/>
          <w:szCs w:val="24"/>
        </w:rPr>
        <w:t> podmienkach uza</w:t>
      </w:r>
      <w:r w:rsidR="003A68A6">
        <w:rPr>
          <w:rFonts w:ascii="Times New Roman" w:eastAsia="Times New Roman" w:hAnsi="Times New Roman" w:cs="Times New Roman"/>
          <w:b/>
          <w:sz w:val="24"/>
          <w:szCs w:val="24"/>
        </w:rPr>
        <w:t>tváranej</w:t>
      </w:r>
      <w:r w:rsidR="00D137E7" w:rsidRPr="008C4C68">
        <w:rPr>
          <w:rFonts w:ascii="Times New Roman" w:eastAsia="Times New Roman" w:hAnsi="Times New Roman" w:cs="Times New Roman"/>
          <w:b/>
          <w:sz w:val="24"/>
          <w:szCs w:val="24"/>
        </w:rPr>
        <w:t xml:space="preserve"> poistnej zmluvy</w:t>
      </w:r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20C2"/>
          <w:sz w:val="28"/>
          <w:szCs w:val="28"/>
        </w:rPr>
      </w:pPr>
    </w:p>
    <w:p w:rsidR="00946AFC" w:rsidRDefault="00946A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C2"/>
          <w:sz w:val="28"/>
          <w:szCs w:val="28"/>
        </w:rPr>
      </w:pPr>
    </w:p>
    <w:p w:rsidR="00D137E7" w:rsidRPr="00D137E7" w:rsidRDefault="00946A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20C2"/>
          <w:sz w:val="28"/>
          <w:szCs w:val="28"/>
        </w:rPr>
        <w:tab/>
      </w:r>
      <w:r w:rsidR="00D137E7" w:rsidRPr="00D137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Národná banka Slovenska podľa </w:t>
      </w:r>
      <w:r w:rsidR="00D137E7">
        <w:rPr>
          <w:rFonts w:ascii="Times New Roman" w:eastAsia="Times New Roman" w:hAnsi="Times New Roman" w:cs="Times New Roman"/>
          <w:sz w:val="24"/>
          <w:szCs w:val="24"/>
        </w:rPr>
        <w:t>§ 70 ods. 4</w:t>
      </w:r>
      <w:r w:rsidR="00D137E7" w:rsidRPr="00D13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7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39/2015</w:t>
      </w:r>
      <w:r w:rsidR="00D137E7" w:rsidRPr="00D137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Z. z. o poisťovníctve a o zmene a doplnení niektorých zákonov ustanovuje:</w:t>
      </w:r>
    </w:p>
    <w:p w:rsidR="00D137E7" w:rsidRPr="00D137E7" w:rsidRDefault="00D137E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137E7" w:rsidRPr="00D137E7" w:rsidRDefault="00D137E7">
      <w:pPr>
        <w:tabs>
          <w:tab w:val="left" w:pos="0"/>
          <w:tab w:val="left" w:pos="567"/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37E7" w:rsidRPr="00D137E7" w:rsidRDefault="00D137E7">
      <w:pPr>
        <w:tabs>
          <w:tab w:val="left" w:pos="0"/>
          <w:tab w:val="left" w:pos="567"/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3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946AFC" w:rsidRDefault="00946AFC">
      <w:pPr>
        <w:tabs>
          <w:tab w:val="left" w:pos="0"/>
          <w:tab w:val="left" w:pos="567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ab/>
      </w:r>
    </w:p>
    <w:p w:rsidR="00300E5B" w:rsidRDefault="00946AFC">
      <w:pPr>
        <w:tabs>
          <w:tab w:val="left" w:pos="0"/>
          <w:tab w:val="left" w:pos="567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 CE" w:eastAsia="Times New Roman" w:hAnsi="TimesNewRomanPSMT CE" w:cs="TimesNewRomanPSMT CE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ab/>
      </w:r>
      <w:r w:rsidR="00D137E7" w:rsidRPr="00D137E7">
        <w:rPr>
          <w:rFonts w:ascii="TimesNewRomanPSMT" w:eastAsia="Times New Roman" w:hAnsi="TimesNewRomanPSMT" w:cs="TimesNewRomanPSMT"/>
          <w:sz w:val="24"/>
          <w:szCs w:val="24"/>
        </w:rPr>
        <w:t>Vzor</w:t>
      </w:r>
      <w:r w:rsidR="008C4C68">
        <w:rPr>
          <w:rFonts w:ascii="TimesNewRomanPSMT" w:eastAsia="Times New Roman" w:hAnsi="TimesNewRomanPSMT" w:cs="TimesNewRomanPSMT"/>
          <w:sz w:val="24"/>
          <w:szCs w:val="24"/>
        </w:rPr>
        <w:t>y formulárov</w:t>
      </w:r>
      <w:r w:rsidR="00D137E7" w:rsidRPr="00D137E7">
        <w:rPr>
          <w:rFonts w:ascii="TimesNewRomanPSMT" w:eastAsia="Times New Roman" w:hAnsi="TimesNewRomanPSMT" w:cs="TimesNewRomanPSMT"/>
          <w:sz w:val="24"/>
          <w:szCs w:val="24"/>
        </w:rPr>
        <w:t xml:space="preserve"> </w:t>
      </w:r>
      <w:r w:rsidR="00D137E7" w:rsidRPr="00D137E7">
        <w:rPr>
          <w:rFonts w:ascii="Times New Roman" w:eastAsia="Times New Roman" w:hAnsi="Times New Roman" w:cs="Times New Roman"/>
          <w:sz w:val="24"/>
          <w:szCs w:val="24"/>
        </w:rPr>
        <w:t>o</w:t>
      </w:r>
      <w:r w:rsidR="00E174BA">
        <w:rPr>
          <w:rFonts w:ascii="Times New Roman" w:eastAsia="Times New Roman" w:hAnsi="Times New Roman" w:cs="Times New Roman"/>
          <w:sz w:val="24"/>
          <w:szCs w:val="24"/>
        </w:rPr>
        <w:t xml:space="preserve"> dôležitých</w:t>
      </w:r>
      <w:r w:rsidR="00D137E7" w:rsidRPr="00D13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4BA">
        <w:rPr>
          <w:rFonts w:ascii="Times New Roman" w:eastAsia="Times New Roman" w:hAnsi="Times New Roman" w:cs="Times New Roman"/>
          <w:sz w:val="24"/>
          <w:szCs w:val="24"/>
        </w:rPr>
        <w:t xml:space="preserve">zmluvných </w:t>
      </w:r>
      <w:r w:rsidR="00D137E7" w:rsidRPr="00D137E7">
        <w:rPr>
          <w:rFonts w:ascii="Times New Roman" w:eastAsia="Times New Roman" w:hAnsi="Times New Roman" w:cs="Times New Roman"/>
          <w:sz w:val="24"/>
          <w:szCs w:val="24"/>
        </w:rPr>
        <w:t>podmienkach uza</w:t>
      </w:r>
      <w:r w:rsidR="00E174BA">
        <w:rPr>
          <w:rFonts w:ascii="Times New Roman" w:eastAsia="Times New Roman" w:hAnsi="Times New Roman" w:cs="Times New Roman"/>
          <w:sz w:val="24"/>
          <w:szCs w:val="24"/>
        </w:rPr>
        <w:t>tváranej</w:t>
      </w:r>
      <w:r w:rsidR="00D137E7" w:rsidRPr="00D137E7">
        <w:rPr>
          <w:rFonts w:ascii="Times New Roman" w:eastAsia="Times New Roman" w:hAnsi="Times New Roman" w:cs="Times New Roman"/>
          <w:sz w:val="24"/>
          <w:szCs w:val="24"/>
        </w:rPr>
        <w:t xml:space="preserve"> poistnej zmluvy</w:t>
      </w:r>
      <w:r w:rsidR="00E174BA">
        <w:rPr>
          <w:rFonts w:ascii="Times New Roman" w:eastAsia="Times New Roman" w:hAnsi="Times New Roman" w:cs="Times New Roman"/>
          <w:sz w:val="24"/>
          <w:szCs w:val="24"/>
        </w:rPr>
        <w:t>, s ktorými musí byť poistník oboznámený pred uzavretím poistnej zmluvy</w:t>
      </w:r>
      <w:r w:rsidR="00F55A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4C68">
        <w:rPr>
          <w:rFonts w:ascii="TimesNewRomanPSMT CE" w:eastAsia="Times New Roman" w:hAnsi="TimesNewRomanPSMT CE" w:cs="TimesNewRomanPSMT CE"/>
          <w:sz w:val="24"/>
          <w:szCs w:val="24"/>
        </w:rPr>
        <w:t xml:space="preserve"> sú uvedené v prílohách č. 1</w:t>
      </w:r>
      <w:r w:rsidR="00DC6326">
        <w:rPr>
          <w:rFonts w:ascii="TimesNewRomanPSMT CE" w:eastAsia="Times New Roman" w:hAnsi="TimesNewRomanPSMT CE" w:cs="TimesNewRomanPSMT CE"/>
          <w:sz w:val="24"/>
          <w:szCs w:val="24"/>
        </w:rPr>
        <w:t xml:space="preserve"> až 2</w:t>
      </w:r>
      <w:r w:rsidR="00300E5B">
        <w:rPr>
          <w:rFonts w:ascii="TimesNewRomanPSMT CE" w:eastAsia="Times New Roman" w:hAnsi="TimesNewRomanPSMT CE" w:cs="TimesNewRomanPSMT CE"/>
          <w:sz w:val="24"/>
          <w:szCs w:val="24"/>
        </w:rPr>
        <w:t>.</w:t>
      </w:r>
    </w:p>
    <w:p w:rsidR="00946AFC" w:rsidRPr="005558CD" w:rsidRDefault="00946AFC">
      <w:pPr>
        <w:tabs>
          <w:tab w:val="left" w:pos="0"/>
          <w:tab w:val="left" w:pos="567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946AFC" w:rsidRDefault="00946AFC">
      <w:pPr>
        <w:tabs>
          <w:tab w:val="left" w:pos="0"/>
          <w:tab w:val="left" w:pos="567"/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6AFC" w:rsidRPr="00D137E7" w:rsidRDefault="00C44B6A">
      <w:pPr>
        <w:tabs>
          <w:tab w:val="left" w:pos="0"/>
          <w:tab w:val="left" w:pos="567"/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946AFC" w:rsidRDefault="00946AFC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137E7" w:rsidRPr="00D137E7" w:rsidRDefault="00946AFC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D137E7" w:rsidRPr="00D13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Toto opatrenie nadobúda účinnosť </w:t>
      </w:r>
      <w:r w:rsidR="00FA40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januára </w:t>
      </w:r>
      <w:r w:rsidR="00D137E7" w:rsidRPr="00D137E7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137E7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D137E7" w:rsidRPr="00D137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37E7" w:rsidRPr="00D137E7" w:rsidRDefault="00D137E7">
      <w:pPr>
        <w:tabs>
          <w:tab w:val="left" w:pos="0"/>
          <w:tab w:val="left" w:pos="567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3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Jozef </w:t>
      </w:r>
      <w:proofErr w:type="spellStart"/>
      <w:r w:rsidRPr="00D13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Makúch</w:t>
      </w:r>
      <w:proofErr w:type="spellEnd"/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3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guvernér</w:t>
      </w:r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137E7" w:rsidRPr="00D137E7" w:rsidRDefault="00D137E7">
      <w:pPr>
        <w:autoSpaceDE w:val="0"/>
        <w:autoSpaceDN w:val="0"/>
        <w:adjustRightInd w:val="0"/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40D7E" w:rsidRDefault="00740D7E" w:rsidP="00740D7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40D7E" w:rsidRDefault="00740D7E" w:rsidP="0007376E">
      <w:pPr>
        <w:pStyle w:val="NoSpacing"/>
        <w:rPr>
          <w:rFonts w:ascii="Times New Roman" w:hAnsi="Times New Roman" w:cs="Times New Roman"/>
          <w:b/>
        </w:rPr>
      </w:pPr>
    </w:p>
    <w:p w:rsidR="00740D7E" w:rsidRDefault="00740D7E" w:rsidP="00740D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2EDD" w:rsidRDefault="00032EDD" w:rsidP="00740D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2EDD" w:rsidRDefault="00032EDD" w:rsidP="00740D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2EDD" w:rsidRDefault="00032EDD" w:rsidP="00740D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2EDD" w:rsidRDefault="00032EDD" w:rsidP="00740D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2EDD" w:rsidRPr="00740D7E" w:rsidRDefault="00032EDD" w:rsidP="00740D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7E7" w:rsidRPr="00D137E7" w:rsidRDefault="00D13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37E7">
        <w:rPr>
          <w:rFonts w:ascii="Times New Roman" w:eastAsia="Times New Roman" w:hAnsi="Times New Roman" w:cs="Times New Roman"/>
          <w:sz w:val="24"/>
          <w:szCs w:val="24"/>
        </w:rPr>
        <w:lastRenderedPageBreak/>
        <w:t>Príloha</w:t>
      </w:r>
      <w:r w:rsidR="008C4C68">
        <w:rPr>
          <w:rFonts w:ascii="Times New Roman" w:eastAsia="Times New Roman" w:hAnsi="Times New Roman" w:cs="Times New Roman"/>
          <w:sz w:val="24"/>
          <w:szCs w:val="24"/>
        </w:rPr>
        <w:t xml:space="preserve"> č. 1</w:t>
      </w:r>
      <w:r w:rsidRPr="00D137E7">
        <w:rPr>
          <w:rFonts w:ascii="Times New Roman" w:eastAsia="Times New Roman" w:hAnsi="Times New Roman" w:cs="Times New Roman"/>
          <w:sz w:val="24"/>
          <w:szCs w:val="24"/>
        </w:rPr>
        <w:t xml:space="preserve"> k opatreniu č. </w:t>
      </w:r>
      <w:r>
        <w:rPr>
          <w:rFonts w:ascii="Times New Roman" w:eastAsia="Times New Roman" w:hAnsi="Times New Roman" w:cs="Times New Roman"/>
          <w:sz w:val="24"/>
          <w:szCs w:val="24"/>
        </w:rPr>
        <w:t>.../2015</w:t>
      </w:r>
    </w:p>
    <w:p w:rsidR="00D137E7" w:rsidRDefault="00D137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8CD" w:rsidRPr="00D137E7" w:rsidRDefault="005558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77A8" w:rsidRDefault="00D1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7E7">
        <w:rPr>
          <w:rFonts w:ascii="Times New Roman" w:eastAsia="Times New Roman" w:hAnsi="Times New Roman" w:cs="Times New Roman"/>
          <w:b/>
          <w:sz w:val="24"/>
          <w:szCs w:val="24"/>
        </w:rPr>
        <w:t>Vzor formulára o</w:t>
      </w:r>
      <w:r w:rsidR="00E174BA">
        <w:rPr>
          <w:rFonts w:ascii="Times New Roman" w:eastAsia="Times New Roman" w:hAnsi="Times New Roman" w:cs="Times New Roman"/>
          <w:b/>
          <w:sz w:val="24"/>
          <w:szCs w:val="24"/>
        </w:rPr>
        <w:t xml:space="preserve"> dôležitých zmluvných </w:t>
      </w:r>
      <w:r w:rsidRPr="00D137E7">
        <w:rPr>
          <w:rFonts w:ascii="Times New Roman" w:eastAsia="Times New Roman" w:hAnsi="Times New Roman" w:cs="Times New Roman"/>
          <w:b/>
          <w:sz w:val="24"/>
          <w:szCs w:val="24"/>
        </w:rPr>
        <w:t>podmienkach uz</w:t>
      </w:r>
      <w:r w:rsidR="00E174BA">
        <w:rPr>
          <w:rFonts w:ascii="Times New Roman" w:eastAsia="Times New Roman" w:hAnsi="Times New Roman" w:cs="Times New Roman"/>
          <w:b/>
          <w:sz w:val="24"/>
          <w:szCs w:val="24"/>
        </w:rPr>
        <w:t>atváranej</w:t>
      </w:r>
      <w:r w:rsidRPr="00D137E7">
        <w:rPr>
          <w:rFonts w:ascii="Times New Roman" w:eastAsia="Times New Roman" w:hAnsi="Times New Roman" w:cs="Times New Roman"/>
          <w:b/>
          <w:sz w:val="24"/>
          <w:szCs w:val="24"/>
        </w:rPr>
        <w:t xml:space="preserve"> poistnej zmluvy</w:t>
      </w:r>
    </w:p>
    <w:p w:rsidR="00D137E7" w:rsidRPr="006B7E56" w:rsidRDefault="004A7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7E56">
        <w:rPr>
          <w:rFonts w:ascii="Times New Roman" w:eastAsia="Times New Roman" w:hAnsi="Times New Roman" w:cs="Times New Roman"/>
          <w:b/>
          <w:sz w:val="24"/>
          <w:szCs w:val="24"/>
        </w:rPr>
        <w:t>pri poistení osôb okrem poistenia pre prípad úrazu</w:t>
      </w:r>
    </w:p>
    <w:p w:rsidR="001C5769" w:rsidRDefault="001C5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4F4" w:rsidRPr="001C5769" w:rsidRDefault="007C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5769" w:rsidRPr="001C5769" w:rsidRDefault="001C5769" w:rsidP="006B7E56">
      <w:pPr>
        <w:pStyle w:val="ListParagraph"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769">
        <w:rPr>
          <w:rFonts w:ascii="Times New Roman" w:eastAsia="Times New Roman" w:hAnsi="Times New Roman" w:cs="Times New Roman"/>
          <w:b/>
          <w:sz w:val="24"/>
          <w:szCs w:val="24"/>
        </w:rPr>
        <w:t>Upozornenie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C5769" w:rsidTr="006B7E56">
        <w:tc>
          <w:tcPr>
            <w:tcW w:w="9180" w:type="dxa"/>
          </w:tcPr>
          <w:p w:rsidR="001C5769" w:rsidRPr="005558CD" w:rsidRDefault="001C5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</w:t>
            </w:r>
            <w:r w:rsidR="00DC6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formulár obsahuje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informácie, ktoré súvisia s uzatvorením</w:t>
            </w:r>
            <w:r w:rsidRPr="00D13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poistnej zmluvy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 sú poskytované v zmysle zákona č</w:t>
            </w:r>
            <w:r w:rsidR="00DC6326">
              <w:rPr>
                <w:rFonts w:ascii="Times New Roman" w:eastAsia="Times New Roman" w:hAnsi="Times New Roman" w:cs="Times New Roman"/>
                <w:sz w:val="24"/>
                <w:szCs w:val="24"/>
              </w:rPr>
              <w:t>. 39/2015 Z. z. o poisťovníctve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Cieľom dokumentu je pomôcť potenciálnemu klientovi pri pochopení povahy, obsahu, rizík, nákladov, možných výnosov a strát súvisiacich s poistným produktom. Formulár neobsahuje</w:t>
            </w:r>
            <w:r w:rsidRPr="00D13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úplný rozsah práv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 povinností, ktoré potenciálnemu klientovi</w:t>
            </w:r>
            <w:r w:rsidRPr="00D13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vyplýva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 z uzatvore</w:t>
            </w:r>
            <w:r w:rsidR="00DC6326">
              <w:rPr>
                <w:rFonts w:ascii="Times New Roman" w:eastAsia="Times New Roman" w:hAnsi="Times New Roman" w:cs="Times New Roman"/>
                <w:sz w:val="24"/>
                <w:szCs w:val="24"/>
              </w:rPr>
              <w:t>nia poistnej zmluvy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26555" w:rsidRDefault="00726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769" w:rsidRPr="001C5769" w:rsidRDefault="001C5769" w:rsidP="006B7E56">
      <w:pPr>
        <w:pStyle w:val="ListParagraph"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7E7">
        <w:rPr>
          <w:rFonts w:ascii="Times New Roman" w:eastAsia="Times New Roman" w:hAnsi="Times New Roman" w:cs="Times New Roman"/>
          <w:b/>
          <w:bCs/>
          <w:sz w:val="24"/>
          <w:szCs w:val="24"/>
        </w:rPr>
        <w:t>Informácie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137E7">
        <w:rPr>
          <w:rFonts w:ascii="Times New Roman" w:eastAsia="Times New Roman" w:hAnsi="Times New Roman" w:cs="Times New Roman"/>
          <w:b/>
          <w:bCs/>
          <w:sz w:val="24"/>
          <w:szCs w:val="24"/>
        </w:rPr>
        <w:t>poisťovateľovi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kontaktné údaje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3"/>
        <w:gridCol w:w="4567"/>
      </w:tblGrid>
      <w:tr w:rsidR="005B568B" w:rsidTr="006B7E56">
        <w:tc>
          <w:tcPr>
            <w:tcW w:w="4613" w:type="dxa"/>
          </w:tcPr>
          <w:p w:rsidR="005B568B" w:rsidRPr="001C5769" w:rsidRDefault="005B5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769">
              <w:rPr>
                <w:rFonts w:ascii="Times New Roman" w:eastAsia="Times New Roman" w:hAnsi="Times New Roman" w:cs="Times New Roman"/>
                <w:sz w:val="24"/>
                <w:szCs w:val="24"/>
              </w:rPr>
              <w:t>Obchodné meno a právna forma poisťovateľa:</w:t>
            </w:r>
          </w:p>
        </w:tc>
        <w:tc>
          <w:tcPr>
            <w:tcW w:w="4567" w:type="dxa"/>
            <w:vMerge w:val="restart"/>
          </w:tcPr>
          <w:p w:rsidR="005B568B" w:rsidRPr="001C5769" w:rsidRDefault="005B5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8B" w:rsidRDefault="005B5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8B" w:rsidRDefault="005B5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8B" w:rsidRDefault="005B5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8B" w:rsidRDefault="005B5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8B" w:rsidRDefault="005B5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8B" w:rsidRDefault="005B5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8B" w:rsidRDefault="005B5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8B" w:rsidRPr="001C5769" w:rsidRDefault="005B56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68B" w:rsidTr="006B7E56">
        <w:tc>
          <w:tcPr>
            <w:tcW w:w="4613" w:type="dxa"/>
          </w:tcPr>
          <w:p w:rsidR="005B568B" w:rsidRPr="001C5769" w:rsidRDefault="005B5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769">
              <w:rPr>
                <w:rFonts w:ascii="Times New Roman" w:eastAsia="Times New Roman" w:hAnsi="Times New Roman" w:cs="Times New Roman"/>
                <w:sz w:val="24"/>
                <w:szCs w:val="24"/>
              </w:rPr>
              <w:t>Názov štátu, kde sa nachádza sídlo poisťovateľa a názov štátu, kde sa nachádza pobočka poisťovateľa, ktorá uzaviera poistnú zmluvu:</w:t>
            </w:r>
          </w:p>
        </w:tc>
        <w:tc>
          <w:tcPr>
            <w:tcW w:w="4567" w:type="dxa"/>
            <w:vMerge/>
          </w:tcPr>
          <w:p w:rsidR="005B568B" w:rsidRPr="001C5769" w:rsidRDefault="005B56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68B" w:rsidTr="006B7E56">
        <w:tc>
          <w:tcPr>
            <w:tcW w:w="4613" w:type="dxa"/>
          </w:tcPr>
          <w:p w:rsidR="005B568B" w:rsidRPr="001C5769" w:rsidRDefault="005B5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769">
              <w:rPr>
                <w:rFonts w:ascii="Times New Roman" w:eastAsia="Times New Roman" w:hAnsi="Times New Roman" w:cs="Times New Roman"/>
                <w:sz w:val="24"/>
                <w:szCs w:val="24"/>
              </w:rPr>
              <w:t>Sídlo poisťovateľa a adresa umiestnenia pobočky poisťovateľa, ktorá uzaviera poistnú zmluvu:</w:t>
            </w:r>
          </w:p>
        </w:tc>
        <w:tc>
          <w:tcPr>
            <w:tcW w:w="4567" w:type="dxa"/>
            <w:vMerge/>
          </w:tcPr>
          <w:p w:rsidR="005B568B" w:rsidRPr="001C5769" w:rsidRDefault="005B56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68B" w:rsidTr="006B7E56">
        <w:tc>
          <w:tcPr>
            <w:tcW w:w="4613" w:type="dxa"/>
          </w:tcPr>
          <w:p w:rsidR="005B568B" w:rsidRPr="001C5769" w:rsidRDefault="005B5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769">
              <w:rPr>
                <w:rFonts w:ascii="Times New Roman" w:eastAsia="Times New Roman" w:hAnsi="Times New Roman" w:cs="Times New Roman"/>
                <w:sz w:val="24"/>
                <w:szCs w:val="24"/>
              </w:rPr>
              <w:t>Telefónne číslo:</w:t>
            </w:r>
          </w:p>
        </w:tc>
        <w:tc>
          <w:tcPr>
            <w:tcW w:w="4567" w:type="dxa"/>
            <w:vMerge/>
          </w:tcPr>
          <w:p w:rsidR="005B568B" w:rsidRPr="001C5769" w:rsidRDefault="005B56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68B" w:rsidTr="006B7E56">
        <w:tc>
          <w:tcPr>
            <w:tcW w:w="4613" w:type="dxa"/>
          </w:tcPr>
          <w:p w:rsidR="005B568B" w:rsidRPr="001C5769" w:rsidRDefault="005B5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E-mailová adresa:</w:t>
            </w:r>
          </w:p>
        </w:tc>
        <w:tc>
          <w:tcPr>
            <w:tcW w:w="4567" w:type="dxa"/>
            <w:vMerge/>
          </w:tcPr>
          <w:p w:rsidR="005B568B" w:rsidRPr="001C5769" w:rsidRDefault="005B56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68B" w:rsidTr="006B7E56">
        <w:tc>
          <w:tcPr>
            <w:tcW w:w="4613" w:type="dxa"/>
          </w:tcPr>
          <w:p w:rsidR="005B568B" w:rsidRPr="001C5769" w:rsidRDefault="005B5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Webové sídlo:</w:t>
            </w:r>
          </w:p>
        </w:tc>
        <w:tc>
          <w:tcPr>
            <w:tcW w:w="4567" w:type="dxa"/>
            <w:vMerge/>
          </w:tcPr>
          <w:p w:rsidR="005B568B" w:rsidRPr="001C5769" w:rsidRDefault="005B56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5769" w:rsidRDefault="001C5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B568B" w:rsidRPr="001C5769" w:rsidRDefault="005B568B" w:rsidP="006B7E56">
      <w:pPr>
        <w:pStyle w:val="ListParagraph"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7E7">
        <w:rPr>
          <w:rFonts w:ascii="Times New Roman" w:eastAsia="Times New Roman" w:hAnsi="Times New Roman" w:cs="Times New Roman"/>
          <w:b/>
          <w:bCs/>
          <w:sz w:val="24"/>
          <w:szCs w:val="24"/>
        </w:rPr>
        <w:t>Charakteristika poistnej zmluvy</w:t>
      </w:r>
      <w:r w:rsidR="00E63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 dôležité zmluvné podmienky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4"/>
        <w:gridCol w:w="4646"/>
      </w:tblGrid>
      <w:tr w:rsidR="005B568B" w:rsidTr="006C19E9">
        <w:trPr>
          <w:trHeight w:val="282"/>
        </w:trPr>
        <w:tc>
          <w:tcPr>
            <w:tcW w:w="4534" w:type="dxa"/>
          </w:tcPr>
          <w:p w:rsidR="005B568B" w:rsidRDefault="005B568B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7F00">
              <w:rPr>
                <w:rFonts w:ascii="Times New Roman" w:eastAsia="Times New Roman" w:hAnsi="Times New Roman" w:cs="Times New Roman"/>
                <w:sz w:val="24"/>
                <w:szCs w:val="24"/>
              </w:rPr>
              <w:t>Názov poistného produktu</w:t>
            </w:r>
            <w:r w:rsidRPr="00BE799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6" w:type="dxa"/>
          </w:tcPr>
          <w:p w:rsidR="005B568B" w:rsidRDefault="005B568B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B568B" w:rsidTr="006B7E56">
        <w:tc>
          <w:tcPr>
            <w:tcW w:w="4534" w:type="dxa"/>
          </w:tcPr>
          <w:p w:rsidR="00530E9B" w:rsidRPr="00530E9B" w:rsidRDefault="00DC1524" w:rsidP="00530E9B">
            <w:pPr>
              <w:pStyle w:val="Default"/>
              <w:jc w:val="both"/>
            </w:pPr>
            <w:r>
              <w:t>Popis poistného produktu</w:t>
            </w:r>
            <w:r w:rsidR="00530E9B" w:rsidRPr="00530E9B">
              <w:t>:</w:t>
            </w:r>
          </w:p>
          <w:p w:rsidR="00530E9B" w:rsidRPr="00530E9B" w:rsidRDefault="00530E9B" w:rsidP="00530E9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5B568B" w:rsidRPr="005B568B" w:rsidRDefault="005B56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6" w:type="dxa"/>
          </w:tcPr>
          <w:p w:rsidR="00DC1524" w:rsidRPr="00DC1524" w:rsidRDefault="00DC1524" w:rsidP="00DC1524">
            <w:pPr>
              <w:pStyle w:val="ListParagraph"/>
              <w:numPr>
                <w:ilvl w:val="0"/>
                <w:numId w:val="18"/>
              </w:numPr>
              <w:tabs>
                <w:tab w:val="left" w:pos="461"/>
              </w:tabs>
              <w:ind w:left="17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popis poistenia alebo súboru poistení, ktoré sú pevnou súčasťou poistného produktu a</w:t>
            </w:r>
            <w:r w:rsidR="002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ak bude poistná zmluva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dojednaná, budú v nej zahrnuté; </w:t>
            </w:r>
            <w:r w:rsidR="002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môže obsahovať </w:t>
            </w:r>
            <w:r w:rsidRPr="00DC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 popis poistenia alebo súboru poistení, ktoré nie  sú pevnou súčasťou poistného produktu</w:t>
            </w:r>
            <w:r w:rsidR="002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 je na rozhodnutí poistníka, či sa stanú súčasťou poistnej zmluvy,</w:t>
            </w:r>
          </w:p>
          <w:p w:rsidR="000A20EE" w:rsidRDefault="007A5C90" w:rsidP="00DC1524">
            <w:pPr>
              <w:numPr>
                <w:ilvl w:val="0"/>
                <w:numId w:val="18"/>
              </w:numPr>
              <w:tabs>
                <w:tab w:val="left" w:pos="461"/>
              </w:tabs>
              <w:ind w:left="17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všeobecná informácia o poistnej dobe a poistnom období</w:t>
            </w:r>
            <w:r w:rsidR="00AE0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568B" w:rsidRPr="00D137E7" w:rsidRDefault="000A20EE" w:rsidP="00DC1524">
            <w:pPr>
              <w:numPr>
                <w:ilvl w:val="0"/>
                <w:numId w:val="18"/>
              </w:numPr>
              <w:tabs>
                <w:tab w:val="left" w:pos="461"/>
              </w:tabs>
              <w:ind w:left="17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poistné riziká</w:t>
            </w:r>
            <w:r w:rsidR="00AE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B568B" w:rsidRDefault="005B568B" w:rsidP="00DC1524">
            <w:pPr>
              <w:numPr>
                <w:ilvl w:val="0"/>
                <w:numId w:val="18"/>
              </w:numPr>
              <w:tabs>
                <w:tab w:val="left" w:pos="461"/>
              </w:tabs>
              <w:ind w:left="17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všeobecná charakteristika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oistného plnenia</w:t>
            </w:r>
            <w:r w:rsidR="00AE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B568B" w:rsidRPr="00530E9B" w:rsidRDefault="000A20EE" w:rsidP="00DC1524">
            <w:pPr>
              <w:numPr>
                <w:ilvl w:val="0"/>
                <w:numId w:val="18"/>
              </w:numPr>
              <w:tabs>
                <w:tab w:val="left" w:pos="461"/>
              </w:tabs>
              <w:ind w:left="17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iné</w:t>
            </w:r>
            <w:r w:rsidR="00AE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A20EE" w:rsidTr="006B7E56">
        <w:tc>
          <w:tcPr>
            <w:tcW w:w="4534" w:type="dxa"/>
          </w:tcPr>
          <w:p w:rsidR="000A20EE" w:rsidRPr="000A20EE" w:rsidRDefault="005436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A20EE" w:rsidRPr="000A20EE">
              <w:rPr>
                <w:rFonts w:ascii="Times New Roman" w:hAnsi="Times New Roman" w:cs="Times New Roman"/>
                <w:sz w:val="24"/>
                <w:szCs w:val="24"/>
              </w:rPr>
              <w:t>pôsob určenia výšky poistného plnenia</w:t>
            </w:r>
            <w:r w:rsidR="000A20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6" w:type="dxa"/>
          </w:tcPr>
          <w:p w:rsidR="000A20EE" w:rsidRPr="001C5769" w:rsidRDefault="00832C24" w:rsidP="004D0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[Uviesť všeobecne</w:t>
            </w:r>
            <w:r w:rsidR="00AB67BF">
              <w:rPr>
                <w:rFonts w:ascii="Times New Roman" w:hAnsi="Times New Roman" w:cs="Times New Roman"/>
                <w:sz w:val="24"/>
                <w:szCs w:val="24"/>
              </w:rPr>
              <w:t xml:space="preserve"> s vysvetlením, že stanovenie výšky poistného plnenia závisí od dojednaných skutočností </w:t>
            </w:r>
            <w:r w:rsidR="004D0BF7">
              <w:rPr>
                <w:rFonts w:ascii="Times New Roman" w:hAnsi="Times New Roman" w:cs="Times New Roman"/>
                <w:sz w:val="24"/>
                <w:szCs w:val="24"/>
              </w:rPr>
              <w:t>a súm v konkrétnej poistnej zmluve</w:t>
            </w:r>
            <w:r w:rsidR="00AB67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B39D3">
              <w:rPr>
                <w:rFonts w:ascii="Times New Roman" w:hAnsi="Times New Roman" w:cs="Times New Roman"/>
                <w:sz w:val="24"/>
                <w:szCs w:val="24"/>
              </w:rPr>
              <w:t xml:space="preserve"> pri investičnom životnom poistení uviesť, že výška poistného plnenia </w:t>
            </w:r>
            <w:r w:rsidR="009B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závisí od </w:t>
            </w:r>
            <w:r w:rsidR="008477D1">
              <w:rPr>
                <w:rFonts w:ascii="Times New Roman" w:hAnsi="Times New Roman" w:cs="Times New Roman"/>
                <w:sz w:val="24"/>
                <w:szCs w:val="24"/>
              </w:rPr>
              <w:t xml:space="preserve">počtu a </w:t>
            </w:r>
            <w:r w:rsidR="009B39D3">
              <w:rPr>
                <w:rFonts w:ascii="Times New Roman" w:hAnsi="Times New Roman" w:cs="Times New Roman"/>
                <w:sz w:val="24"/>
                <w:szCs w:val="24"/>
              </w:rPr>
              <w:t>hodnoty podielových jednotiek;</w:t>
            </w:r>
            <w:r w:rsidR="00AB67BF">
              <w:rPr>
                <w:rFonts w:ascii="Times New Roman" w:hAnsi="Times New Roman" w:cs="Times New Roman"/>
                <w:sz w:val="24"/>
                <w:szCs w:val="24"/>
              </w:rPr>
              <w:t xml:space="preserve"> pri trvalých následkoch úrazu je maximálna suma stanovená na základe  oceňovacích tabuliek, atď.]</w:t>
            </w:r>
          </w:p>
        </w:tc>
      </w:tr>
      <w:tr w:rsidR="005B568B" w:rsidTr="006B7E56">
        <w:tc>
          <w:tcPr>
            <w:tcW w:w="4534" w:type="dxa"/>
          </w:tcPr>
          <w:p w:rsidR="005B568B" w:rsidRPr="00DF7F00" w:rsidRDefault="005B5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</w:t>
            </w:r>
            <w:r w:rsidRPr="005B5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odmienky, za ktorých nevzniká poisťovateľovi povinnosť poskytnúť poistné plnenie, alebo je poisťovateľ oprávnený poistné plnenie znížiť:</w:t>
            </w:r>
          </w:p>
        </w:tc>
        <w:tc>
          <w:tcPr>
            <w:tcW w:w="4646" w:type="dxa"/>
          </w:tcPr>
          <w:p w:rsidR="005B568B" w:rsidRPr="00BA78BD" w:rsidRDefault="005B568B" w:rsidP="001166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6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Uviesť podmienky</w:t>
            </w:r>
            <w:r w:rsidR="00116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 odkaz na dokument, kde sú uvedené </w:t>
            </w:r>
            <w:r w:rsidR="00BB0720">
              <w:rPr>
                <w:rFonts w:ascii="Times New Roman" w:hAnsi="Times New Roman" w:cs="Times New Roman"/>
                <w:sz w:val="24"/>
                <w:szCs w:val="24"/>
              </w:rPr>
              <w:t>podrobnosti o týchto podmienkach</w:t>
            </w:r>
            <w:r w:rsidR="008477D1">
              <w:rPr>
                <w:rFonts w:ascii="Times New Roman" w:hAnsi="Times New Roman" w:cs="Times New Roman"/>
                <w:sz w:val="24"/>
                <w:szCs w:val="24"/>
              </w:rPr>
              <w:t>. U</w:t>
            </w:r>
            <w:r w:rsidR="00BA78BD">
              <w:rPr>
                <w:rFonts w:ascii="Times New Roman" w:hAnsi="Times New Roman" w:cs="Times New Roman"/>
                <w:sz w:val="24"/>
                <w:szCs w:val="24"/>
              </w:rPr>
              <w:t>viesť</w:t>
            </w:r>
            <w:r w:rsidR="00832C24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DC1524">
              <w:rPr>
                <w:rFonts w:ascii="Times New Roman" w:hAnsi="Times New Roman" w:cs="Times New Roman"/>
                <w:sz w:val="24"/>
                <w:szCs w:val="24"/>
              </w:rPr>
              <w:t xml:space="preserve">pozornenie, že existujú  výluky z poistenia </w:t>
            </w:r>
            <w:r w:rsidR="00832C24">
              <w:rPr>
                <w:rFonts w:ascii="Times New Roman" w:hAnsi="Times New Roman" w:cs="Times New Roman"/>
                <w:sz w:val="24"/>
                <w:szCs w:val="24"/>
              </w:rPr>
              <w:t>a uviesť odkaz na konkrétne ustanovenia</w:t>
            </w:r>
            <w:r w:rsidR="0016695F">
              <w:rPr>
                <w:rFonts w:ascii="Times New Roman" w:hAnsi="Times New Roman" w:cs="Times New Roman"/>
                <w:sz w:val="24"/>
                <w:szCs w:val="24"/>
              </w:rPr>
              <w:t xml:space="preserve"> (všeobecných)</w:t>
            </w:r>
            <w:r w:rsidR="00832C24">
              <w:rPr>
                <w:rFonts w:ascii="Times New Roman" w:hAnsi="Times New Roman" w:cs="Times New Roman"/>
                <w:sz w:val="24"/>
                <w:szCs w:val="24"/>
              </w:rPr>
              <w:t xml:space="preserve"> poistných podmienok</w:t>
            </w:r>
            <w:r w:rsidR="00FB7B58">
              <w:rPr>
                <w:rFonts w:ascii="Times New Roman" w:hAnsi="Times New Roman" w:cs="Times New Roman"/>
                <w:sz w:val="24"/>
                <w:szCs w:val="24"/>
              </w:rPr>
              <w:t xml:space="preserve"> a zmluvných dojednaní</w:t>
            </w:r>
            <w:r w:rsidR="00BA7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33B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5B568B" w:rsidTr="006B7E56">
        <w:tc>
          <w:tcPr>
            <w:tcW w:w="4534" w:type="dxa"/>
          </w:tcPr>
          <w:p w:rsidR="005B568B" w:rsidRDefault="005B56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Informácia</w:t>
            </w:r>
            <w:r w:rsidR="00E5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</w:t>
            </w:r>
            <w:r w:rsidR="0054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spôsobe</w:t>
            </w:r>
            <w:r w:rsidR="0054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stanovenia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platenia poistného</w:t>
            </w:r>
            <w:r w:rsidR="00AD5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jeho splatnosti a </w:t>
            </w:r>
            <w:r w:rsidRPr="00D1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 dôsledkoch nezaplatenia poistného:</w:t>
            </w:r>
          </w:p>
        </w:tc>
        <w:tc>
          <w:tcPr>
            <w:tcW w:w="4646" w:type="dxa"/>
          </w:tcPr>
          <w:p w:rsidR="005B568B" w:rsidRPr="001C5769" w:rsidRDefault="000A1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6266D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32C24">
              <w:rPr>
                <w:rFonts w:ascii="Times New Roman" w:hAnsi="Times New Roman" w:cs="Times New Roman"/>
                <w:sz w:val="24"/>
                <w:szCs w:val="24"/>
              </w:rPr>
              <w:t xml:space="preserve">viesť, že </w:t>
            </w:r>
            <w:r w:rsidR="006266D4">
              <w:rPr>
                <w:rFonts w:ascii="Times New Roman" w:hAnsi="Times New Roman" w:cs="Times New Roman"/>
                <w:sz w:val="24"/>
                <w:szCs w:val="24"/>
              </w:rPr>
              <w:t>výška</w:t>
            </w:r>
            <w:r w:rsidR="00AD5F6F">
              <w:rPr>
                <w:rFonts w:ascii="Times New Roman" w:hAnsi="Times New Roman" w:cs="Times New Roman"/>
                <w:sz w:val="24"/>
                <w:szCs w:val="24"/>
              </w:rPr>
              <w:t xml:space="preserve"> poistného</w:t>
            </w:r>
            <w:r w:rsidR="00832C24">
              <w:rPr>
                <w:rFonts w:ascii="Times New Roman" w:hAnsi="Times New Roman" w:cs="Times New Roman"/>
                <w:sz w:val="24"/>
                <w:szCs w:val="24"/>
              </w:rPr>
              <w:t xml:space="preserve"> sa stanoví</w:t>
            </w:r>
            <w:r w:rsidR="00BD4309">
              <w:rPr>
                <w:rFonts w:ascii="Times New Roman" w:hAnsi="Times New Roman" w:cs="Times New Roman"/>
                <w:sz w:val="24"/>
                <w:szCs w:val="24"/>
              </w:rPr>
              <w:t xml:space="preserve"> napr. </w:t>
            </w:r>
            <w:r w:rsidR="00832C24">
              <w:rPr>
                <w:rFonts w:ascii="Times New Roman" w:hAnsi="Times New Roman" w:cs="Times New Roman"/>
                <w:sz w:val="24"/>
                <w:szCs w:val="24"/>
              </w:rPr>
              <w:t xml:space="preserve"> na základe poistnej sumy, poistnej doby, zdravotného stavu, vstupného veku, počtu a druhu poistných rizík, ktoré budú dojednané v poistnej zmluve (hlavné poistenie, pri</w:t>
            </w:r>
            <w:r w:rsidR="00604106">
              <w:rPr>
                <w:rFonts w:ascii="Times New Roman" w:hAnsi="Times New Roman" w:cs="Times New Roman"/>
                <w:sz w:val="24"/>
                <w:szCs w:val="24"/>
              </w:rPr>
              <w:t>poist</w:t>
            </w:r>
            <w:r w:rsidR="00832C24">
              <w:rPr>
                <w:rFonts w:ascii="Times New Roman" w:hAnsi="Times New Roman" w:cs="Times New Roman"/>
                <w:sz w:val="24"/>
                <w:szCs w:val="24"/>
              </w:rPr>
              <w:t>enia)</w:t>
            </w:r>
            <w:r w:rsidR="00626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2C24">
              <w:rPr>
                <w:rFonts w:ascii="Times New Roman" w:hAnsi="Times New Roman" w:cs="Times New Roman"/>
                <w:sz w:val="24"/>
                <w:szCs w:val="24"/>
              </w:rPr>
              <w:t xml:space="preserve"> Pri investičnom životnom poistení uviesť, že </w:t>
            </w:r>
            <w:r w:rsidR="002B31DA">
              <w:rPr>
                <w:rFonts w:ascii="Times New Roman" w:hAnsi="Times New Roman" w:cs="Times New Roman"/>
                <w:sz w:val="24"/>
                <w:szCs w:val="24"/>
              </w:rPr>
              <w:t>poistné</w:t>
            </w:r>
            <w:r w:rsidR="00604106">
              <w:rPr>
                <w:rFonts w:ascii="Times New Roman" w:hAnsi="Times New Roman" w:cs="Times New Roman"/>
                <w:sz w:val="24"/>
                <w:szCs w:val="24"/>
              </w:rPr>
              <w:t xml:space="preserve"> je určené </w:t>
            </w:r>
            <w:r w:rsidR="002B31DA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="00604106">
              <w:rPr>
                <w:rFonts w:ascii="Times New Roman" w:hAnsi="Times New Roman" w:cs="Times New Roman"/>
                <w:sz w:val="24"/>
                <w:szCs w:val="24"/>
              </w:rPr>
              <w:t>len na krytie rizika, ale aj na investovanie, pričom výška poistného plnenia je stanovená podľa počtu</w:t>
            </w:r>
            <w:r w:rsidR="008477D1">
              <w:rPr>
                <w:rFonts w:ascii="Times New Roman" w:hAnsi="Times New Roman" w:cs="Times New Roman"/>
                <w:sz w:val="24"/>
                <w:szCs w:val="24"/>
              </w:rPr>
              <w:t xml:space="preserve"> a hodnoty</w:t>
            </w:r>
            <w:r w:rsidR="00604106">
              <w:rPr>
                <w:rFonts w:ascii="Times New Roman" w:hAnsi="Times New Roman" w:cs="Times New Roman"/>
                <w:sz w:val="24"/>
                <w:szCs w:val="24"/>
              </w:rPr>
              <w:t xml:space="preserve"> podielových jednotiek.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1639C0" w:rsidTr="006B7E56">
        <w:tc>
          <w:tcPr>
            <w:tcW w:w="4534" w:type="dxa"/>
          </w:tcPr>
          <w:p w:rsidR="001639C0" w:rsidRPr="000A20EE" w:rsidRDefault="00674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Doplnkové administratívne služby, ktorých spoplatnenie nie je zahrnuté v poistnom, poplatky </w:t>
            </w:r>
            <w:r w:rsidR="0003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 nimi spojené  a spôsob sprístupňovania informácií o ich zmene:</w:t>
            </w:r>
          </w:p>
        </w:tc>
        <w:tc>
          <w:tcPr>
            <w:tcW w:w="4646" w:type="dxa"/>
          </w:tcPr>
          <w:p w:rsidR="001639C0" w:rsidRPr="001639C0" w:rsidRDefault="000343C6">
            <w:pPr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769" w:rsidDel="0003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39C0" w:rsidTr="006B7E56">
        <w:tc>
          <w:tcPr>
            <w:tcW w:w="4534" w:type="dxa"/>
          </w:tcPr>
          <w:p w:rsidR="001639C0" w:rsidRPr="00D137E7" w:rsidRDefault="006041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Spôsoby zániku poistnej zmluvy:</w:t>
            </w:r>
          </w:p>
        </w:tc>
        <w:tc>
          <w:tcPr>
            <w:tcW w:w="4646" w:type="dxa"/>
          </w:tcPr>
          <w:p w:rsidR="001639C0" w:rsidRPr="001C5769" w:rsidRDefault="00604106" w:rsidP="002B4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[Vymenovať s uvedením odkazov na všeobecne záväzné právne predpisy, </w:t>
            </w:r>
            <w:r w:rsidR="00375353">
              <w:rPr>
                <w:rFonts w:ascii="Times New Roman" w:hAnsi="Times New Roman" w:cs="Times New Roman"/>
                <w:sz w:val="24"/>
                <w:szCs w:val="24"/>
              </w:rPr>
              <w:t xml:space="preserve">(všeobecné) </w:t>
            </w:r>
            <w:r w:rsidR="00F6396A">
              <w:rPr>
                <w:rFonts w:ascii="Times New Roman" w:hAnsi="Times New Roman" w:cs="Times New Roman"/>
                <w:sz w:val="24"/>
                <w:szCs w:val="24"/>
              </w:rPr>
              <w:t xml:space="preserve">poistné podmienky,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zmluvné dojednania</w:t>
            </w:r>
            <w:r w:rsidR="00F6396A">
              <w:rPr>
                <w:rFonts w:ascii="Times New Roman" w:hAnsi="Times New Roman" w:cs="Times New Roman"/>
                <w:sz w:val="24"/>
                <w:szCs w:val="24"/>
              </w:rPr>
              <w:t xml:space="preserve"> a podmienky dojednané v poistnej zmluve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.]</w:t>
            </w:r>
          </w:p>
        </w:tc>
      </w:tr>
      <w:tr w:rsidR="001639C0" w:rsidTr="006B7E56">
        <w:tc>
          <w:tcPr>
            <w:tcW w:w="4534" w:type="dxa"/>
          </w:tcPr>
          <w:p w:rsidR="001639C0" w:rsidRPr="005B568B" w:rsidRDefault="0016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1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Ďalšie podmienky uzavretia poistnej zmluvy:</w:t>
            </w:r>
          </w:p>
        </w:tc>
        <w:tc>
          <w:tcPr>
            <w:tcW w:w="4646" w:type="dxa"/>
          </w:tcPr>
          <w:p w:rsidR="001639C0" w:rsidRPr="001C5769" w:rsidRDefault="0003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[Akékoľvek iné podmienky uzavretia poistnej zmluvy, ktoré nie sú uvedené v ostatných bodoch formulára a ich doplnenie považuje poisťovňa za vhodné vzhľadom na povahu poistného produktu</w:t>
            </w:r>
            <w:r w:rsidR="00BA7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1639C0" w:rsidTr="006B7E56">
        <w:tc>
          <w:tcPr>
            <w:tcW w:w="4534" w:type="dxa"/>
          </w:tcPr>
          <w:p w:rsidR="001639C0" w:rsidRPr="001639C0" w:rsidRDefault="0016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Upozornenie na ustanovenia poistnej zmluvy, ktoré umožňujú poisťovateľovi vykonávať </w:t>
            </w:r>
            <w:r w:rsidR="0003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zmeny poistnej zmluvy v zmysle platných právnych predpisov bez súhlasu druhej zmluvnej strany:</w:t>
            </w:r>
          </w:p>
        </w:tc>
        <w:tc>
          <w:tcPr>
            <w:tcW w:w="4646" w:type="dxa"/>
          </w:tcPr>
          <w:p w:rsidR="00C22047" w:rsidRPr="00A233BE" w:rsidRDefault="00C220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6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Uviesť stručne podmienky a dôvody jednostrannej zmeny a odkaz na dokument, kde sú uvedené podrobnosti o týchto skutočnostiach</w:t>
            </w:r>
            <w:r w:rsidR="00BA7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33B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1639C0" w:rsidRPr="001639C0" w:rsidRDefault="001639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9C0" w:rsidTr="006B7E56">
        <w:tc>
          <w:tcPr>
            <w:tcW w:w="4534" w:type="dxa"/>
          </w:tcPr>
          <w:p w:rsidR="001639C0" w:rsidRPr="005B568B" w:rsidRDefault="0016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03D41">
              <w:rPr>
                <w:rFonts w:ascii="Times New Roman" w:eastAsia="Times New Roman" w:hAnsi="Times New Roman" w:cs="Times New Roman"/>
                <w:sz w:val="24"/>
                <w:szCs w:val="24"/>
              </w:rPr>
              <w:t>Ďalšie informácie a poučenia umožňujúce pochopiť riziká spojené s poistnou zmluvou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6" w:type="dxa"/>
          </w:tcPr>
          <w:p w:rsidR="001639C0" w:rsidRPr="001C5769" w:rsidRDefault="001639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90" w:rsidTr="006B7E56">
        <w:tc>
          <w:tcPr>
            <w:tcW w:w="4534" w:type="dxa"/>
          </w:tcPr>
          <w:p w:rsidR="00EC2D90" w:rsidRPr="00A03D41" w:rsidRDefault="00EC2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90">
              <w:rPr>
                <w:rFonts w:ascii="Times New Roman" w:eastAsia="Times New Roman" w:hAnsi="Times New Roman" w:cs="Times New Roman"/>
                <w:sz w:val="24"/>
                <w:szCs w:val="24"/>
              </w:rPr>
              <w:t>Ďalšie výhody, ktoré môžu byť poistnou zmluvou dojednané:</w:t>
            </w:r>
          </w:p>
        </w:tc>
        <w:tc>
          <w:tcPr>
            <w:tcW w:w="4646" w:type="dxa"/>
          </w:tcPr>
          <w:p w:rsidR="00EC2D90" w:rsidRPr="001C5769" w:rsidRDefault="00EC2D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68B" w:rsidRDefault="005B5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5482D" w:rsidTr="00036369">
        <w:tc>
          <w:tcPr>
            <w:tcW w:w="9214" w:type="dxa"/>
          </w:tcPr>
          <w:p w:rsidR="00D5482D" w:rsidRDefault="00D5482D" w:rsidP="00BD4309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548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Upozornenie: </w:t>
            </w:r>
            <w:r w:rsidR="006C36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Podľa</w:t>
            </w:r>
            <w:r w:rsidR="006C3607" w:rsidRPr="00D548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§ 792a ods. 5 Občianskeho zákonníka </w:t>
            </w:r>
            <w:r w:rsidR="006C36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D548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 poisťovňa poskytne údaje týkajúce sa možných platieb nad rámec dohodnutých platieb podľa poistnej zmluvy,</w:t>
            </w:r>
            <w:r w:rsidR="00BD43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poisťovňa je povinná poskytnúť Vám</w:t>
            </w:r>
            <w:r w:rsidRPr="00D548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vzorový prepočet, pri ktorom sa možné poistné plnenie bez zmeny iných častí výpočtu vypočíta s t</w:t>
            </w:r>
            <w:r w:rsidR="001D09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romi rôzn</w:t>
            </w:r>
            <w:r w:rsidR="00BD43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ymi úrokovými sadzbami.</w:t>
            </w:r>
          </w:p>
        </w:tc>
      </w:tr>
    </w:tbl>
    <w:p w:rsidR="00D5482D" w:rsidRDefault="00D5482D" w:rsidP="00F0590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A20EE" w:rsidRPr="001C5769" w:rsidRDefault="000A20EE" w:rsidP="006B7E56">
      <w:pPr>
        <w:pStyle w:val="ListParagraph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Dodatočné </w:t>
      </w:r>
      <w:r w:rsidRPr="005B568B">
        <w:rPr>
          <w:rFonts w:ascii="Times New Roman" w:eastAsia="Times New Roman" w:hAnsi="Times New Roman" w:cs="Times New Roman"/>
          <w:b/>
          <w:bCs/>
          <w:sz w:val="24"/>
          <w:szCs w:val="24"/>
        </w:rPr>
        <w:t>informácie p</w:t>
      </w:r>
      <w:r w:rsidRPr="005B56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 poistení, kde výška poistného plnenia závisí priamo od hodnoty podielov nadobudnutých investovaním alebo od indexu akcií alebo iného trhového indexu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84"/>
        <w:gridCol w:w="4596"/>
      </w:tblGrid>
      <w:tr w:rsidR="00A03D41" w:rsidTr="006B7E56">
        <w:tc>
          <w:tcPr>
            <w:tcW w:w="4584" w:type="dxa"/>
          </w:tcPr>
          <w:p w:rsidR="00730D09" w:rsidRDefault="00A03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Informácie o investičnom riziku</w:t>
            </w:r>
            <w:r w:rsidRPr="00D137E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30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3D41" w:rsidRPr="00264540" w:rsidRDefault="00730D09" w:rsidP="00EC69FA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645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Upozornenie: S investovaním do finančných nástrojov je spojené aj riziko. Hodnota investície sa môže aj znižovať a nie je zaručená návratnosť pôvodne investovanej sumy.</w:t>
            </w:r>
          </w:p>
        </w:tc>
        <w:tc>
          <w:tcPr>
            <w:tcW w:w="4596" w:type="dxa"/>
          </w:tcPr>
          <w:p w:rsidR="00A03D41" w:rsidRPr="000A20EE" w:rsidRDefault="00A03D4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576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Uviesť ďalšie riziká investovania špecifické pre daný poistný produkt</w:t>
            </w:r>
            <w:r w:rsidR="0026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576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03D41" w:rsidTr="006B7E56">
        <w:trPr>
          <w:trHeight w:val="999"/>
        </w:trPr>
        <w:tc>
          <w:tcPr>
            <w:tcW w:w="4584" w:type="dxa"/>
          </w:tcPr>
          <w:p w:rsidR="00A03D41" w:rsidRPr="005B568B" w:rsidRDefault="00A03D41" w:rsidP="00EC69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Informácie o</w:t>
            </w:r>
            <w:r w:rsidR="0073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podmienkach a spôsobe stanovenia </w:t>
            </w:r>
            <w:proofErr w:type="spellStart"/>
            <w:r w:rsidR="0073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odkupnej</w:t>
            </w:r>
            <w:proofErr w:type="spellEnd"/>
            <w:r w:rsidR="0073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hodnoty pri </w:t>
            </w:r>
            <w:proofErr w:type="spellStart"/>
            <w:r w:rsidR="0073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odkupe</w:t>
            </w:r>
            <w:proofErr w:type="spellEnd"/>
            <w:r w:rsidR="0073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alebo čiastočnom </w:t>
            </w:r>
            <w:proofErr w:type="spellStart"/>
            <w:r w:rsidR="0073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odkupe</w:t>
            </w:r>
            <w:proofErr w:type="spellEnd"/>
            <w:r w:rsidR="0073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96" w:type="dxa"/>
          </w:tcPr>
          <w:p w:rsidR="00A03D41" w:rsidRPr="005B568B" w:rsidRDefault="00730D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[Spôsob výpočtu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odkupnej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hodnoty s upozornením, </w:t>
            </w:r>
            <w:r w:rsidR="00A8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dokedy resp. v akom časovom období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nie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odkup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možný</w:t>
            </w:r>
            <w:r w:rsidR="00A8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resp. </w:t>
            </w:r>
            <w:r w:rsidR="00264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4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odkupná</w:t>
            </w:r>
            <w:proofErr w:type="spellEnd"/>
            <w:r w:rsidR="00264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hodnota je nulová.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</w:tr>
      <w:tr w:rsidR="007C04F4" w:rsidTr="006B7E56">
        <w:tc>
          <w:tcPr>
            <w:tcW w:w="4584" w:type="dxa"/>
          </w:tcPr>
          <w:p w:rsidR="007C04F4" w:rsidRDefault="007C04F4" w:rsidP="00BD43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Popis poplatkov al</w:t>
            </w:r>
            <w:r w:rsidR="00BD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ebo iných nákladov, ktoré platí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klient</w:t>
            </w:r>
            <w:r w:rsidR="00BD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sú zahrnuté v poistnom a znižuje sa nimi hodnota investície: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6" w:type="dxa"/>
          </w:tcPr>
          <w:p w:rsidR="007C04F4" w:rsidRPr="001C5769" w:rsidRDefault="00BD4309" w:rsidP="00BF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[Uviesť ich popis, napr. </w:t>
            </w:r>
            <w:r w:rsidR="00AE192B">
              <w:rPr>
                <w:rFonts w:ascii="Times New Roman" w:hAnsi="Times New Roman" w:cs="Times New Roman"/>
                <w:sz w:val="24"/>
                <w:szCs w:val="24"/>
              </w:rPr>
              <w:t xml:space="preserve">počiatočné </w:t>
            </w:r>
            <w:r w:rsidR="00B910CE">
              <w:rPr>
                <w:rFonts w:ascii="Times New Roman" w:hAnsi="Times New Roman" w:cs="Times New Roman"/>
                <w:sz w:val="24"/>
                <w:szCs w:val="24"/>
              </w:rPr>
              <w:t xml:space="preserve">a ďalšie </w:t>
            </w:r>
            <w:r w:rsidR="00AE192B">
              <w:rPr>
                <w:rFonts w:ascii="Times New Roman" w:hAnsi="Times New Roman" w:cs="Times New Roman"/>
                <w:sz w:val="24"/>
                <w:szCs w:val="24"/>
              </w:rPr>
              <w:t xml:space="preserve">zrážky,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D4309">
              <w:rPr>
                <w:rFonts w:ascii="Times New Roman" w:hAnsi="Times New Roman" w:cs="Times New Roman"/>
                <w:sz w:val="24"/>
                <w:szCs w:val="24"/>
              </w:rPr>
              <w:t>oplatok za zmenu zvoleného fondu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="00C70463">
              <w:rPr>
                <w:rFonts w:ascii="Times New Roman" w:hAnsi="Times New Roman" w:cs="Times New Roman"/>
                <w:sz w:val="24"/>
                <w:szCs w:val="24"/>
              </w:rPr>
              <w:t>popla</w:t>
            </w:r>
            <w:r w:rsidR="00BF652D">
              <w:rPr>
                <w:rFonts w:ascii="Times New Roman" w:hAnsi="Times New Roman" w:cs="Times New Roman"/>
                <w:sz w:val="24"/>
                <w:szCs w:val="24"/>
              </w:rPr>
              <w:t>tky</w:t>
            </w:r>
            <w:r w:rsidRPr="00BD4309">
              <w:rPr>
                <w:rFonts w:ascii="Times New Roman" w:hAnsi="Times New Roman" w:cs="Times New Roman"/>
                <w:sz w:val="24"/>
                <w:szCs w:val="24"/>
              </w:rPr>
              <w:t xml:space="preserve"> za správu</w:t>
            </w:r>
            <w:r w:rsidR="00B910CE">
              <w:rPr>
                <w:rFonts w:ascii="Times New Roman" w:hAnsi="Times New Roman" w:cs="Times New Roman"/>
                <w:sz w:val="24"/>
                <w:szCs w:val="24"/>
              </w:rPr>
              <w:t xml:space="preserve"> majetku v jednotlivých </w:t>
            </w:r>
            <w:r w:rsidR="00BF652D">
              <w:rPr>
                <w:rFonts w:ascii="Times New Roman" w:hAnsi="Times New Roman" w:cs="Times New Roman"/>
                <w:sz w:val="24"/>
                <w:szCs w:val="24"/>
              </w:rPr>
              <w:t xml:space="preserve"> fondoch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prípadne odkaz na dokument</w:t>
            </w:r>
            <w:r w:rsidR="00AE192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kde sú presne uvedené</w:t>
            </w:r>
            <w:r w:rsidR="00C70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bookmarkStart w:id="0" w:name="_GoBack"/>
            <w:bookmarkEnd w:id="0"/>
          </w:p>
        </w:tc>
      </w:tr>
      <w:tr w:rsidR="00A03D41" w:rsidTr="006B7E56">
        <w:tc>
          <w:tcPr>
            <w:tcW w:w="4584" w:type="dxa"/>
          </w:tcPr>
          <w:p w:rsidR="00A03D41" w:rsidRDefault="00A03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Periodicita a forma zasielania výpisu o stave poistenia:</w:t>
            </w:r>
          </w:p>
        </w:tc>
        <w:tc>
          <w:tcPr>
            <w:tcW w:w="4596" w:type="dxa"/>
          </w:tcPr>
          <w:p w:rsidR="00A03D41" w:rsidRPr="001C5769" w:rsidRDefault="00A03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D41" w:rsidTr="006B7E56">
        <w:tc>
          <w:tcPr>
            <w:tcW w:w="4584" w:type="dxa"/>
          </w:tcPr>
          <w:p w:rsidR="00A03D41" w:rsidRDefault="00A03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18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pôsob sprístupňovania informácií o aktuálnej cene podielových jed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notiek jednotlivých fondov:</w:t>
            </w:r>
          </w:p>
        </w:tc>
        <w:tc>
          <w:tcPr>
            <w:tcW w:w="4596" w:type="dxa"/>
          </w:tcPr>
          <w:p w:rsidR="00A03D41" w:rsidRPr="001C5769" w:rsidRDefault="00A03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0EE" w:rsidRDefault="000A2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03D41" w:rsidRPr="001C5769" w:rsidRDefault="00A03D41" w:rsidP="006B7E56">
      <w:pPr>
        <w:pStyle w:val="ListParagraph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Iné dôležité </w:t>
      </w:r>
      <w:r w:rsidRPr="005B5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informácie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53"/>
        <w:gridCol w:w="4627"/>
      </w:tblGrid>
      <w:tr w:rsidR="00A03D41" w:rsidTr="006B7E56">
        <w:tc>
          <w:tcPr>
            <w:tcW w:w="4553" w:type="dxa"/>
          </w:tcPr>
          <w:p w:rsidR="00A03D41" w:rsidRDefault="00A03D4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1329">
              <w:rPr>
                <w:rFonts w:ascii="Times New Roman" w:eastAsia="Times New Roman" w:hAnsi="Times New Roman" w:cs="Times New Roman"/>
                <w:sz w:val="24"/>
                <w:szCs w:val="24"/>
              </w:rPr>
              <w:t>Spôsob vybavovania sťažností:</w:t>
            </w:r>
          </w:p>
        </w:tc>
        <w:tc>
          <w:tcPr>
            <w:tcW w:w="4627" w:type="dxa"/>
          </w:tcPr>
          <w:p w:rsidR="00A03D41" w:rsidRPr="00A1762A" w:rsidRDefault="00A1762A" w:rsidP="004D14A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576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A1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Uviesť </w:t>
            </w:r>
            <w:r w:rsidR="004D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miesto a </w:t>
            </w:r>
            <w:r w:rsidRPr="00A1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spôsob </w:t>
            </w:r>
            <w:r w:rsidR="004D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podania</w:t>
            </w:r>
            <w:r w:rsidR="0034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sťažnosti </w:t>
            </w:r>
            <w:r w:rsidR="004D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 odkazom na dokument, ktorý obsahuje </w:t>
            </w:r>
            <w:r w:rsidRPr="00A1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ďalšie skutočnosti s</w:t>
            </w:r>
            <w:r w:rsidR="004D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úvisiace s vybavovaním sťažností.</w:t>
            </w:r>
            <w:r w:rsidRPr="001C576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03D41" w:rsidTr="006B7E56">
        <w:tc>
          <w:tcPr>
            <w:tcW w:w="4553" w:type="dxa"/>
          </w:tcPr>
          <w:p w:rsidR="00A03D41" w:rsidRPr="005B568B" w:rsidRDefault="00A03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Informácie</w:t>
            </w:r>
            <w:r w:rsidRPr="00FB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 práve štátu a daňových predpisoch, ktoré platia pre poistnú zmluvu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27" w:type="dxa"/>
          </w:tcPr>
          <w:p w:rsidR="00A03D41" w:rsidRPr="005B568B" w:rsidRDefault="00A03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D41" w:rsidTr="006B7E56">
        <w:tc>
          <w:tcPr>
            <w:tcW w:w="4553" w:type="dxa"/>
          </w:tcPr>
          <w:p w:rsidR="00A03D41" w:rsidRPr="00DF7F00" w:rsidRDefault="00A03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329">
              <w:rPr>
                <w:rFonts w:ascii="Times New Roman" w:eastAsia="Times New Roman" w:hAnsi="Times New Roman" w:cs="Times New Roman"/>
                <w:sz w:val="24"/>
                <w:szCs w:val="24"/>
              </w:rPr>
              <w:t>Informácia o mieste zverejnenia správy o finančnom stave poisťovateľa:</w:t>
            </w:r>
          </w:p>
        </w:tc>
        <w:tc>
          <w:tcPr>
            <w:tcW w:w="4627" w:type="dxa"/>
          </w:tcPr>
          <w:p w:rsidR="00A03D41" w:rsidRPr="00D137E7" w:rsidRDefault="00A03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3D41" w:rsidRDefault="00A03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304B4" w:rsidRPr="006B7E56" w:rsidRDefault="00B304B4" w:rsidP="006B7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D3467" w:rsidRDefault="005D3467" w:rsidP="006B7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B7E5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A26A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ysvetlivky</w:t>
      </w:r>
      <w:r w:rsidRPr="006B7E5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: </w:t>
      </w:r>
    </w:p>
    <w:p w:rsidR="007C04F4" w:rsidRPr="006B7E56" w:rsidRDefault="007C0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96AC5" w:rsidRDefault="00496AC5" w:rsidP="00496AC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 ide o poistnú zmluvu resp. poistný produkt, ktoré v sebe zahŕňajú poistenie osôb aj poistenie úrazu, postačuje použitie jedného spoločného formulára, ktorý obsahuje všetky náležitosti vyžadované pre formuláre podľa príloh č. 1 až 2. </w:t>
      </w:r>
    </w:p>
    <w:p w:rsidR="00496AC5" w:rsidRDefault="00496AC5" w:rsidP="00496AC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D3467" w:rsidRDefault="005D3467" w:rsidP="00496AC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sa niektorý z bodov formulára netýka daného poistného produktu, nemusí byť tento bod uvedený.</w:t>
      </w:r>
    </w:p>
    <w:p w:rsidR="00496AC5" w:rsidRPr="00496AC5" w:rsidRDefault="00496AC5" w:rsidP="00496AC5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D3467" w:rsidRDefault="005D3467" w:rsidP="00496AC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Vysvetlenia zahrnuté v tomto formulári</w:t>
      </w:r>
      <w:r w:rsidR="00EC57D6"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musia</w:t>
      </w:r>
      <w:r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byť formulované jasne</w:t>
      </w:r>
      <w:r w:rsidR="00CA188F"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stručne </w:t>
      </w:r>
      <w:r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zrozumiteľne a</w:t>
      </w:r>
      <w:r w:rsidR="00EC57D6"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="00EC57D6"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usia </w:t>
      </w:r>
      <w:r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byť napísané jazykom a štýlom, ktorý uľahčuje pochopenie</w:t>
      </w:r>
      <w:r w:rsidR="00CA188F"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podstatných</w:t>
      </w:r>
      <w:r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informácií</w:t>
      </w:r>
      <w:r w:rsidR="00CA188F"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 poistnom produkte</w:t>
      </w:r>
      <w:r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496AC5" w:rsidRPr="00496AC5" w:rsidRDefault="00496AC5" w:rsidP="00496AC5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6088B" w:rsidRPr="00496AC5" w:rsidRDefault="00E6088B" w:rsidP="00496AC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96A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Upozornenia pre potenciálneho klienta uvedené vo formulári odporúčame v texte zvýrazniť (použitím iného typu písma prípadne inou farbou písma). </w:t>
      </w:r>
    </w:p>
    <w:p w:rsidR="005576E3" w:rsidRPr="00B81234" w:rsidRDefault="005576E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1234">
        <w:rPr>
          <w:rFonts w:ascii="Times New Roman" w:eastAsia="Times New Roman" w:hAnsi="Times New Roman" w:cs="Times New Roman"/>
          <w:sz w:val="24"/>
          <w:szCs w:val="24"/>
        </w:rPr>
        <w:lastRenderedPageBreak/>
        <w:t>Príloha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č. 2</w:t>
      </w:r>
      <w:r w:rsidRPr="00B81234">
        <w:rPr>
          <w:rFonts w:ascii="Times New Roman" w:eastAsia="Times New Roman" w:hAnsi="Times New Roman" w:cs="Times New Roman"/>
          <w:sz w:val="24"/>
          <w:szCs w:val="24"/>
        </w:rPr>
        <w:t xml:space="preserve"> k opatreniu č. .../2015</w:t>
      </w:r>
    </w:p>
    <w:p w:rsidR="005576E3" w:rsidRDefault="005576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4F4" w:rsidRPr="00B81234" w:rsidRDefault="007C04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76E3" w:rsidRPr="00B81234" w:rsidRDefault="005F1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Vzor formulára </w:t>
      </w:r>
      <w:r w:rsidR="005576E3" w:rsidRPr="00B81234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="00E174BA">
        <w:rPr>
          <w:rFonts w:ascii="Times New Roman" w:eastAsia="Times New Roman" w:hAnsi="Times New Roman" w:cs="Times New Roman"/>
          <w:b/>
          <w:sz w:val="24"/>
          <w:szCs w:val="24"/>
        </w:rPr>
        <w:t xml:space="preserve">dôležitých zmluvných </w:t>
      </w:r>
      <w:r w:rsidR="005576E3" w:rsidRPr="00B81234">
        <w:rPr>
          <w:rFonts w:ascii="Times New Roman" w:eastAsia="Times New Roman" w:hAnsi="Times New Roman" w:cs="Times New Roman"/>
          <w:b/>
          <w:sz w:val="24"/>
          <w:szCs w:val="24"/>
        </w:rPr>
        <w:t>podmienkach uza</w:t>
      </w:r>
      <w:r w:rsidR="00E174BA">
        <w:rPr>
          <w:rFonts w:ascii="Times New Roman" w:eastAsia="Times New Roman" w:hAnsi="Times New Roman" w:cs="Times New Roman"/>
          <w:b/>
          <w:sz w:val="24"/>
          <w:szCs w:val="24"/>
        </w:rPr>
        <w:t>tváranej</w:t>
      </w:r>
      <w:r w:rsidR="005576E3" w:rsidRPr="00B81234">
        <w:rPr>
          <w:rFonts w:ascii="Times New Roman" w:eastAsia="Times New Roman" w:hAnsi="Times New Roman" w:cs="Times New Roman"/>
          <w:b/>
          <w:sz w:val="24"/>
          <w:szCs w:val="24"/>
        </w:rPr>
        <w:t xml:space="preserve"> poistnej zmluvy</w:t>
      </w:r>
    </w:p>
    <w:p w:rsidR="005576E3" w:rsidRPr="006B7E56" w:rsidRDefault="00DA357F" w:rsidP="00DA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 </w:t>
      </w:r>
      <w:r w:rsidR="005F14E2">
        <w:rPr>
          <w:rFonts w:ascii="Times New Roman" w:eastAsia="Times New Roman" w:hAnsi="Times New Roman" w:cs="Times New Roman"/>
          <w:b/>
          <w:sz w:val="24"/>
          <w:szCs w:val="24"/>
        </w:rPr>
        <w:t>poistení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majetku</w:t>
      </w:r>
      <w:r w:rsidR="005F14E2">
        <w:rPr>
          <w:rFonts w:ascii="Times New Roman" w:eastAsia="Times New Roman" w:hAnsi="Times New Roman" w:cs="Times New Roman"/>
          <w:b/>
          <w:sz w:val="24"/>
          <w:szCs w:val="24"/>
        </w:rPr>
        <w:t>, pri poistení zodpovednosti</w:t>
      </w:r>
      <w:r w:rsidR="005576E3" w:rsidRPr="006B7E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 škodu </w:t>
      </w:r>
      <w:r w:rsidR="005576E3" w:rsidRPr="006B7E56">
        <w:rPr>
          <w:rFonts w:ascii="Times New Roman" w:eastAsia="Times New Roman" w:hAnsi="Times New Roman" w:cs="Times New Roman"/>
          <w:b/>
          <w:sz w:val="24"/>
          <w:szCs w:val="24"/>
        </w:rPr>
        <w:t>a pri poistení úrazu</w:t>
      </w:r>
    </w:p>
    <w:p w:rsidR="005576E3" w:rsidRDefault="00557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04F4" w:rsidRPr="001C5769" w:rsidRDefault="007C04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4F4" w:rsidRPr="00754670" w:rsidRDefault="007C04F4" w:rsidP="006B7E5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670">
        <w:rPr>
          <w:rFonts w:ascii="Times New Roman" w:eastAsia="Times New Roman" w:hAnsi="Times New Roman" w:cs="Times New Roman"/>
          <w:b/>
          <w:sz w:val="24"/>
          <w:szCs w:val="24"/>
        </w:rPr>
        <w:t>Upozornenie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7C04F4" w:rsidTr="006B7E56">
        <w:tc>
          <w:tcPr>
            <w:tcW w:w="8896" w:type="dxa"/>
          </w:tcPr>
          <w:p w:rsidR="007C04F4" w:rsidRPr="005558CD" w:rsidRDefault="00DC63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Tento formulár obsahuje informácie, ktoré súvisia s uzatvorením</w:t>
            </w:r>
            <w:r w:rsidRPr="00D13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poistnej zmluvy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 sú poskytované v zmysle zákona č. 39/2015 Z. z. o poisťovníctve. Cieľom dokumentu je pomôcť potenciálnemu klientovi pri pochopení povahy, obsahu, rizík, nákladov, možných výnosov a strát súvisiacich s poistným produktom. Formulár neobsahuje</w:t>
            </w:r>
            <w:r w:rsidRPr="00D13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úplný rozsah práv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 povinností, ktoré potenciálnemu klientovi</w:t>
            </w:r>
            <w:r w:rsidRPr="00D13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vyplýva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 z uzatvorenia poistnej zmluvy.</w:t>
            </w:r>
          </w:p>
        </w:tc>
      </w:tr>
    </w:tbl>
    <w:p w:rsidR="007C04F4" w:rsidRDefault="007C0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04F4" w:rsidRPr="00754670" w:rsidRDefault="007C04F4" w:rsidP="006B7E5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670">
        <w:rPr>
          <w:rFonts w:ascii="Times New Roman" w:eastAsia="Times New Roman" w:hAnsi="Times New Roman" w:cs="Times New Roman"/>
          <w:b/>
          <w:bCs/>
          <w:sz w:val="24"/>
          <w:szCs w:val="24"/>
        </w:rPr>
        <w:t>Informácie o poisťovateľovi a kontaktné údaje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204"/>
        <w:gridCol w:w="4692"/>
      </w:tblGrid>
      <w:tr w:rsidR="007C04F4" w:rsidTr="006B7E56">
        <w:tc>
          <w:tcPr>
            <w:tcW w:w="4204" w:type="dxa"/>
          </w:tcPr>
          <w:p w:rsidR="007C04F4" w:rsidRPr="001C5769" w:rsidRDefault="007C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769">
              <w:rPr>
                <w:rFonts w:ascii="Times New Roman" w:eastAsia="Times New Roman" w:hAnsi="Times New Roman" w:cs="Times New Roman"/>
                <w:sz w:val="24"/>
                <w:szCs w:val="24"/>
              </w:rPr>
              <w:t>Obchodné meno a právna forma poisťovateľa:</w:t>
            </w:r>
          </w:p>
        </w:tc>
        <w:tc>
          <w:tcPr>
            <w:tcW w:w="4692" w:type="dxa"/>
            <w:vMerge w:val="restart"/>
          </w:tcPr>
          <w:p w:rsidR="007C04F4" w:rsidRPr="001C5769" w:rsidRDefault="007C0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F4" w:rsidRDefault="007C0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F4" w:rsidRDefault="007C0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F4" w:rsidRDefault="007C0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F4" w:rsidRDefault="007C0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F4" w:rsidRDefault="007C0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F4" w:rsidRDefault="007C0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F4" w:rsidRDefault="007C0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F4" w:rsidRPr="001C5769" w:rsidRDefault="007C04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4F4" w:rsidTr="006B7E56">
        <w:tc>
          <w:tcPr>
            <w:tcW w:w="4204" w:type="dxa"/>
          </w:tcPr>
          <w:p w:rsidR="007C04F4" w:rsidRPr="001C5769" w:rsidRDefault="007C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769">
              <w:rPr>
                <w:rFonts w:ascii="Times New Roman" w:eastAsia="Times New Roman" w:hAnsi="Times New Roman" w:cs="Times New Roman"/>
                <w:sz w:val="24"/>
                <w:szCs w:val="24"/>
              </w:rPr>
              <w:t>Názov štátu, kde sa nachádza sídlo poisťovateľa a názov štátu, kde sa nachádza pobočka poisťovateľa, ktorá uzaviera poistnú zmluvu:</w:t>
            </w:r>
          </w:p>
        </w:tc>
        <w:tc>
          <w:tcPr>
            <w:tcW w:w="4692" w:type="dxa"/>
            <w:vMerge/>
          </w:tcPr>
          <w:p w:rsidR="007C04F4" w:rsidRPr="001C5769" w:rsidRDefault="007C0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4F4" w:rsidTr="006B7E56">
        <w:tc>
          <w:tcPr>
            <w:tcW w:w="4204" w:type="dxa"/>
          </w:tcPr>
          <w:p w:rsidR="007C04F4" w:rsidRPr="001C5769" w:rsidRDefault="007C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769">
              <w:rPr>
                <w:rFonts w:ascii="Times New Roman" w:eastAsia="Times New Roman" w:hAnsi="Times New Roman" w:cs="Times New Roman"/>
                <w:sz w:val="24"/>
                <w:szCs w:val="24"/>
              </w:rPr>
              <w:t>Sídlo poisťovateľa a adresa umiestnenia pobočky poisťovateľa, ktorá uzaviera poistnú zmluvu:</w:t>
            </w:r>
          </w:p>
        </w:tc>
        <w:tc>
          <w:tcPr>
            <w:tcW w:w="4692" w:type="dxa"/>
            <w:vMerge/>
          </w:tcPr>
          <w:p w:rsidR="007C04F4" w:rsidRPr="001C5769" w:rsidRDefault="007C0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4F4" w:rsidTr="006B7E56">
        <w:tc>
          <w:tcPr>
            <w:tcW w:w="4204" w:type="dxa"/>
          </w:tcPr>
          <w:p w:rsidR="007C04F4" w:rsidRPr="001C5769" w:rsidRDefault="007C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769">
              <w:rPr>
                <w:rFonts w:ascii="Times New Roman" w:eastAsia="Times New Roman" w:hAnsi="Times New Roman" w:cs="Times New Roman"/>
                <w:sz w:val="24"/>
                <w:szCs w:val="24"/>
              </w:rPr>
              <w:t>Telefónne číslo:</w:t>
            </w:r>
          </w:p>
        </w:tc>
        <w:tc>
          <w:tcPr>
            <w:tcW w:w="4692" w:type="dxa"/>
            <w:vMerge/>
          </w:tcPr>
          <w:p w:rsidR="007C04F4" w:rsidRPr="001C5769" w:rsidRDefault="007C0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4F4" w:rsidTr="006B7E56">
        <w:tc>
          <w:tcPr>
            <w:tcW w:w="4204" w:type="dxa"/>
          </w:tcPr>
          <w:p w:rsidR="007C04F4" w:rsidRPr="001C5769" w:rsidRDefault="007C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E-mailová adresa:</w:t>
            </w:r>
          </w:p>
        </w:tc>
        <w:tc>
          <w:tcPr>
            <w:tcW w:w="4692" w:type="dxa"/>
            <w:vMerge/>
          </w:tcPr>
          <w:p w:rsidR="007C04F4" w:rsidRPr="001C5769" w:rsidRDefault="007C0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4F4" w:rsidTr="006B7E56">
        <w:tc>
          <w:tcPr>
            <w:tcW w:w="4204" w:type="dxa"/>
          </w:tcPr>
          <w:p w:rsidR="007C04F4" w:rsidRPr="001C5769" w:rsidRDefault="007C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Webové sídlo:</w:t>
            </w:r>
          </w:p>
        </w:tc>
        <w:tc>
          <w:tcPr>
            <w:tcW w:w="4692" w:type="dxa"/>
            <w:vMerge/>
          </w:tcPr>
          <w:p w:rsidR="007C04F4" w:rsidRPr="001C5769" w:rsidRDefault="007C0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04F4" w:rsidRDefault="007C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C04F4" w:rsidRPr="00E6399F" w:rsidRDefault="007C04F4" w:rsidP="00E6399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99F">
        <w:rPr>
          <w:rFonts w:ascii="Times New Roman" w:eastAsia="Times New Roman" w:hAnsi="Times New Roman" w:cs="Times New Roman"/>
          <w:b/>
          <w:bCs/>
          <w:sz w:val="24"/>
          <w:szCs w:val="24"/>
        </w:rPr>
        <w:t>Charakteristika poistnej zmluvy</w:t>
      </w:r>
      <w:r w:rsidR="00E6399F" w:rsidRPr="00E63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 dôležité zmluvné podmienky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241"/>
        <w:gridCol w:w="4655"/>
      </w:tblGrid>
      <w:tr w:rsidR="007C04F4" w:rsidTr="006B7E56">
        <w:tc>
          <w:tcPr>
            <w:tcW w:w="4241" w:type="dxa"/>
          </w:tcPr>
          <w:p w:rsidR="007C04F4" w:rsidRDefault="007C04F4" w:rsidP="00DC1524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7F00">
              <w:rPr>
                <w:rFonts w:ascii="Times New Roman" w:eastAsia="Times New Roman" w:hAnsi="Times New Roman" w:cs="Times New Roman"/>
                <w:sz w:val="24"/>
                <w:szCs w:val="24"/>
              </w:rPr>
              <w:t>Názov poistného produktu</w:t>
            </w:r>
            <w:r w:rsidR="00DC152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F7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5" w:type="dxa"/>
          </w:tcPr>
          <w:p w:rsidR="007C04F4" w:rsidRDefault="007C04F4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C04F4" w:rsidTr="006B7E56">
        <w:tc>
          <w:tcPr>
            <w:tcW w:w="4241" w:type="dxa"/>
          </w:tcPr>
          <w:p w:rsidR="007C04F4" w:rsidRPr="005B568B" w:rsidRDefault="00DC1524" w:rsidP="00DC15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Popis poistného produktu:</w:t>
            </w:r>
          </w:p>
        </w:tc>
        <w:tc>
          <w:tcPr>
            <w:tcW w:w="4655" w:type="dxa"/>
          </w:tcPr>
          <w:p w:rsidR="00DC1524" w:rsidRPr="00DC1524" w:rsidRDefault="00215A77" w:rsidP="00DC1524">
            <w:pPr>
              <w:tabs>
                <w:tab w:val="left" w:pos="329"/>
              </w:tabs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popis poistenia alebo súboru poistení, ktoré sú pevnou súčasťou poistného produktu a  ak bude poistná zmluva dojednaná, budú v nej zahrnuté; môže obsahovať aj popis poistenia alebo súboru poistení, ktoré nie  sú pevnou súčasťou poistného produktu a je na rozhodnutí poistníka, či sa stanú súčasťou poistnej zmluvy,</w:t>
            </w:r>
          </w:p>
          <w:p w:rsidR="00DC1524" w:rsidRPr="00DC1524" w:rsidRDefault="00DC1524" w:rsidP="00DC1524">
            <w:pPr>
              <w:tabs>
                <w:tab w:val="left" w:pos="329"/>
              </w:tabs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</w:t>
            </w:r>
            <w:r w:rsidRPr="00DC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všeobecná informácia o poistnej dobe a poistnom období,</w:t>
            </w:r>
          </w:p>
          <w:p w:rsidR="00DC1524" w:rsidRPr="00DC1524" w:rsidRDefault="00DC1524" w:rsidP="00DC1524">
            <w:pPr>
              <w:tabs>
                <w:tab w:val="left" w:pos="329"/>
              </w:tabs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</w:t>
            </w:r>
            <w:r w:rsidRPr="00DC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poistné riziká,</w:t>
            </w:r>
          </w:p>
          <w:p w:rsidR="00DC1524" w:rsidRPr="00DC1524" w:rsidRDefault="00DC1524" w:rsidP="00DC1524">
            <w:pPr>
              <w:tabs>
                <w:tab w:val="left" w:pos="329"/>
              </w:tabs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</w:t>
            </w:r>
            <w:r w:rsidRPr="00DC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všeobecná charakteristika poistného plnenia,</w:t>
            </w:r>
          </w:p>
          <w:p w:rsidR="007C04F4" w:rsidRPr="005B568B" w:rsidRDefault="00DC1524" w:rsidP="00DC1524">
            <w:pPr>
              <w:tabs>
                <w:tab w:val="left" w:pos="329"/>
              </w:tabs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</w:t>
            </w:r>
            <w:r w:rsidRPr="00DC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iné.</w:t>
            </w:r>
          </w:p>
        </w:tc>
      </w:tr>
      <w:tr w:rsidR="007C04F4" w:rsidTr="006B7E56">
        <w:tc>
          <w:tcPr>
            <w:tcW w:w="4241" w:type="dxa"/>
          </w:tcPr>
          <w:p w:rsidR="007C04F4" w:rsidRPr="000A20EE" w:rsidRDefault="007C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A20EE">
              <w:rPr>
                <w:rFonts w:ascii="Times New Roman" w:hAnsi="Times New Roman" w:cs="Times New Roman"/>
                <w:sz w:val="24"/>
                <w:szCs w:val="24"/>
              </w:rPr>
              <w:t>pôsob určenia výšky poistného plnenia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55" w:type="dxa"/>
          </w:tcPr>
          <w:p w:rsidR="007C04F4" w:rsidRPr="001C5769" w:rsidRDefault="004D0BF7" w:rsidP="004D0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[Uviesť všeobecne s vysvetlením, že stanovenie výšky poistného plnenia závisí od dojednaných skutočností a súm v konkrétnej poistnej zmluve; napr. pri trvalých následkoch úrazu je maximálna suma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stanovená na základe  oceňovacích tabuliek.]</w:t>
            </w:r>
          </w:p>
        </w:tc>
      </w:tr>
      <w:tr w:rsidR="007C04F4" w:rsidTr="006B7E56">
        <w:tc>
          <w:tcPr>
            <w:tcW w:w="4241" w:type="dxa"/>
          </w:tcPr>
          <w:p w:rsidR="007C04F4" w:rsidRPr="00DF7F00" w:rsidRDefault="007C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</w:t>
            </w:r>
            <w:r w:rsidRPr="005B5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odmienky, za ktorých nevzniká poisťovateľovi povinnosť poskytnúť poistné plnenie, alebo je poisťovateľ oprávnený poistné plnenie znížiť:</w:t>
            </w:r>
          </w:p>
        </w:tc>
        <w:tc>
          <w:tcPr>
            <w:tcW w:w="4655" w:type="dxa"/>
          </w:tcPr>
          <w:p w:rsidR="007C04F4" w:rsidRPr="00BA78BD" w:rsidRDefault="007C04F4" w:rsidP="001166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6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Uviesť podmienky a odkaz na dokument, kde sú uvedené podrobnos</w:t>
            </w:r>
            <w:r w:rsidR="008477D1">
              <w:rPr>
                <w:rFonts w:ascii="Times New Roman" w:hAnsi="Times New Roman" w:cs="Times New Roman"/>
                <w:sz w:val="24"/>
                <w:szCs w:val="24"/>
              </w:rPr>
              <w:t>ti o týchto podmienkach. U</w:t>
            </w:r>
            <w:r w:rsidR="00DC1524">
              <w:rPr>
                <w:rFonts w:ascii="Times New Roman" w:hAnsi="Times New Roman" w:cs="Times New Roman"/>
                <w:sz w:val="24"/>
                <w:szCs w:val="24"/>
              </w:rPr>
              <w:t xml:space="preserve">viesť upozornenie, že existujú </w:t>
            </w:r>
            <w:r w:rsidR="002B31DA">
              <w:rPr>
                <w:rFonts w:ascii="Times New Roman" w:hAnsi="Times New Roman" w:cs="Times New Roman"/>
                <w:sz w:val="24"/>
                <w:szCs w:val="24"/>
              </w:rPr>
              <w:t xml:space="preserve">výluky z poistenia a uviesť odkaz na konkrétne ustanovenia </w:t>
            </w:r>
            <w:r w:rsidR="0016695F">
              <w:rPr>
                <w:rFonts w:ascii="Times New Roman" w:hAnsi="Times New Roman" w:cs="Times New Roman"/>
                <w:sz w:val="24"/>
                <w:szCs w:val="24"/>
              </w:rPr>
              <w:t xml:space="preserve">(všeobecných) </w:t>
            </w:r>
            <w:r w:rsidR="002B31DA">
              <w:rPr>
                <w:rFonts w:ascii="Times New Roman" w:hAnsi="Times New Roman" w:cs="Times New Roman"/>
                <w:sz w:val="24"/>
                <w:szCs w:val="24"/>
              </w:rPr>
              <w:t>poistných podmienok</w:t>
            </w:r>
            <w:r w:rsidR="00FB7B58">
              <w:rPr>
                <w:rFonts w:ascii="Times New Roman" w:hAnsi="Times New Roman" w:cs="Times New Roman"/>
                <w:sz w:val="24"/>
                <w:szCs w:val="24"/>
              </w:rPr>
              <w:t xml:space="preserve"> a zmluvných dojednaní</w:t>
            </w:r>
            <w:r w:rsidR="002B31DA">
              <w:rPr>
                <w:rFonts w:ascii="Times New Roman" w:hAnsi="Times New Roman" w:cs="Times New Roman"/>
                <w:sz w:val="24"/>
                <w:szCs w:val="24"/>
              </w:rPr>
              <w:t>.]</w:t>
            </w:r>
          </w:p>
        </w:tc>
      </w:tr>
      <w:tr w:rsidR="007C04F4" w:rsidTr="006B7E56">
        <w:tc>
          <w:tcPr>
            <w:tcW w:w="4241" w:type="dxa"/>
          </w:tcPr>
          <w:p w:rsidR="007C04F4" w:rsidRDefault="007C04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Informácia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 spôsobe stanovenia a  platenia poistného, jeho splatnosti a </w:t>
            </w:r>
            <w:r w:rsidRPr="00D1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 dôsledkoch nezaplatenia poistného:</w:t>
            </w:r>
          </w:p>
        </w:tc>
        <w:tc>
          <w:tcPr>
            <w:tcW w:w="4655" w:type="dxa"/>
          </w:tcPr>
          <w:p w:rsidR="007C04F4" w:rsidRPr="001C5769" w:rsidRDefault="002B31DA" w:rsidP="004D0B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1DA">
              <w:rPr>
                <w:rFonts w:ascii="Times New Roman" w:hAnsi="Times New Roman" w:cs="Times New Roman"/>
                <w:sz w:val="24"/>
                <w:szCs w:val="24"/>
              </w:rPr>
              <w:t xml:space="preserve">[Uviesť, že výška poistného sa stanoví </w:t>
            </w:r>
            <w:r w:rsidR="00C70463">
              <w:rPr>
                <w:rFonts w:ascii="Times New Roman" w:hAnsi="Times New Roman" w:cs="Times New Roman"/>
                <w:sz w:val="24"/>
                <w:szCs w:val="24"/>
              </w:rPr>
              <w:t xml:space="preserve">napr. </w:t>
            </w:r>
            <w:r w:rsidRPr="002B31DA">
              <w:rPr>
                <w:rFonts w:ascii="Times New Roman" w:hAnsi="Times New Roman" w:cs="Times New Roman"/>
                <w:sz w:val="24"/>
                <w:szCs w:val="24"/>
              </w:rPr>
              <w:t>na základe poistnej sumy, poistnej doby, zdravotného stavu, vstupného veku, počtu a druhu poistných rizík, ktoré budú dojednané v poistnej zmluve (</w:t>
            </w:r>
            <w:r w:rsidR="004D0BF7">
              <w:rPr>
                <w:rFonts w:ascii="Times New Roman" w:hAnsi="Times New Roman" w:cs="Times New Roman"/>
                <w:sz w:val="24"/>
                <w:szCs w:val="24"/>
              </w:rPr>
              <w:t>hlavné poistenie, pripoistenia)</w:t>
            </w:r>
            <w:r w:rsidRPr="002B31DA">
              <w:rPr>
                <w:rFonts w:ascii="Times New Roman" w:hAnsi="Times New Roman" w:cs="Times New Roman"/>
                <w:sz w:val="24"/>
                <w:szCs w:val="24"/>
              </w:rPr>
              <w:t>.]</w:t>
            </w:r>
          </w:p>
        </w:tc>
      </w:tr>
      <w:tr w:rsidR="007C04F4" w:rsidTr="006B7E56">
        <w:tc>
          <w:tcPr>
            <w:tcW w:w="4241" w:type="dxa"/>
          </w:tcPr>
          <w:p w:rsidR="007C04F4" w:rsidRPr="000A20EE" w:rsidRDefault="007C0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Doplnkové administratívne služby, ktorých spoplatnenie nie je zahrnuté v poistnom, poplatky s nimi spojené  a spôsob sprístupňovania informácií o ich zmene:</w:t>
            </w:r>
          </w:p>
        </w:tc>
        <w:tc>
          <w:tcPr>
            <w:tcW w:w="4655" w:type="dxa"/>
          </w:tcPr>
          <w:p w:rsidR="007C04F4" w:rsidRPr="001639C0" w:rsidRDefault="007C04F4">
            <w:pPr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769" w:rsidDel="0003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04F4" w:rsidTr="006B7E56">
        <w:tc>
          <w:tcPr>
            <w:tcW w:w="4241" w:type="dxa"/>
          </w:tcPr>
          <w:p w:rsidR="007C04F4" w:rsidRPr="00D137E7" w:rsidRDefault="002B31DA" w:rsidP="002B31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Spôsoby zániku </w:t>
            </w:r>
            <w:r w:rsidR="007C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poistnej zmluvy:</w:t>
            </w:r>
          </w:p>
        </w:tc>
        <w:tc>
          <w:tcPr>
            <w:tcW w:w="4655" w:type="dxa"/>
          </w:tcPr>
          <w:p w:rsidR="007C04F4" w:rsidRPr="001C5769" w:rsidRDefault="002B31DA" w:rsidP="002B4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[Vymenovať s uvedením odkazov na všeobecne záväzné právne predpisy, </w:t>
            </w:r>
            <w:r w:rsidR="00375353">
              <w:rPr>
                <w:rFonts w:ascii="Times New Roman" w:hAnsi="Times New Roman" w:cs="Times New Roman"/>
                <w:sz w:val="24"/>
                <w:szCs w:val="24"/>
              </w:rPr>
              <w:t xml:space="preserve">(všeobecné) </w:t>
            </w:r>
            <w:r w:rsidR="00F6396A">
              <w:rPr>
                <w:rFonts w:ascii="Times New Roman" w:hAnsi="Times New Roman" w:cs="Times New Roman"/>
                <w:sz w:val="24"/>
                <w:szCs w:val="24"/>
              </w:rPr>
              <w:t xml:space="preserve">poistné podmienky,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zmluvné dojednania</w:t>
            </w:r>
            <w:r w:rsidR="00F6396A">
              <w:rPr>
                <w:rFonts w:ascii="Times New Roman" w:hAnsi="Times New Roman" w:cs="Times New Roman"/>
                <w:sz w:val="24"/>
                <w:szCs w:val="24"/>
              </w:rPr>
              <w:t xml:space="preserve"> a podmienky dojednané v poistnej zmluve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.]</w:t>
            </w:r>
          </w:p>
        </w:tc>
      </w:tr>
      <w:tr w:rsidR="007C04F4" w:rsidTr="006B7E56">
        <w:tc>
          <w:tcPr>
            <w:tcW w:w="4241" w:type="dxa"/>
          </w:tcPr>
          <w:p w:rsidR="007C04F4" w:rsidRPr="005B568B" w:rsidRDefault="007C04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1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Ďalšie podmienky uzavretia poistnej zmluvy:</w:t>
            </w:r>
          </w:p>
        </w:tc>
        <w:tc>
          <w:tcPr>
            <w:tcW w:w="4655" w:type="dxa"/>
          </w:tcPr>
          <w:p w:rsidR="007C04F4" w:rsidRPr="001C5769" w:rsidRDefault="007C0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[Akékoľvek iné podmienky uzavretia poistnej zmluvy, ktoré nie sú uvedené v ostatných bodoch formulára a ich doplnenie považuje poisťovňa za vhodné vzhľadom na povahu poistného produktu.]</w:t>
            </w:r>
          </w:p>
        </w:tc>
      </w:tr>
      <w:tr w:rsidR="007C04F4" w:rsidTr="006B7E56">
        <w:tc>
          <w:tcPr>
            <w:tcW w:w="4241" w:type="dxa"/>
          </w:tcPr>
          <w:p w:rsidR="007C04F4" w:rsidRPr="001639C0" w:rsidRDefault="007C04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Upozornenie na ustanovenia poistnej zmluvy, ktoré umožňujú poisťovateľovi vykonávať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zmeny poistnej zmluvy v zmysle platných právnych predpisov bez súhlasu druhej zmluvnej strany:</w:t>
            </w:r>
          </w:p>
        </w:tc>
        <w:tc>
          <w:tcPr>
            <w:tcW w:w="4655" w:type="dxa"/>
          </w:tcPr>
          <w:p w:rsidR="007C04F4" w:rsidRPr="00A233BE" w:rsidRDefault="007C0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6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Uviesť stručne podmienky a dôvody jednostrannej zmeny a odkaz na dokument, kde sú uvedené podrobnosti o týchto skutočnostiach.</w:t>
            </w:r>
            <w:r w:rsidRPr="00A233B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C04F4" w:rsidRPr="001639C0" w:rsidRDefault="007C0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F4" w:rsidTr="006B7E56">
        <w:tc>
          <w:tcPr>
            <w:tcW w:w="4241" w:type="dxa"/>
          </w:tcPr>
          <w:p w:rsidR="007C04F4" w:rsidRPr="005B568B" w:rsidRDefault="007C04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03D41">
              <w:rPr>
                <w:rFonts w:ascii="Times New Roman" w:eastAsia="Times New Roman" w:hAnsi="Times New Roman" w:cs="Times New Roman"/>
                <w:sz w:val="24"/>
                <w:szCs w:val="24"/>
              </w:rPr>
              <w:t>Ďalšie informácie a poučenia umožňujúce pochopiť riziká spojené s poistnou zmluvou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55" w:type="dxa"/>
          </w:tcPr>
          <w:p w:rsidR="007C04F4" w:rsidRPr="001C5769" w:rsidRDefault="007C0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DA" w:rsidTr="006B7E56">
        <w:tc>
          <w:tcPr>
            <w:tcW w:w="4241" w:type="dxa"/>
          </w:tcPr>
          <w:p w:rsidR="002B31DA" w:rsidRPr="00A03D41" w:rsidRDefault="002B3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Ďalšie výhody, ktoré môžu byť poistnou zmluvou dojednané:</w:t>
            </w:r>
          </w:p>
        </w:tc>
        <w:tc>
          <w:tcPr>
            <w:tcW w:w="4655" w:type="dxa"/>
          </w:tcPr>
          <w:p w:rsidR="002B31DA" w:rsidRPr="001C5769" w:rsidRDefault="002B31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4F4" w:rsidRDefault="007C0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C04F4" w:rsidRPr="006B7E56" w:rsidRDefault="007C04F4" w:rsidP="006B7E5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Iné dôležité informácie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269"/>
        <w:gridCol w:w="4627"/>
      </w:tblGrid>
      <w:tr w:rsidR="007C04F4" w:rsidTr="006B7E56">
        <w:tc>
          <w:tcPr>
            <w:tcW w:w="4269" w:type="dxa"/>
          </w:tcPr>
          <w:p w:rsidR="007C04F4" w:rsidRDefault="007C04F4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1329">
              <w:rPr>
                <w:rFonts w:ascii="Times New Roman" w:eastAsia="Times New Roman" w:hAnsi="Times New Roman" w:cs="Times New Roman"/>
                <w:sz w:val="24"/>
                <w:szCs w:val="24"/>
              </w:rPr>
              <w:t>Spôsob vybavovania sťažností:</w:t>
            </w:r>
          </w:p>
        </w:tc>
        <w:tc>
          <w:tcPr>
            <w:tcW w:w="4627" w:type="dxa"/>
          </w:tcPr>
          <w:p w:rsidR="007C04F4" w:rsidRPr="00A1762A" w:rsidRDefault="004D14AC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576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A1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Uviesť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miesto a </w:t>
            </w:r>
            <w:r w:rsidRPr="00A1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spôsob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podania </w:t>
            </w:r>
            <w:r w:rsidR="0034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sťažnosti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 odkazom na dokument, ktorý obsahuje </w:t>
            </w:r>
            <w:r w:rsidRPr="00A1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ďalšie skutočnosti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úvisiace s vybavovaním sťažností.</w:t>
            </w:r>
            <w:r w:rsidRPr="001C576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7C04F4" w:rsidTr="006B7E56">
        <w:tc>
          <w:tcPr>
            <w:tcW w:w="4269" w:type="dxa"/>
          </w:tcPr>
          <w:p w:rsidR="007C04F4" w:rsidRPr="005B568B" w:rsidRDefault="007C04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Informácie</w:t>
            </w:r>
            <w:r w:rsidRPr="00FB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 práve štátu a daňových predpisoch, ktoré platia pre poistnú zmluvu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27" w:type="dxa"/>
          </w:tcPr>
          <w:p w:rsidR="007C04F4" w:rsidRPr="005B568B" w:rsidRDefault="007C04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4F4" w:rsidTr="006B7E56">
        <w:tc>
          <w:tcPr>
            <w:tcW w:w="4269" w:type="dxa"/>
          </w:tcPr>
          <w:p w:rsidR="007C04F4" w:rsidRPr="00DF7F00" w:rsidRDefault="007C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329">
              <w:rPr>
                <w:rFonts w:ascii="Times New Roman" w:eastAsia="Times New Roman" w:hAnsi="Times New Roman" w:cs="Times New Roman"/>
                <w:sz w:val="24"/>
                <w:szCs w:val="24"/>
              </w:rPr>
              <w:t>Informácia o mieste zverejnenia správy o finančnom stave poisťovateľa:</w:t>
            </w:r>
          </w:p>
        </w:tc>
        <w:tc>
          <w:tcPr>
            <w:tcW w:w="4627" w:type="dxa"/>
          </w:tcPr>
          <w:p w:rsidR="007C04F4" w:rsidRPr="00D137E7" w:rsidRDefault="007C04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D14AC" w:rsidRPr="006B7E56" w:rsidRDefault="004D14AC" w:rsidP="006B7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C04F4" w:rsidRPr="00E6088B" w:rsidRDefault="007C04F4" w:rsidP="006B7E5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6088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A26A5D" w:rsidRPr="00E6088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ysvetlivky</w:t>
      </w:r>
      <w:r w:rsidRPr="00E6088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: </w:t>
      </w:r>
    </w:p>
    <w:p w:rsidR="00496AC5" w:rsidRPr="00496AC5" w:rsidRDefault="00496AC5" w:rsidP="00496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96AC5" w:rsidRDefault="00496AC5" w:rsidP="00496AC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 ide o poistnú zmluvu resp. poistný produkt, ktoré v sebe zahŕňajú poistenie osôb aj poistenie úrazu, postačuje použitie jedného spoločného formulára, ktorý obsahuje všetky náležitosti vyžadované pre formuláre podľa príloh č. 1 až 2. </w:t>
      </w:r>
    </w:p>
    <w:p w:rsidR="00496AC5" w:rsidRDefault="00496AC5" w:rsidP="00496AC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96AC5" w:rsidRPr="00496AC5" w:rsidRDefault="00496AC5" w:rsidP="00496AC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6088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sa niektorý z bodov formulára netýka daného poistného produktu, nemusí byť tento bod uvedený.</w:t>
      </w:r>
    </w:p>
    <w:p w:rsidR="007F1345" w:rsidRPr="00E6088B" w:rsidRDefault="007F1345" w:rsidP="006B7E5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C04F4" w:rsidRPr="00E6088B" w:rsidRDefault="00496AC5" w:rsidP="006B7E5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Vysvetlenia zahrnuté v tomto formulári musia byť formulované jasne, stručne  a zrozumiteľne a musia byť napísané jazykom a štýlom, ktorý uľahčuje pochopenie podstatných informácií o poistnom produkte.</w:t>
      </w:r>
    </w:p>
    <w:p w:rsidR="00E6088B" w:rsidRPr="00E6088B" w:rsidRDefault="00E6088B" w:rsidP="00E6088B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6088B" w:rsidRPr="00F6105E" w:rsidRDefault="00E6088B" w:rsidP="00F6105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6088B">
        <w:rPr>
          <w:rFonts w:ascii="Times New Roman" w:hAnsi="Times New Roman" w:cs="Times New Roman"/>
          <w:sz w:val="24"/>
          <w:szCs w:val="24"/>
          <w:lang w:eastAsia="sk-SK"/>
        </w:rPr>
        <w:t xml:space="preserve">Upozornenia pre potenciálneho klienta uvedené vo formulári odporúčame v texte zvýrazniť (použitím iného typu písma prípadne inou farbou písma). </w:t>
      </w:r>
    </w:p>
    <w:sectPr w:rsidR="00E6088B" w:rsidRPr="00F6105E" w:rsidSect="006B7E5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AD" w:rsidRDefault="00EE2CAD">
      <w:pPr>
        <w:spacing w:after="0" w:line="240" w:lineRule="auto"/>
      </w:pPr>
      <w:r>
        <w:separator/>
      </w:r>
    </w:p>
  </w:endnote>
  <w:endnote w:type="continuationSeparator" w:id="0">
    <w:p w:rsidR="00EE2CAD" w:rsidRDefault="00EE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2C7" w:rsidRDefault="006742C7" w:rsidP="006742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42C7" w:rsidRDefault="006742C7" w:rsidP="006742C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3937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42C7" w:rsidRDefault="006742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0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742C7" w:rsidRDefault="006742C7" w:rsidP="006742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AD" w:rsidRDefault="00EE2CAD">
      <w:pPr>
        <w:spacing w:after="0" w:line="240" w:lineRule="auto"/>
      </w:pPr>
      <w:r>
        <w:separator/>
      </w:r>
    </w:p>
  </w:footnote>
  <w:footnote w:type="continuationSeparator" w:id="0">
    <w:p w:rsidR="00EE2CAD" w:rsidRDefault="00EE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B14"/>
    <w:multiLevelType w:val="hybridMultilevel"/>
    <w:tmpl w:val="D24AFD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74449"/>
    <w:multiLevelType w:val="hybridMultilevel"/>
    <w:tmpl w:val="4866E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23C9"/>
    <w:multiLevelType w:val="hybridMultilevel"/>
    <w:tmpl w:val="5DC48E4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BA383B"/>
    <w:multiLevelType w:val="hybridMultilevel"/>
    <w:tmpl w:val="63C4F416"/>
    <w:lvl w:ilvl="0" w:tplc="DB7CB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FB185B"/>
    <w:multiLevelType w:val="hybridMultilevel"/>
    <w:tmpl w:val="8D160D2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9134E"/>
    <w:multiLevelType w:val="hybridMultilevel"/>
    <w:tmpl w:val="15884B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72BAF"/>
    <w:multiLevelType w:val="hybridMultilevel"/>
    <w:tmpl w:val="DD66232E"/>
    <w:lvl w:ilvl="0" w:tplc="E398DB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B4A35"/>
    <w:multiLevelType w:val="hybridMultilevel"/>
    <w:tmpl w:val="091CC6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A2092"/>
    <w:multiLevelType w:val="hybridMultilevel"/>
    <w:tmpl w:val="85E4EE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046AF"/>
    <w:multiLevelType w:val="hybridMultilevel"/>
    <w:tmpl w:val="5E8A2938"/>
    <w:lvl w:ilvl="0" w:tplc="D5C6CFC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75CD8"/>
    <w:multiLevelType w:val="hybridMultilevel"/>
    <w:tmpl w:val="57B4F698"/>
    <w:lvl w:ilvl="0" w:tplc="B6C2B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61646"/>
    <w:multiLevelType w:val="hybridMultilevel"/>
    <w:tmpl w:val="70F284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65E09"/>
    <w:multiLevelType w:val="hybridMultilevel"/>
    <w:tmpl w:val="511034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C27B4"/>
    <w:multiLevelType w:val="hybridMultilevel"/>
    <w:tmpl w:val="C0CE3C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351A92"/>
    <w:multiLevelType w:val="hybridMultilevel"/>
    <w:tmpl w:val="6C348A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77CD9"/>
    <w:multiLevelType w:val="hybridMultilevel"/>
    <w:tmpl w:val="C1D82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F3F62"/>
    <w:multiLevelType w:val="hybridMultilevel"/>
    <w:tmpl w:val="A6E669C0"/>
    <w:lvl w:ilvl="0" w:tplc="D5C6CFC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61B95"/>
    <w:multiLevelType w:val="hybridMultilevel"/>
    <w:tmpl w:val="1EA2A8DE"/>
    <w:lvl w:ilvl="0" w:tplc="EE720F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>
    <w:nsid w:val="62C144D7"/>
    <w:multiLevelType w:val="hybridMultilevel"/>
    <w:tmpl w:val="46D85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B3672"/>
    <w:multiLevelType w:val="hybridMultilevel"/>
    <w:tmpl w:val="431E2D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A35F0"/>
    <w:multiLevelType w:val="hybridMultilevel"/>
    <w:tmpl w:val="ECB47B1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017754"/>
    <w:multiLevelType w:val="hybridMultilevel"/>
    <w:tmpl w:val="1742AC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0D2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E1E3FB1"/>
    <w:multiLevelType w:val="hybridMultilevel"/>
    <w:tmpl w:val="7026E5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87F10"/>
    <w:multiLevelType w:val="hybridMultilevel"/>
    <w:tmpl w:val="FB7A03D4"/>
    <w:lvl w:ilvl="0" w:tplc="49024B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2560DCA"/>
    <w:multiLevelType w:val="hybridMultilevel"/>
    <w:tmpl w:val="ECB47B1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C1F0570"/>
    <w:multiLevelType w:val="hybridMultilevel"/>
    <w:tmpl w:val="C05657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11392"/>
    <w:multiLevelType w:val="hybridMultilevel"/>
    <w:tmpl w:val="D7182A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21"/>
  </w:num>
  <w:num w:numId="5">
    <w:abstractNumId w:val="1"/>
  </w:num>
  <w:num w:numId="6">
    <w:abstractNumId w:val="9"/>
  </w:num>
  <w:num w:numId="7">
    <w:abstractNumId w:val="16"/>
  </w:num>
  <w:num w:numId="8">
    <w:abstractNumId w:val="15"/>
  </w:num>
  <w:num w:numId="9">
    <w:abstractNumId w:val="0"/>
  </w:num>
  <w:num w:numId="10">
    <w:abstractNumId w:val="12"/>
  </w:num>
  <w:num w:numId="11">
    <w:abstractNumId w:val="11"/>
  </w:num>
  <w:num w:numId="12">
    <w:abstractNumId w:val="8"/>
  </w:num>
  <w:num w:numId="13">
    <w:abstractNumId w:val="26"/>
  </w:num>
  <w:num w:numId="14">
    <w:abstractNumId w:val="3"/>
  </w:num>
  <w:num w:numId="15">
    <w:abstractNumId w:val="18"/>
  </w:num>
  <w:num w:numId="16">
    <w:abstractNumId w:val="6"/>
  </w:num>
  <w:num w:numId="17">
    <w:abstractNumId w:val="19"/>
  </w:num>
  <w:num w:numId="18">
    <w:abstractNumId w:val="20"/>
  </w:num>
  <w:num w:numId="19">
    <w:abstractNumId w:val="24"/>
  </w:num>
  <w:num w:numId="20">
    <w:abstractNumId w:val="5"/>
  </w:num>
  <w:num w:numId="21">
    <w:abstractNumId w:val="7"/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2"/>
  </w:num>
  <w:num w:numId="29">
    <w:abstractNumId w:val="23"/>
  </w:num>
  <w:num w:numId="30">
    <w:abstractNumId w:val="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D2"/>
    <w:rsid w:val="000124F2"/>
    <w:rsid w:val="00032EDD"/>
    <w:rsid w:val="000343C6"/>
    <w:rsid w:val="00036369"/>
    <w:rsid w:val="0005261F"/>
    <w:rsid w:val="0007376E"/>
    <w:rsid w:val="000A14F7"/>
    <w:rsid w:val="000A20EE"/>
    <w:rsid w:val="000B2220"/>
    <w:rsid w:val="000E7E1A"/>
    <w:rsid w:val="001166F2"/>
    <w:rsid w:val="001272AA"/>
    <w:rsid w:val="00135EE3"/>
    <w:rsid w:val="0014440D"/>
    <w:rsid w:val="0016064E"/>
    <w:rsid w:val="001639C0"/>
    <w:rsid w:val="0016695F"/>
    <w:rsid w:val="00187719"/>
    <w:rsid w:val="001B2752"/>
    <w:rsid w:val="001B63D6"/>
    <w:rsid w:val="001C5769"/>
    <w:rsid w:val="001D09A8"/>
    <w:rsid w:val="001F5E77"/>
    <w:rsid w:val="0020060E"/>
    <w:rsid w:val="00215A77"/>
    <w:rsid w:val="0021710F"/>
    <w:rsid w:val="00257891"/>
    <w:rsid w:val="00264540"/>
    <w:rsid w:val="002676E3"/>
    <w:rsid w:val="00267C2A"/>
    <w:rsid w:val="00276E29"/>
    <w:rsid w:val="002B31DA"/>
    <w:rsid w:val="002B4C2E"/>
    <w:rsid w:val="002D34EC"/>
    <w:rsid w:val="00300E5B"/>
    <w:rsid w:val="00305E3C"/>
    <w:rsid w:val="00312D77"/>
    <w:rsid w:val="00346822"/>
    <w:rsid w:val="00356C6D"/>
    <w:rsid w:val="00374D30"/>
    <w:rsid w:val="00375353"/>
    <w:rsid w:val="003819B1"/>
    <w:rsid w:val="00382CC4"/>
    <w:rsid w:val="00385EED"/>
    <w:rsid w:val="003A3B8D"/>
    <w:rsid w:val="003A68A6"/>
    <w:rsid w:val="003C1096"/>
    <w:rsid w:val="003C40F5"/>
    <w:rsid w:val="003D732C"/>
    <w:rsid w:val="003E621D"/>
    <w:rsid w:val="003E659D"/>
    <w:rsid w:val="00421983"/>
    <w:rsid w:val="00425FEE"/>
    <w:rsid w:val="00434E15"/>
    <w:rsid w:val="00441467"/>
    <w:rsid w:val="00452D8A"/>
    <w:rsid w:val="00460E57"/>
    <w:rsid w:val="004773BD"/>
    <w:rsid w:val="00496AC5"/>
    <w:rsid w:val="004A0B1F"/>
    <w:rsid w:val="004A77A8"/>
    <w:rsid w:val="004C5C35"/>
    <w:rsid w:val="004D0BF7"/>
    <w:rsid w:val="004D14AC"/>
    <w:rsid w:val="004E0C9D"/>
    <w:rsid w:val="004F6839"/>
    <w:rsid w:val="0050286D"/>
    <w:rsid w:val="00514F16"/>
    <w:rsid w:val="00530E9B"/>
    <w:rsid w:val="0054188C"/>
    <w:rsid w:val="00542F6F"/>
    <w:rsid w:val="00543675"/>
    <w:rsid w:val="005558CD"/>
    <w:rsid w:val="005576E3"/>
    <w:rsid w:val="00584001"/>
    <w:rsid w:val="00597639"/>
    <w:rsid w:val="005B004E"/>
    <w:rsid w:val="005B568B"/>
    <w:rsid w:val="005C185C"/>
    <w:rsid w:val="005D3467"/>
    <w:rsid w:val="005E0696"/>
    <w:rsid w:val="005E0DB2"/>
    <w:rsid w:val="005F14E2"/>
    <w:rsid w:val="005F6ED2"/>
    <w:rsid w:val="00604106"/>
    <w:rsid w:val="006266D4"/>
    <w:rsid w:val="00631E45"/>
    <w:rsid w:val="0064426C"/>
    <w:rsid w:val="006545A0"/>
    <w:rsid w:val="00662B7F"/>
    <w:rsid w:val="00670731"/>
    <w:rsid w:val="006742C7"/>
    <w:rsid w:val="006B49D8"/>
    <w:rsid w:val="006B5C86"/>
    <w:rsid w:val="006B7E56"/>
    <w:rsid w:val="006C19E9"/>
    <w:rsid w:val="006C3607"/>
    <w:rsid w:val="006D1E91"/>
    <w:rsid w:val="006D210A"/>
    <w:rsid w:val="006D7E57"/>
    <w:rsid w:val="0070631D"/>
    <w:rsid w:val="00707832"/>
    <w:rsid w:val="00726555"/>
    <w:rsid w:val="0073060A"/>
    <w:rsid w:val="00730D09"/>
    <w:rsid w:val="00740D7E"/>
    <w:rsid w:val="007449EA"/>
    <w:rsid w:val="00747748"/>
    <w:rsid w:val="00747ADE"/>
    <w:rsid w:val="00754670"/>
    <w:rsid w:val="00756E43"/>
    <w:rsid w:val="00780950"/>
    <w:rsid w:val="0079454E"/>
    <w:rsid w:val="007A5327"/>
    <w:rsid w:val="007A5C90"/>
    <w:rsid w:val="007C04F4"/>
    <w:rsid w:val="007D0AC9"/>
    <w:rsid w:val="007D4386"/>
    <w:rsid w:val="007F1345"/>
    <w:rsid w:val="007F5B1B"/>
    <w:rsid w:val="00801981"/>
    <w:rsid w:val="00810B2A"/>
    <w:rsid w:val="00811306"/>
    <w:rsid w:val="00813AAF"/>
    <w:rsid w:val="0082763D"/>
    <w:rsid w:val="00830DD2"/>
    <w:rsid w:val="00832C24"/>
    <w:rsid w:val="00832FE4"/>
    <w:rsid w:val="008477D1"/>
    <w:rsid w:val="00854832"/>
    <w:rsid w:val="008673F7"/>
    <w:rsid w:val="00882B67"/>
    <w:rsid w:val="00884B87"/>
    <w:rsid w:val="008B6B08"/>
    <w:rsid w:val="008C4C68"/>
    <w:rsid w:val="008E59E1"/>
    <w:rsid w:val="00902F5C"/>
    <w:rsid w:val="00911A61"/>
    <w:rsid w:val="0092038E"/>
    <w:rsid w:val="009271C5"/>
    <w:rsid w:val="00946AFC"/>
    <w:rsid w:val="009A2075"/>
    <w:rsid w:val="009B1A78"/>
    <w:rsid w:val="009B39D3"/>
    <w:rsid w:val="009C2EAE"/>
    <w:rsid w:val="009D4894"/>
    <w:rsid w:val="00A03D41"/>
    <w:rsid w:val="00A1762A"/>
    <w:rsid w:val="00A233BE"/>
    <w:rsid w:val="00A25A63"/>
    <w:rsid w:val="00A26A5D"/>
    <w:rsid w:val="00A45D92"/>
    <w:rsid w:val="00A62995"/>
    <w:rsid w:val="00A64B0C"/>
    <w:rsid w:val="00A81839"/>
    <w:rsid w:val="00A86DFD"/>
    <w:rsid w:val="00A956BB"/>
    <w:rsid w:val="00AB67BF"/>
    <w:rsid w:val="00AC70C7"/>
    <w:rsid w:val="00AC7996"/>
    <w:rsid w:val="00AD168D"/>
    <w:rsid w:val="00AD5F6F"/>
    <w:rsid w:val="00AE02E3"/>
    <w:rsid w:val="00AE192B"/>
    <w:rsid w:val="00AE7AB7"/>
    <w:rsid w:val="00AF7A84"/>
    <w:rsid w:val="00B009B8"/>
    <w:rsid w:val="00B01938"/>
    <w:rsid w:val="00B0714C"/>
    <w:rsid w:val="00B2058A"/>
    <w:rsid w:val="00B2464A"/>
    <w:rsid w:val="00B304B4"/>
    <w:rsid w:val="00B41018"/>
    <w:rsid w:val="00B44836"/>
    <w:rsid w:val="00B61C06"/>
    <w:rsid w:val="00B67056"/>
    <w:rsid w:val="00B910CE"/>
    <w:rsid w:val="00BA30CF"/>
    <w:rsid w:val="00BA78BD"/>
    <w:rsid w:val="00BB0720"/>
    <w:rsid w:val="00BC2296"/>
    <w:rsid w:val="00BD4309"/>
    <w:rsid w:val="00BD51F9"/>
    <w:rsid w:val="00BE799A"/>
    <w:rsid w:val="00BF652D"/>
    <w:rsid w:val="00C02092"/>
    <w:rsid w:val="00C07219"/>
    <w:rsid w:val="00C22047"/>
    <w:rsid w:val="00C343C1"/>
    <w:rsid w:val="00C379B0"/>
    <w:rsid w:val="00C44111"/>
    <w:rsid w:val="00C44B6A"/>
    <w:rsid w:val="00C70463"/>
    <w:rsid w:val="00C91F8D"/>
    <w:rsid w:val="00C961B6"/>
    <w:rsid w:val="00CA188F"/>
    <w:rsid w:val="00CC51E0"/>
    <w:rsid w:val="00CC5629"/>
    <w:rsid w:val="00D137E7"/>
    <w:rsid w:val="00D22DC6"/>
    <w:rsid w:val="00D42CEF"/>
    <w:rsid w:val="00D5482D"/>
    <w:rsid w:val="00D844C9"/>
    <w:rsid w:val="00D90870"/>
    <w:rsid w:val="00DA05A7"/>
    <w:rsid w:val="00DA357F"/>
    <w:rsid w:val="00DA76DA"/>
    <w:rsid w:val="00DC1524"/>
    <w:rsid w:val="00DC6326"/>
    <w:rsid w:val="00DF7F00"/>
    <w:rsid w:val="00E122C3"/>
    <w:rsid w:val="00E174BA"/>
    <w:rsid w:val="00E3242B"/>
    <w:rsid w:val="00E35B6A"/>
    <w:rsid w:val="00E516D2"/>
    <w:rsid w:val="00E55D9A"/>
    <w:rsid w:val="00E6088B"/>
    <w:rsid w:val="00E60BC1"/>
    <w:rsid w:val="00E6399F"/>
    <w:rsid w:val="00E77954"/>
    <w:rsid w:val="00E80262"/>
    <w:rsid w:val="00E922BD"/>
    <w:rsid w:val="00E9259F"/>
    <w:rsid w:val="00EA1298"/>
    <w:rsid w:val="00EC2D90"/>
    <w:rsid w:val="00EC57D6"/>
    <w:rsid w:val="00EC69FA"/>
    <w:rsid w:val="00EE2CAD"/>
    <w:rsid w:val="00EF054D"/>
    <w:rsid w:val="00F0590E"/>
    <w:rsid w:val="00F15DE6"/>
    <w:rsid w:val="00F35740"/>
    <w:rsid w:val="00F55ADD"/>
    <w:rsid w:val="00F6105E"/>
    <w:rsid w:val="00F6396A"/>
    <w:rsid w:val="00F92BB4"/>
    <w:rsid w:val="00FA4013"/>
    <w:rsid w:val="00FB1329"/>
    <w:rsid w:val="00FB434C"/>
    <w:rsid w:val="00FB7B58"/>
    <w:rsid w:val="00FC02E5"/>
    <w:rsid w:val="00FC37EA"/>
    <w:rsid w:val="00FD5F1A"/>
    <w:rsid w:val="00FD6490"/>
    <w:rsid w:val="00FD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37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137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137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137E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D137E7"/>
    <w:rPr>
      <w:rFonts w:cs="Times New Roman"/>
    </w:rPr>
  </w:style>
  <w:style w:type="paragraph" w:styleId="ListParagraph">
    <w:name w:val="List Paragraph"/>
    <w:basedOn w:val="Normal"/>
    <w:uiPriority w:val="34"/>
    <w:qFormat/>
    <w:rsid w:val="00A86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0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5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5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58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C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D7E"/>
    <w:pPr>
      <w:spacing w:after="0" w:line="240" w:lineRule="auto"/>
    </w:pPr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EC69FA"/>
    <w:pPr>
      <w:spacing w:after="0" w:line="240" w:lineRule="auto"/>
    </w:pPr>
  </w:style>
  <w:style w:type="paragraph" w:customStyle="1" w:styleId="Default">
    <w:name w:val="Default"/>
    <w:rsid w:val="00530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37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137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137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137E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D137E7"/>
    <w:rPr>
      <w:rFonts w:cs="Times New Roman"/>
    </w:rPr>
  </w:style>
  <w:style w:type="paragraph" w:styleId="ListParagraph">
    <w:name w:val="List Paragraph"/>
    <w:basedOn w:val="Normal"/>
    <w:uiPriority w:val="34"/>
    <w:qFormat/>
    <w:rsid w:val="00A86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0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5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5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58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C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D7E"/>
    <w:pPr>
      <w:spacing w:after="0" w:line="240" w:lineRule="auto"/>
    </w:pPr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EC69FA"/>
    <w:pPr>
      <w:spacing w:after="0" w:line="240" w:lineRule="auto"/>
    </w:pPr>
  </w:style>
  <w:style w:type="paragraph" w:customStyle="1" w:styleId="Default">
    <w:name w:val="Default"/>
    <w:rsid w:val="00530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E49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C10AC-9E36-4B7B-8DBD-49B51DB3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8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11685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Pavlíková Katarína</dc:creator>
  <cp:lastModifiedBy>Pavlíková Katarína</cp:lastModifiedBy>
  <cp:revision>53</cp:revision>
  <cp:lastPrinted>2015-08-26T12:43:00Z</cp:lastPrinted>
  <dcterms:created xsi:type="dcterms:W3CDTF">2015-04-23T11:04:00Z</dcterms:created>
  <dcterms:modified xsi:type="dcterms:W3CDTF">2015-08-26T13:09:00Z</dcterms:modified>
</cp:coreProperties>
</file>