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7D3" w:rsidRDefault="008D31AC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9B47D3">
        <w:rPr>
          <w:rFonts w:asciiTheme="minorHAnsi" w:hAnsiTheme="minorHAnsi"/>
        </w:rPr>
        <w:t>Predpokladaný termín schválenia definitívneho znenia IGA a predpokladaný termín predloženia slovenského znenia IGA finančnému trhu? Plánujú sa prechodné ustanovenia v súvislosti s vnútroštátnou legislatívou(nórsky model)?</w:t>
      </w:r>
      <w:r w:rsidR="009B47D3" w:rsidRPr="009B47D3">
        <w:rPr>
          <w:rFonts w:asciiTheme="minorHAnsi" w:hAnsiTheme="minorHAnsi" w:cs="Arial"/>
        </w:rPr>
        <w:t xml:space="preserve"> </w:t>
      </w:r>
    </w:p>
    <w:p w:rsidR="001145E8" w:rsidRPr="009B47D3" w:rsidRDefault="001145E8" w:rsidP="001145E8">
      <w:pPr>
        <w:pStyle w:val="Odsekzoznamu"/>
        <w:spacing w:line="276" w:lineRule="auto"/>
        <w:rPr>
          <w:rFonts w:asciiTheme="minorHAnsi" w:hAnsiTheme="minorHAnsi" w:cs="Arial"/>
        </w:rPr>
      </w:pPr>
    </w:p>
    <w:p w:rsidR="001145E8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9B47D3">
        <w:rPr>
          <w:rFonts w:asciiTheme="minorHAnsi" w:hAnsiTheme="minorHAnsi"/>
        </w:rPr>
        <w:t>Kedy sa predpokladá dátum podpisu zmluvy a následnej ratifikácie?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8D31AC" w:rsidRDefault="008D31AC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9B47D3">
        <w:rPr>
          <w:rFonts w:asciiTheme="minorHAnsi" w:hAnsiTheme="minorHAnsi"/>
        </w:rPr>
        <w:t>Akým spôsobom sa plánuje úprava vnútroštátnej legislatívy? Ktoré predpisy sa budú novelizovať v súvislosti s implementáciou FATCA (časový harmonogram) a v akom rozsahu?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8D31AC" w:rsidRDefault="008D31AC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9B47D3">
        <w:rPr>
          <w:rFonts w:asciiTheme="minorHAnsi" w:hAnsiTheme="minorHAnsi"/>
        </w:rPr>
        <w:t>Bude registrácia v IRS povinná aj pre slovenské finančné inštitúcie aj v prípade, ak SR podpíše IGA do konca r. 2013?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2A65D9" w:rsidRDefault="008D31AC" w:rsidP="002A65D9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A65D9">
        <w:rPr>
          <w:rFonts w:asciiTheme="minorHAnsi" w:hAnsiTheme="minorHAnsi"/>
        </w:rPr>
        <w:t>Čo MF SR odporúča slovenským finančným inštitúciám v prípade, ak nebude do konca roka podpísaná IGA? Majú podpísať dohodu s IRS a zaviazať sa na povinnosti, ktoré im vnútroštátna legislatíva neumožňuje?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9B47D3" w:rsidRPr="001145E8" w:rsidRDefault="009B47D3" w:rsidP="002A65D9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2A65D9">
        <w:rPr>
          <w:rFonts w:asciiTheme="minorHAnsi" w:hAnsiTheme="minorHAnsi"/>
        </w:rPr>
        <w:t xml:space="preserve">Ako vyriešiť obdobie od 1.1.2014 do účinnosti IGA medzi SR a USA tak, aby FFI nebola považovaná za </w:t>
      </w:r>
      <w:proofErr w:type="spellStart"/>
      <w:r w:rsidRPr="002A65D9">
        <w:rPr>
          <w:rFonts w:asciiTheme="minorHAnsi" w:hAnsiTheme="minorHAnsi"/>
        </w:rPr>
        <w:t>non-participating</w:t>
      </w:r>
      <w:proofErr w:type="spellEnd"/>
      <w:r w:rsidRPr="002A65D9">
        <w:rPr>
          <w:rFonts w:asciiTheme="minorHAnsi" w:hAnsiTheme="minorHAnsi"/>
        </w:rPr>
        <w:t xml:space="preserve">? Predpokladáme, že IGA bude účinná až po 1.1.2014. Budeme musieť v tomto medziobdobí postupovať podľa </w:t>
      </w:r>
      <w:proofErr w:type="spellStart"/>
      <w:r w:rsidRPr="002A65D9">
        <w:rPr>
          <w:rFonts w:asciiTheme="minorHAnsi" w:hAnsiTheme="minorHAnsi"/>
        </w:rPr>
        <w:t>Regulation</w:t>
      </w:r>
      <w:proofErr w:type="spellEnd"/>
      <w:r w:rsidRPr="002A65D9">
        <w:rPr>
          <w:rFonts w:asciiTheme="minorHAnsi" w:hAnsiTheme="minorHAnsi"/>
        </w:rPr>
        <w:t xml:space="preserve">? </w:t>
      </w:r>
      <w:r w:rsidRPr="002A65D9">
        <w:rPr>
          <w:rFonts w:asciiTheme="minorHAnsi" w:hAnsiTheme="minorHAnsi" w:cs="Arial"/>
        </w:rPr>
        <w:t>Upozor</w:t>
      </w:r>
      <w:r w:rsidR="00BB72DF">
        <w:rPr>
          <w:rFonts w:asciiTheme="minorHAnsi" w:hAnsiTheme="minorHAnsi" w:cs="Arial"/>
        </w:rPr>
        <w:t>ň</w:t>
      </w:r>
      <w:r w:rsidRPr="002A65D9">
        <w:rPr>
          <w:rFonts w:asciiTheme="minorHAnsi" w:hAnsiTheme="minorHAnsi" w:cs="Arial"/>
        </w:rPr>
        <w:t xml:space="preserve">ujeme, </w:t>
      </w:r>
      <w:r w:rsidR="00BB72DF">
        <w:rPr>
          <w:rFonts w:asciiTheme="minorHAnsi" w:hAnsiTheme="minorHAnsi" w:cs="Arial"/>
        </w:rPr>
        <w:t>ž</w:t>
      </w:r>
      <w:r w:rsidRPr="002A65D9">
        <w:rPr>
          <w:rFonts w:asciiTheme="minorHAnsi" w:hAnsiTheme="minorHAnsi" w:cs="Arial"/>
        </w:rPr>
        <w:t>e s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hlas dotknutej osoby so spracovan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m jej osobn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 xml:space="preserve">ch 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dajov je v zmysle z</w:t>
      </w:r>
      <w:r w:rsidR="00BB72DF">
        <w:rPr>
          <w:rFonts w:asciiTheme="minorHAnsi" w:hAnsiTheme="minorHAnsi" w:cs="Arial"/>
        </w:rPr>
        <w:t>á</w:t>
      </w:r>
      <w:r w:rsidRPr="002A65D9">
        <w:rPr>
          <w:rFonts w:asciiTheme="minorHAnsi" w:hAnsiTheme="minorHAnsi" w:cs="Arial"/>
        </w:rPr>
        <w:t xml:space="preserve">kona </w:t>
      </w:r>
      <w:r w:rsidR="00BB72DF">
        <w:rPr>
          <w:rFonts w:asciiTheme="minorHAnsi" w:hAnsiTheme="minorHAnsi" w:cs="Arial"/>
        </w:rPr>
        <w:t>č</w:t>
      </w:r>
      <w:r w:rsidRPr="002A65D9">
        <w:rPr>
          <w:rFonts w:asciiTheme="minorHAnsi" w:hAnsiTheme="minorHAnsi" w:cs="Arial"/>
        </w:rPr>
        <w:t xml:space="preserve">. 122/2013 </w:t>
      </w:r>
      <w:proofErr w:type="spellStart"/>
      <w:r w:rsidRPr="002A65D9">
        <w:rPr>
          <w:rFonts w:asciiTheme="minorHAnsi" w:hAnsiTheme="minorHAnsi" w:cs="Arial"/>
        </w:rPr>
        <w:t>Z.z</w:t>
      </w:r>
      <w:proofErr w:type="spellEnd"/>
      <w:r w:rsidRPr="002A65D9">
        <w:rPr>
          <w:rFonts w:asciiTheme="minorHAnsi" w:hAnsiTheme="minorHAnsi" w:cs="Arial"/>
        </w:rPr>
        <w:t>. o ochrane osobn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 xml:space="preserve">ch 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dajov dobrovo</w:t>
      </w:r>
      <w:r w:rsidR="00BB72DF">
        <w:rPr>
          <w:rFonts w:asciiTheme="minorHAnsi" w:hAnsiTheme="minorHAnsi" w:cs="Arial"/>
        </w:rPr>
        <w:t>ľ</w:t>
      </w:r>
      <w:r w:rsidRPr="002A65D9">
        <w:rPr>
          <w:rFonts w:asciiTheme="minorHAnsi" w:hAnsiTheme="minorHAnsi" w:cs="Arial"/>
        </w:rPr>
        <w:t>n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 xml:space="preserve"> a tento s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hlas si prev</w:t>
      </w:r>
      <w:r w:rsidR="00BB72DF">
        <w:rPr>
          <w:rFonts w:asciiTheme="minorHAnsi" w:hAnsiTheme="minorHAnsi" w:cs="Arial"/>
        </w:rPr>
        <w:t>á</w:t>
      </w:r>
      <w:r w:rsidRPr="002A65D9">
        <w:rPr>
          <w:rFonts w:asciiTheme="minorHAnsi" w:hAnsiTheme="minorHAnsi" w:cs="Arial"/>
        </w:rPr>
        <w:t>dzkovate</w:t>
      </w:r>
      <w:r w:rsidR="00BB72DF">
        <w:rPr>
          <w:rFonts w:asciiTheme="minorHAnsi" w:hAnsiTheme="minorHAnsi" w:cs="Arial"/>
        </w:rPr>
        <w:t xml:space="preserve">ľ </w:t>
      </w:r>
      <w:r w:rsidRPr="002A65D9">
        <w:rPr>
          <w:rFonts w:asciiTheme="minorHAnsi" w:hAnsiTheme="minorHAnsi" w:cs="Arial"/>
        </w:rPr>
        <w:t>nem</w:t>
      </w:r>
      <w:r w:rsidR="00BB72DF">
        <w:rPr>
          <w:rFonts w:asciiTheme="minorHAnsi" w:hAnsiTheme="minorHAnsi" w:cs="Arial"/>
        </w:rPr>
        <w:t>ôž</w:t>
      </w:r>
      <w:r w:rsidRPr="002A65D9">
        <w:rPr>
          <w:rFonts w:asciiTheme="minorHAnsi" w:hAnsiTheme="minorHAnsi" w:cs="Arial"/>
        </w:rPr>
        <w:t>e vynucova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 a ani podmie</w:t>
      </w:r>
      <w:r w:rsidR="00BB72DF">
        <w:rPr>
          <w:rFonts w:asciiTheme="minorHAnsi" w:hAnsiTheme="minorHAnsi" w:cs="Arial"/>
        </w:rPr>
        <w:t>ň</w:t>
      </w:r>
      <w:r w:rsidRPr="002A65D9">
        <w:rPr>
          <w:rFonts w:asciiTheme="minorHAnsi" w:hAnsiTheme="minorHAnsi" w:cs="Arial"/>
        </w:rPr>
        <w:t>ova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 hrozbou odmietnutia zmluvn</w:t>
      </w:r>
      <w:r w:rsidR="00BB72DF">
        <w:rPr>
          <w:rFonts w:asciiTheme="minorHAnsi" w:hAnsiTheme="minorHAnsi" w:cs="Arial"/>
        </w:rPr>
        <w:t>é</w:t>
      </w:r>
      <w:r w:rsidRPr="002A65D9">
        <w:rPr>
          <w:rFonts w:asciiTheme="minorHAnsi" w:hAnsiTheme="minorHAnsi" w:cs="Arial"/>
        </w:rPr>
        <w:t>ho vz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>ahu. Na druhej strane nez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skanie potrebn</w:t>
      </w:r>
      <w:r w:rsidR="00BB72DF">
        <w:rPr>
          <w:rFonts w:asciiTheme="minorHAnsi" w:hAnsiTheme="minorHAnsi" w:cs="Arial"/>
        </w:rPr>
        <w:t>é</w:t>
      </w:r>
      <w:r w:rsidRPr="002A65D9">
        <w:rPr>
          <w:rFonts w:asciiTheme="minorHAnsi" w:hAnsiTheme="minorHAnsi" w:cs="Arial"/>
        </w:rPr>
        <w:t>ho s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hlasu dotknutej osoby so spracov</w:t>
      </w:r>
      <w:r w:rsidR="00BB72DF">
        <w:rPr>
          <w:rFonts w:asciiTheme="minorHAnsi" w:hAnsiTheme="minorHAnsi" w:cs="Arial"/>
        </w:rPr>
        <w:t>á</w:t>
      </w:r>
      <w:r w:rsidRPr="002A65D9">
        <w:rPr>
          <w:rFonts w:asciiTheme="minorHAnsi" w:hAnsiTheme="minorHAnsi" w:cs="Arial"/>
        </w:rPr>
        <w:t>van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m jej osobn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 xml:space="preserve">ch 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 xml:space="preserve">dajov pre </w:t>
      </w:r>
      <w:r w:rsidR="00BB72DF">
        <w:rPr>
          <w:rFonts w:asciiTheme="minorHAnsi" w:hAnsiTheme="minorHAnsi" w:cs="Arial"/>
        </w:rPr>
        <w:t>úč</w:t>
      </w:r>
      <w:r w:rsidRPr="002A65D9">
        <w:rPr>
          <w:rFonts w:asciiTheme="minorHAnsi" w:hAnsiTheme="minorHAnsi" w:cs="Arial"/>
        </w:rPr>
        <w:t>ely FATCA v pr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pade, ak sa u danej osoby zisti US ind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cia a tak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>to s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hlas dan</w:t>
      </w:r>
      <w:r w:rsidR="00BB72DF">
        <w:rPr>
          <w:rFonts w:asciiTheme="minorHAnsi" w:hAnsiTheme="minorHAnsi" w:cs="Arial"/>
        </w:rPr>
        <w:t>á</w:t>
      </w:r>
      <w:r w:rsidRPr="002A65D9">
        <w:rPr>
          <w:rFonts w:asciiTheme="minorHAnsi" w:hAnsiTheme="minorHAnsi" w:cs="Arial"/>
        </w:rPr>
        <w:t xml:space="preserve"> osoba odoprie, bude znamena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, </w:t>
      </w:r>
      <w:r w:rsidR="00BB72DF">
        <w:rPr>
          <w:rFonts w:asciiTheme="minorHAnsi" w:hAnsiTheme="minorHAnsi" w:cs="Arial"/>
        </w:rPr>
        <w:t>ž</w:t>
      </w:r>
      <w:r w:rsidRPr="002A65D9">
        <w:rPr>
          <w:rFonts w:asciiTheme="minorHAnsi" w:hAnsiTheme="minorHAnsi" w:cs="Arial"/>
        </w:rPr>
        <w:t>e FFI nebude m</w:t>
      </w:r>
      <w:r w:rsidR="00BB72DF">
        <w:rPr>
          <w:rFonts w:asciiTheme="minorHAnsi" w:hAnsiTheme="minorHAnsi" w:cs="Arial"/>
        </w:rPr>
        <w:t>ô</w:t>
      </w:r>
      <w:r w:rsidRPr="002A65D9">
        <w:rPr>
          <w:rFonts w:asciiTheme="minorHAnsi" w:hAnsiTheme="minorHAnsi" w:cs="Arial"/>
        </w:rPr>
        <w:t>c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 plni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 vo</w:t>
      </w:r>
      <w:r w:rsidR="00BB72DF">
        <w:rPr>
          <w:rFonts w:asciiTheme="minorHAnsi" w:hAnsiTheme="minorHAnsi" w:cs="Arial"/>
        </w:rPr>
        <w:t>č</w:t>
      </w:r>
      <w:r w:rsidRPr="002A65D9">
        <w:rPr>
          <w:rFonts w:asciiTheme="minorHAnsi" w:hAnsiTheme="minorHAnsi" w:cs="Arial"/>
        </w:rPr>
        <w:t>i IRS povinnosti (</w:t>
      </w:r>
      <w:proofErr w:type="spellStart"/>
      <w:r w:rsidRPr="002A65D9">
        <w:rPr>
          <w:rFonts w:asciiTheme="minorHAnsi" w:hAnsiTheme="minorHAnsi" w:cs="Arial"/>
        </w:rPr>
        <w:t>reporting</w:t>
      </w:r>
      <w:proofErr w:type="spellEnd"/>
      <w:r w:rsidRPr="002A65D9">
        <w:rPr>
          <w:rFonts w:asciiTheme="minorHAnsi" w:hAnsiTheme="minorHAnsi" w:cs="Arial"/>
        </w:rPr>
        <w:t>), ktor</w:t>
      </w:r>
      <w:r w:rsidR="00BB72DF">
        <w:rPr>
          <w:rFonts w:asciiTheme="minorHAnsi" w:hAnsiTheme="minorHAnsi" w:cs="Arial"/>
        </w:rPr>
        <w:t>é</w:t>
      </w:r>
      <w:r w:rsidRPr="002A65D9">
        <w:rPr>
          <w:rFonts w:asciiTheme="minorHAnsi" w:hAnsiTheme="minorHAnsi" w:cs="Arial"/>
        </w:rPr>
        <w:t xml:space="preserve"> jej z FATCA vypl</w:t>
      </w:r>
      <w:r w:rsidR="00BB72DF">
        <w:rPr>
          <w:rFonts w:asciiTheme="minorHAnsi" w:hAnsiTheme="minorHAnsi" w:cs="Arial"/>
        </w:rPr>
        <w:t>ý</w:t>
      </w:r>
      <w:r w:rsidRPr="002A65D9">
        <w:rPr>
          <w:rFonts w:asciiTheme="minorHAnsi" w:hAnsiTheme="minorHAnsi" w:cs="Arial"/>
        </w:rPr>
        <w:t>vaj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, pri</w:t>
      </w:r>
      <w:r w:rsidR="00BB72DF">
        <w:rPr>
          <w:rFonts w:asciiTheme="minorHAnsi" w:hAnsiTheme="minorHAnsi" w:cs="Arial"/>
        </w:rPr>
        <w:t>č</w:t>
      </w:r>
      <w:r w:rsidRPr="002A65D9">
        <w:rPr>
          <w:rFonts w:asciiTheme="minorHAnsi" w:hAnsiTheme="minorHAnsi" w:cs="Arial"/>
        </w:rPr>
        <w:t>om v</w:t>
      </w:r>
      <w:r w:rsidR="00BB72DF">
        <w:rPr>
          <w:rFonts w:asciiTheme="minorHAnsi" w:hAnsiTheme="minorHAnsi" w:cs="Arial"/>
        </w:rPr>
        <w:t>š</w:t>
      </w:r>
      <w:r w:rsidRPr="002A65D9">
        <w:rPr>
          <w:rFonts w:asciiTheme="minorHAnsi" w:hAnsiTheme="minorHAnsi" w:cs="Arial"/>
        </w:rPr>
        <w:t xml:space="preserve">ak v tom </w:t>
      </w:r>
      <w:r w:rsidR="00BB72DF">
        <w:rPr>
          <w:rFonts w:asciiTheme="minorHAnsi" w:hAnsiTheme="minorHAnsi" w:cs="Arial"/>
        </w:rPr>
        <w:t>č</w:t>
      </w:r>
      <w:r w:rsidRPr="002A65D9">
        <w:rPr>
          <w:rFonts w:asciiTheme="minorHAnsi" w:hAnsiTheme="minorHAnsi" w:cs="Arial"/>
        </w:rPr>
        <w:t>ase nebude ani existova</w:t>
      </w:r>
      <w:r w:rsidR="00BB72DF">
        <w:rPr>
          <w:rFonts w:asciiTheme="minorHAnsi" w:hAnsiTheme="minorHAnsi" w:cs="Arial"/>
        </w:rPr>
        <w:t>ť</w:t>
      </w:r>
      <w:r w:rsidRPr="002A65D9">
        <w:rPr>
          <w:rFonts w:asciiTheme="minorHAnsi" w:hAnsiTheme="minorHAnsi" w:cs="Arial"/>
        </w:rPr>
        <w:t xml:space="preserve"> vn</w:t>
      </w:r>
      <w:r w:rsidR="00BB72DF">
        <w:rPr>
          <w:rFonts w:asciiTheme="minorHAnsi" w:hAnsiTheme="minorHAnsi" w:cs="Arial"/>
        </w:rPr>
        <w:t>ú</w:t>
      </w:r>
      <w:r w:rsidRPr="002A65D9">
        <w:rPr>
          <w:rFonts w:asciiTheme="minorHAnsi" w:hAnsiTheme="minorHAnsi" w:cs="Arial"/>
        </w:rPr>
        <w:t>tro</w:t>
      </w:r>
      <w:r w:rsidR="00BB72DF">
        <w:rPr>
          <w:rFonts w:asciiTheme="minorHAnsi" w:hAnsiTheme="minorHAnsi" w:cs="Arial"/>
        </w:rPr>
        <w:t>š</w:t>
      </w:r>
      <w:r w:rsidRPr="002A65D9">
        <w:rPr>
          <w:rFonts w:asciiTheme="minorHAnsi" w:hAnsiTheme="minorHAnsi" w:cs="Arial"/>
        </w:rPr>
        <w:t>t</w:t>
      </w:r>
      <w:r w:rsidR="00BB72DF">
        <w:rPr>
          <w:rFonts w:asciiTheme="minorHAnsi" w:hAnsiTheme="minorHAnsi" w:cs="Arial"/>
        </w:rPr>
        <w:t>á</w:t>
      </w:r>
      <w:r w:rsidRPr="002A65D9">
        <w:rPr>
          <w:rFonts w:asciiTheme="minorHAnsi" w:hAnsiTheme="minorHAnsi" w:cs="Arial"/>
        </w:rPr>
        <w:t>tna legislat</w:t>
      </w:r>
      <w:r w:rsidR="00BB72DF">
        <w:rPr>
          <w:rFonts w:asciiTheme="minorHAnsi" w:hAnsiTheme="minorHAnsi" w:cs="Arial"/>
        </w:rPr>
        <w:t>í</w:t>
      </w:r>
      <w:r w:rsidRPr="002A65D9">
        <w:rPr>
          <w:rFonts w:asciiTheme="minorHAnsi" w:hAnsiTheme="minorHAnsi" w:cs="Arial"/>
        </w:rPr>
        <w:t>va oh</w:t>
      </w:r>
      <w:r w:rsidR="00BB72DF">
        <w:rPr>
          <w:rFonts w:asciiTheme="minorHAnsi" w:hAnsiTheme="minorHAnsi" w:cs="Arial"/>
        </w:rPr>
        <w:t>ľ</w:t>
      </w:r>
      <w:r w:rsidRPr="002A65D9">
        <w:rPr>
          <w:rFonts w:asciiTheme="minorHAnsi" w:hAnsiTheme="minorHAnsi" w:cs="Arial"/>
        </w:rPr>
        <w:t xml:space="preserve">adom FATCA. 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8D31AC" w:rsidRPr="009B47D3" w:rsidRDefault="008D31AC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r w:rsidRPr="009B47D3">
        <w:rPr>
          <w:rFonts w:asciiTheme="minorHAnsi" w:hAnsiTheme="minorHAnsi"/>
        </w:rPr>
        <w:t>Ďalej by sme chceli prekonzultovať pripomienky zasla</w:t>
      </w:r>
      <w:r w:rsidR="00433C26">
        <w:rPr>
          <w:rFonts w:asciiTheme="minorHAnsi" w:hAnsiTheme="minorHAnsi"/>
        </w:rPr>
        <w:t>né</w:t>
      </w:r>
      <w:r w:rsidRPr="009B47D3">
        <w:rPr>
          <w:rFonts w:asciiTheme="minorHAnsi" w:hAnsiTheme="minorHAnsi"/>
        </w:rPr>
        <w:t xml:space="preserve"> k Prílohe II:</w:t>
      </w:r>
    </w:p>
    <w:p w:rsidR="008D31AC" w:rsidRPr="009B47D3" w:rsidRDefault="008D31AC" w:rsidP="001145E8">
      <w:pPr>
        <w:pStyle w:val="Obyajntext"/>
        <w:tabs>
          <w:tab w:val="left" w:pos="1276"/>
        </w:tabs>
        <w:spacing w:line="276" w:lineRule="auto"/>
        <w:ind w:left="709"/>
        <w:jc w:val="both"/>
        <w:rPr>
          <w:rFonts w:asciiTheme="minorHAnsi" w:hAnsiTheme="minorHAnsi"/>
        </w:rPr>
      </w:pPr>
      <w:r w:rsidRPr="009B47D3">
        <w:rPr>
          <w:rFonts w:asciiTheme="minorHAnsi" w:hAnsiTheme="minorHAnsi"/>
        </w:rPr>
        <w:t xml:space="preserve">Z nášho pohľadu považujeme za dôležité doplniť do slovenskej verzie Prílohy č. II v celom rozsahu najmä ustanovenia  časti. III </w:t>
      </w:r>
      <w:proofErr w:type="spellStart"/>
      <w:r w:rsidRPr="009B47D3">
        <w:rPr>
          <w:rFonts w:asciiTheme="minorHAnsi" w:hAnsiTheme="minorHAnsi"/>
        </w:rPr>
        <w:t>Small</w:t>
      </w:r>
      <w:proofErr w:type="spellEnd"/>
      <w:r w:rsidRPr="009B47D3">
        <w:rPr>
          <w:rFonts w:asciiTheme="minorHAnsi" w:hAnsiTheme="minorHAnsi"/>
        </w:rPr>
        <w:t xml:space="preserve"> or </w:t>
      </w:r>
      <w:proofErr w:type="spellStart"/>
      <w:r w:rsidRPr="009B47D3">
        <w:rPr>
          <w:rFonts w:asciiTheme="minorHAnsi" w:hAnsiTheme="minorHAnsi"/>
        </w:rPr>
        <w:t>Limited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Scope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Financial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Institutions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that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Qualify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as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Deemed</w:t>
      </w:r>
      <w:proofErr w:type="spellEnd"/>
      <w:r w:rsidRPr="009B47D3">
        <w:rPr>
          <w:rFonts w:asciiTheme="minorHAnsi" w:hAnsiTheme="minorHAnsi"/>
        </w:rPr>
        <w:t xml:space="preserve">  - </w:t>
      </w:r>
      <w:proofErr w:type="spellStart"/>
      <w:r w:rsidRPr="009B47D3">
        <w:rPr>
          <w:rFonts w:asciiTheme="minorHAnsi" w:hAnsiTheme="minorHAnsi"/>
        </w:rPr>
        <w:t>Compliant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FFIs</w:t>
      </w:r>
      <w:proofErr w:type="spellEnd"/>
      <w:r w:rsidRPr="009B47D3">
        <w:rPr>
          <w:rFonts w:asciiTheme="minorHAnsi" w:hAnsiTheme="minorHAnsi"/>
        </w:rPr>
        <w:t>  t.j. všetky body A, B, C, a D tejto časti vrátane ustanovení týkajúcich sa "</w:t>
      </w:r>
      <w:proofErr w:type="spellStart"/>
      <w:r w:rsidRPr="009B47D3">
        <w:rPr>
          <w:rFonts w:asciiTheme="minorHAnsi" w:hAnsiTheme="minorHAnsi"/>
        </w:rPr>
        <w:t>Financial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Institution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with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Only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Low</w:t>
      </w:r>
      <w:proofErr w:type="spellEnd"/>
      <w:r w:rsidRPr="009B47D3">
        <w:rPr>
          <w:rFonts w:asciiTheme="minorHAnsi" w:hAnsiTheme="minorHAnsi"/>
        </w:rPr>
        <w:t xml:space="preserve"> - </w:t>
      </w:r>
      <w:proofErr w:type="spellStart"/>
      <w:r w:rsidRPr="009B47D3">
        <w:rPr>
          <w:rFonts w:asciiTheme="minorHAnsi" w:hAnsiTheme="minorHAnsi"/>
        </w:rPr>
        <w:t>Value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Accounts</w:t>
      </w:r>
      <w:proofErr w:type="spellEnd"/>
      <w:r w:rsidRPr="009B47D3">
        <w:rPr>
          <w:rFonts w:asciiTheme="minorHAnsi" w:hAnsiTheme="minorHAnsi"/>
        </w:rPr>
        <w:t xml:space="preserve">". V rámci tohto ustanovenia v čl. III písm. C by sme chceli prekonzultovať s MF SR </w:t>
      </w:r>
      <w:r w:rsidRPr="009B47D3">
        <w:rPr>
          <w:rFonts w:asciiTheme="minorHAnsi" w:hAnsiTheme="minorHAnsi"/>
          <w:b/>
          <w:bCs/>
        </w:rPr>
        <w:t>či je priestor na vypustenie podmienky týkajúcej sa  "</w:t>
      </w:r>
      <w:proofErr w:type="spellStart"/>
      <w:r w:rsidRPr="009B47D3">
        <w:rPr>
          <w:rFonts w:asciiTheme="minorHAnsi" w:hAnsiTheme="minorHAnsi"/>
          <w:b/>
          <w:bCs/>
        </w:rPr>
        <w:t>Related</w:t>
      </w:r>
      <w:proofErr w:type="spellEnd"/>
      <w:r w:rsidRPr="009B47D3">
        <w:rPr>
          <w:rFonts w:asciiTheme="minorHAnsi" w:hAnsiTheme="minorHAnsi"/>
          <w:b/>
          <w:bCs/>
        </w:rPr>
        <w:t xml:space="preserve"> Entity</w:t>
      </w:r>
      <w:r w:rsidRPr="009B47D3">
        <w:rPr>
          <w:rFonts w:asciiTheme="minorHAnsi" w:hAnsiTheme="minorHAnsi"/>
        </w:rPr>
        <w:t xml:space="preserve">" z bodu 2. a 3. </w:t>
      </w:r>
    </w:p>
    <w:p w:rsidR="008D31AC" w:rsidRPr="009B47D3" w:rsidRDefault="008D31AC" w:rsidP="001145E8">
      <w:pPr>
        <w:pStyle w:val="Obyajntext"/>
        <w:tabs>
          <w:tab w:val="left" w:pos="1276"/>
        </w:tabs>
        <w:spacing w:line="276" w:lineRule="auto"/>
        <w:ind w:left="709"/>
        <w:jc w:val="both"/>
        <w:rPr>
          <w:rFonts w:asciiTheme="minorHAnsi" w:hAnsiTheme="minorHAnsi"/>
        </w:rPr>
      </w:pPr>
    </w:p>
    <w:p w:rsidR="008D31AC" w:rsidRPr="009B47D3" w:rsidRDefault="008D31AC" w:rsidP="001145E8">
      <w:pPr>
        <w:pStyle w:val="Obyajntext"/>
        <w:tabs>
          <w:tab w:val="left" w:pos="1276"/>
        </w:tabs>
        <w:spacing w:line="276" w:lineRule="auto"/>
        <w:ind w:left="709"/>
        <w:jc w:val="both"/>
        <w:rPr>
          <w:rFonts w:asciiTheme="minorHAnsi" w:hAnsiTheme="minorHAnsi"/>
        </w:rPr>
      </w:pPr>
      <w:r w:rsidRPr="009B47D3">
        <w:rPr>
          <w:rFonts w:asciiTheme="minorHAnsi" w:hAnsiTheme="minorHAnsi"/>
          <w:b/>
          <w:bCs/>
        </w:rPr>
        <w:t>Odôvodnenie:</w:t>
      </w:r>
      <w:r w:rsidRPr="009B47D3">
        <w:rPr>
          <w:rFonts w:asciiTheme="minorHAnsi" w:hAnsiTheme="minorHAnsi"/>
        </w:rPr>
        <w:t xml:space="preserve"> Malé finančné inštitúcie, ktoré by mohli spĺňať uvedenú definíciu sa môžu dostať mimo dosahu definície, najmä kvôli podmienke týkajúcej sa "</w:t>
      </w:r>
      <w:proofErr w:type="spellStart"/>
      <w:r w:rsidRPr="009B47D3">
        <w:rPr>
          <w:rFonts w:asciiTheme="minorHAnsi" w:hAnsiTheme="minorHAnsi"/>
        </w:rPr>
        <w:t>Related</w:t>
      </w:r>
      <w:proofErr w:type="spellEnd"/>
      <w:r w:rsidRPr="009B47D3">
        <w:rPr>
          <w:rFonts w:asciiTheme="minorHAnsi" w:hAnsiTheme="minorHAnsi"/>
        </w:rPr>
        <w:t xml:space="preserve"> Entity", ktoré sú široko definované (uvedený problém sa týka aj definície „</w:t>
      </w:r>
      <w:proofErr w:type="spellStart"/>
      <w:r w:rsidRPr="009B47D3">
        <w:rPr>
          <w:rFonts w:asciiTheme="minorHAnsi" w:hAnsiTheme="minorHAnsi"/>
          <w:b/>
          <w:bCs/>
        </w:rPr>
        <w:t>Financial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Institution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with</w:t>
      </w:r>
      <w:proofErr w:type="spellEnd"/>
      <w:r w:rsidRPr="009B47D3">
        <w:rPr>
          <w:rFonts w:asciiTheme="minorHAnsi" w:hAnsiTheme="minorHAnsi"/>
          <w:b/>
          <w:bCs/>
        </w:rPr>
        <w:t xml:space="preserve"> a </w:t>
      </w:r>
      <w:proofErr w:type="spellStart"/>
      <w:r w:rsidRPr="009B47D3">
        <w:rPr>
          <w:rFonts w:asciiTheme="minorHAnsi" w:hAnsiTheme="minorHAnsi"/>
          <w:b/>
          <w:bCs/>
        </w:rPr>
        <w:t>Local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Client</w:t>
      </w:r>
      <w:proofErr w:type="spellEnd"/>
      <w:r w:rsidRPr="009B47D3">
        <w:rPr>
          <w:rFonts w:asciiTheme="minorHAnsi" w:hAnsiTheme="minorHAnsi"/>
          <w:b/>
          <w:bCs/>
        </w:rPr>
        <w:t xml:space="preserve"> Base“</w:t>
      </w:r>
      <w:r w:rsidRPr="009B47D3">
        <w:rPr>
          <w:rFonts w:asciiTheme="minorHAnsi" w:hAnsiTheme="minorHAnsi"/>
        </w:rPr>
        <w:t xml:space="preserve">) Príklad: ak napr. malá poisťovňa splní všetky podmienky </w:t>
      </w:r>
      <w:proofErr w:type="spellStart"/>
      <w:r w:rsidRPr="009B47D3">
        <w:rPr>
          <w:rFonts w:asciiTheme="minorHAnsi" w:hAnsiTheme="minorHAnsi"/>
        </w:rPr>
        <w:t>Low</w:t>
      </w:r>
      <w:proofErr w:type="spellEnd"/>
      <w:r w:rsidRPr="009B47D3">
        <w:rPr>
          <w:rFonts w:asciiTheme="minorHAnsi" w:hAnsiTheme="minorHAnsi"/>
        </w:rPr>
        <w:t xml:space="preserve"> - </w:t>
      </w:r>
      <w:proofErr w:type="spellStart"/>
      <w:r w:rsidRPr="009B47D3">
        <w:rPr>
          <w:rFonts w:asciiTheme="minorHAnsi" w:hAnsiTheme="minorHAnsi"/>
        </w:rPr>
        <w:t>Value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Accounts</w:t>
      </w:r>
      <w:proofErr w:type="spellEnd"/>
      <w:r w:rsidRPr="009B47D3">
        <w:rPr>
          <w:rFonts w:asciiTheme="minorHAnsi" w:hAnsiTheme="minorHAnsi"/>
        </w:rPr>
        <w:t>, nebude spĺňať podmienky definície kvôli niektorému subjektu v Skupine, ktorej je súčasťou, pričom plnenie FATCA povinností takouto malou finančnou inštitúciou  spravujúcou výlučne „</w:t>
      </w:r>
      <w:proofErr w:type="spellStart"/>
      <w:r w:rsidRPr="009B47D3">
        <w:rPr>
          <w:rFonts w:asciiTheme="minorHAnsi" w:hAnsiTheme="minorHAnsi"/>
        </w:rPr>
        <w:t>Low</w:t>
      </w:r>
      <w:proofErr w:type="spellEnd"/>
      <w:r w:rsidRPr="009B47D3">
        <w:rPr>
          <w:rFonts w:asciiTheme="minorHAnsi" w:hAnsiTheme="minorHAnsi"/>
        </w:rPr>
        <w:t xml:space="preserve"> – </w:t>
      </w:r>
      <w:proofErr w:type="spellStart"/>
      <w:r w:rsidRPr="009B47D3">
        <w:rPr>
          <w:rFonts w:asciiTheme="minorHAnsi" w:hAnsiTheme="minorHAnsi"/>
        </w:rPr>
        <w:t>Value</w:t>
      </w:r>
      <w:proofErr w:type="spellEnd"/>
      <w:r w:rsidRPr="009B47D3">
        <w:rPr>
          <w:rFonts w:asciiTheme="minorHAnsi" w:hAnsiTheme="minorHAnsi"/>
        </w:rPr>
        <w:t xml:space="preserve"> </w:t>
      </w:r>
      <w:proofErr w:type="spellStart"/>
      <w:r w:rsidRPr="009B47D3">
        <w:rPr>
          <w:rFonts w:asciiTheme="minorHAnsi" w:hAnsiTheme="minorHAnsi"/>
        </w:rPr>
        <w:t>Accounts</w:t>
      </w:r>
      <w:proofErr w:type="spellEnd"/>
      <w:r w:rsidRPr="009B47D3">
        <w:rPr>
          <w:rFonts w:asciiTheme="minorHAnsi" w:hAnsiTheme="minorHAnsi"/>
        </w:rPr>
        <w:t>“  nebude mať žiadnu pridanú hodnotu a bude znamenať len zbytočné zvýšenie administratívnej záťaže. Praktická aplikácia uvedeného ustanovenia je navyše veľmi problematická. Z pohľadu nižšie postavenej spoločnosti v rámci Skupiny nie sú dané reálne možnosti zisťovania hodnoty účtov vyššie postavených subjektov.</w:t>
      </w:r>
    </w:p>
    <w:p w:rsidR="008D31AC" w:rsidRDefault="008D31AC" w:rsidP="009B47D3">
      <w:pPr>
        <w:pStyle w:val="Obyajntex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9B47D3">
        <w:rPr>
          <w:rFonts w:asciiTheme="minorHAnsi" w:hAnsiTheme="minorHAnsi"/>
        </w:rPr>
        <w:lastRenderedPageBreak/>
        <w:t>Pre poisťovne bude kľúčový výklad definícií „</w:t>
      </w:r>
      <w:proofErr w:type="spellStart"/>
      <w:r w:rsidRPr="009B47D3">
        <w:rPr>
          <w:rFonts w:asciiTheme="minorHAnsi" w:hAnsiTheme="minorHAnsi"/>
          <w:b/>
          <w:bCs/>
        </w:rPr>
        <w:t>cash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value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insurance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contract</w:t>
      </w:r>
      <w:proofErr w:type="spellEnd"/>
      <w:r w:rsidRPr="009B47D3">
        <w:rPr>
          <w:rFonts w:asciiTheme="minorHAnsi" w:hAnsiTheme="minorHAnsi"/>
          <w:b/>
          <w:bCs/>
        </w:rPr>
        <w:t>“, „</w:t>
      </w:r>
      <w:proofErr w:type="spellStart"/>
      <w:r w:rsidRPr="009B47D3">
        <w:rPr>
          <w:rFonts w:asciiTheme="minorHAnsi" w:hAnsiTheme="minorHAnsi"/>
          <w:b/>
          <w:bCs/>
        </w:rPr>
        <w:t>cash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value</w:t>
      </w:r>
      <w:proofErr w:type="spellEnd"/>
      <w:r w:rsidRPr="009B47D3">
        <w:rPr>
          <w:rFonts w:asciiTheme="minorHAnsi" w:hAnsiTheme="minorHAnsi"/>
          <w:b/>
          <w:bCs/>
        </w:rPr>
        <w:t>“, „</w:t>
      </w:r>
      <w:proofErr w:type="spellStart"/>
      <w:r w:rsidRPr="009B47D3">
        <w:rPr>
          <w:rFonts w:asciiTheme="minorHAnsi" w:hAnsiTheme="minorHAnsi"/>
          <w:b/>
          <w:bCs/>
        </w:rPr>
        <w:t>Related</w:t>
      </w:r>
      <w:proofErr w:type="spellEnd"/>
      <w:r w:rsidRPr="009B47D3">
        <w:rPr>
          <w:rFonts w:asciiTheme="minorHAnsi" w:hAnsiTheme="minorHAnsi"/>
          <w:b/>
          <w:bCs/>
        </w:rPr>
        <w:t xml:space="preserve"> Entity“, „U.S. </w:t>
      </w:r>
      <w:proofErr w:type="spellStart"/>
      <w:r w:rsidRPr="009B47D3">
        <w:rPr>
          <w:rFonts w:asciiTheme="minorHAnsi" w:hAnsiTheme="minorHAnsi"/>
          <w:b/>
          <w:bCs/>
        </w:rPr>
        <w:t>Reportable</w:t>
      </w:r>
      <w:proofErr w:type="spellEnd"/>
      <w:r w:rsidRPr="009B47D3">
        <w:rPr>
          <w:rFonts w:asciiTheme="minorHAnsi" w:hAnsiTheme="minorHAnsi"/>
          <w:b/>
          <w:bCs/>
        </w:rPr>
        <w:t xml:space="preserve"> </w:t>
      </w:r>
      <w:proofErr w:type="spellStart"/>
      <w:r w:rsidRPr="009B47D3">
        <w:rPr>
          <w:rFonts w:asciiTheme="minorHAnsi" w:hAnsiTheme="minorHAnsi"/>
          <w:b/>
          <w:bCs/>
        </w:rPr>
        <w:t>Account</w:t>
      </w:r>
      <w:proofErr w:type="spellEnd"/>
      <w:r w:rsidRPr="009B47D3">
        <w:rPr>
          <w:rFonts w:asciiTheme="minorHAnsi" w:hAnsiTheme="minorHAnsi"/>
          <w:b/>
          <w:bCs/>
        </w:rPr>
        <w:t>“,</w:t>
      </w:r>
      <w:r w:rsidRPr="009B47D3">
        <w:rPr>
          <w:rFonts w:asciiTheme="minorHAnsi" w:hAnsiTheme="minorHAnsi"/>
        </w:rPr>
        <w:t xml:space="preserve"> preto nás zaujíma, ako vykladá uvedené pojmy MF SR v súvislosti s aktuálnymi poistnými produktmi slovenského finančného trhu. </w:t>
      </w:r>
    </w:p>
    <w:p w:rsidR="001145E8" w:rsidRDefault="001145E8" w:rsidP="001145E8">
      <w:pPr>
        <w:pStyle w:val="Obyajntext"/>
        <w:spacing w:line="276" w:lineRule="auto"/>
        <w:ind w:left="720"/>
        <w:jc w:val="both"/>
        <w:rPr>
          <w:rFonts w:asciiTheme="minorHAnsi" w:hAnsiTheme="minorHAnsi"/>
        </w:rPr>
      </w:pPr>
    </w:p>
    <w:p w:rsidR="008D31AC" w:rsidRDefault="008D31AC" w:rsidP="009B47D3">
      <w:pPr>
        <w:pStyle w:val="Obyajntex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9B47D3">
        <w:rPr>
          <w:rFonts w:asciiTheme="minorHAnsi" w:hAnsiTheme="minorHAnsi"/>
        </w:rPr>
        <w:t>Otázky máme aj k spôsobu uplatňovania zrážkovej dane. Čo sa bude považovať za platbu pochádzajúcu zo zdrojov v USA? Má v pláne MF SR vydať  metodické usmernenie k implementácii FATCA regulácie?</w:t>
      </w:r>
    </w:p>
    <w:p w:rsidR="001145E8" w:rsidRDefault="001145E8" w:rsidP="001145E8">
      <w:pPr>
        <w:pStyle w:val="Odsekzoznamu"/>
        <w:rPr>
          <w:rFonts w:asciiTheme="minorHAnsi" w:hAnsiTheme="minorHAnsi"/>
        </w:rPr>
      </w:pPr>
    </w:p>
    <w:p w:rsidR="009B47D3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9B47D3">
        <w:rPr>
          <w:rFonts w:asciiTheme="minorHAnsi" w:hAnsiTheme="minorHAnsi" w:cs="Arial"/>
        </w:rPr>
        <w:t xml:space="preserve">Vyjasnenie, či dôchodkové správcovské spoločnosti a doplnkové dôchodkové spoločnosti podliehajú FATCA. V </w:t>
      </w:r>
      <w:proofErr w:type="spellStart"/>
      <w:r w:rsidRPr="009B47D3">
        <w:rPr>
          <w:rFonts w:asciiTheme="minorHAnsi" w:hAnsiTheme="minorHAnsi" w:cs="Arial"/>
        </w:rPr>
        <w:t>Annexe</w:t>
      </w:r>
      <w:proofErr w:type="spellEnd"/>
      <w:r w:rsidRPr="009B47D3">
        <w:rPr>
          <w:rFonts w:asciiTheme="minorHAnsi" w:hAnsiTheme="minorHAnsi" w:cs="Arial"/>
        </w:rPr>
        <w:t xml:space="preserve"> II sa totiž uvádza, že vyňaté sú dôchodkové fondy. Avšak na Slovensku nemajú fondy dôchodkových správcovských spoločností a doplnkových dôchodkových spoločností právnu subjektivity. Výnimka by sa teda mala vzťahovať na tieto spoločnosti, nie na fondy, ktoré spravujú. </w:t>
      </w:r>
    </w:p>
    <w:p w:rsidR="001145E8" w:rsidRPr="001145E8" w:rsidRDefault="001145E8" w:rsidP="001145E8">
      <w:pPr>
        <w:pStyle w:val="Odsekzoznamu"/>
        <w:rPr>
          <w:rFonts w:asciiTheme="minorHAnsi" w:hAnsiTheme="minorHAnsi" w:cs="Arial"/>
        </w:rPr>
      </w:pPr>
    </w:p>
    <w:p w:rsidR="009B47D3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9B47D3">
        <w:rPr>
          <w:rFonts w:asciiTheme="minorHAnsi" w:hAnsiTheme="minorHAnsi" w:cs="Arial"/>
        </w:rPr>
        <w:t xml:space="preserve">Zabezpečenie, aby sa poisťovne nedostali do rozporu s (i) ustanovením § 797 ods. 3 Občianskeho zákonníka, pokiaľ poisťovňa zadrží výplatu poistného plnenia, prípadne do omeškania, pokiaľ poisťovňa zadrží výplatu </w:t>
      </w:r>
      <w:proofErr w:type="spellStart"/>
      <w:r w:rsidRPr="009B47D3">
        <w:rPr>
          <w:rFonts w:asciiTheme="minorHAnsi" w:hAnsiTheme="minorHAnsi" w:cs="Arial"/>
        </w:rPr>
        <w:t>odkupnej</w:t>
      </w:r>
      <w:proofErr w:type="spellEnd"/>
      <w:r w:rsidRPr="009B47D3">
        <w:rPr>
          <w:rFonts w:asciiTheme="minorHAnsi" w:hAnsiTheme="minorHAnsi" w:cs="Arial"/>
        </w:rPr>
        <w:t xml:space="preserve"> hodnoty, (</w:t>
      </w:r>
      <w:proofErr w:type="spellStart"/>
      <w:r w:rsidRPr="009B47D3">
        <w:rPr>
          <w:rFonts w:asciiTheme="minorHAnsi" w:hAnsiTheme="minorHAnsi" w:cs="Arial"/>
        </w:rPr>
        <w:t>ii</w:t>
      </w:r>
      <w:proofErr w:type="spellEnd"/>
      <w:r w:rsidRPr="009B47D3">
        <w:rPr>
          <w:rFonts w:asciiTheme="minorHAnsi" w:hAnsiTheme="minorHAnsi" w:cs="Arial"/>
        </w:rPr>
        <w:t>) ustanovením § 4 ods. 3 zákona o ochrane spotrebiteľa, pokiaľ by poisťovňa v súlade s FATCA nemala uzavrieť s potenciálnym klientom poistnú zmluvu a (</w:t>
      </w:r>
      <w:proofErr w:type="spellStart"/>
      <w:r w:rsidRPr="009B47D3">
        <w:rPr>
          <w:rFonts w:asciiTheme="minorHAnsi" w:hAnsiTheme="minorHAnsi" w:cs="Arial"/>
        </w:rPr>
        <w:t>iii</w:t>
      </w:r>
      <w:proofErr w:type="spellEnd"/>
      <w:r w:rsidRPr="009B47D3">
        <w:rPr>
          <w:rFonts w:asciiTheme="minorHAnsi" w:hAnsiTheme="minorHAnsi" w:cs="Arial"/>
        </w:rPr>
        <w:t>) ustanovením § 800  ods. 3 Občianskeho zákonníka, pokiaľ by poisťovňa mala v súlade s FATCA vypovedať poistnú zmluvu.</w:t>
      </w:r>
    </w:p>
    <w:p w:rsidR="001145E8" w:rsidRPr="001145E8" w:rsidRDefault="001145E8" w:rsidP="001145E8">
      <w:pPr>
        <w:pStyle w:val="Odsekzoznamu"/>
        <w:rPr>
          <w:rFonts w:asciiTheme="minorHAnsi" w:hAnsiTheme="minorHAnsi" w:cs="Arial"/>
        </w:rPr>
      </w:pPr>
    </w:p>
    <w:p w:rsidR="009B47D3" w:rsidRPr="001145E8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proofErr w:type="spellStart"/>
      <w:r w:rsidRPr="009B47D3">
        <w:rPr>
          <w:rFonts w:asciiTheme="minorHAnsi" w:hAnsiTheme="minorHAnsi" w:cs="Arial"/>
        </w:rPr>
        <w:t>Reporting</w:t>
      </w:r>
      <w:proofErr w:type="spellEnd"/>
      <w:r w:rsidRPr="009B47D3">
        <w:rPr>
          <w:rFonts w:asciiTheme="minorHAnsi" w:hAnsiTheme="minorHAnsi" w:cs="Arial"/>
        </w:rPr>
        <w:t xml:space="preserve"> - komu sa budú v rámci SR reportovať údaje v prípade IGA, či budú na tento účel poskytnuté nejaké formuláre zo strany dotknutého úradu, prípadne podmienky elektronického </w:t>
      </w:r>
      <w:proofErr w:type="spellStart"/>
      <w:r w:rsidRPr="009B47D3">
        <w:rPr>
          <w:rFonts w:asciiTheme="minorHAnsi" w:hAnsiTheme="minorHAnsi" w:cs="Arial"/>
        </w:rPr>
        <w:t>reportovania</w:t>
      </w:r>
      <w:r w:rsidRPr="009B47D3">
        <w:rPr>
          <w:rFonts w:asciiTheme="minorHAnsi" w:hAnsiTheme="minorHAnsi"/>
        </w:rPr>
        <w:t>.</w:t>
      </w:r>
      <w:r w:rsidRPr="009B47D3">
        <w:rPr>
          <w:rFonts w:asciiTheme="minorHAnsi" w:hAnsiTheme="minorHAnsi" w:cs="Arial"/>
        </w:rPr>
        <w:t>Predpokladá</w:t>
      </w:r>
      <w:proofErr w:type="spellEnd"/>
      <w:r w:rsidRPr="009B47D3">
        <w:rPr>
          <w:rFonts w:asciiTheme="minorHAnsi" w:hAnsiTheme="minorHAnsi" w:cs="Arial"/>
        </w:rPr>
        <w:t xml:space="preserve"> sa vydanie vykonávacích predpisov pre účely FATCA </w:t>
      </w:r>
      <w:proofErr w:type="spellStart"/>
      <w:r w:rsidRPr="009B47D3">
        <w:rPr>
          <w:rFonts w:asciiTheme="minorHAnsi" w:hAnsiTheme="minorHAnsi" w:cs="Arial"/>
        </w:rPr>
        <w:t>reportingu</w:t>
      </w:r>
      <w:proofErr w:type="spellEnd"/>
      <w:r w:rsidRPr="009B47D3">
        <w:rPr>
          <w:rFonts w:asciiTheme="minorHAnsi" w:hAnsiTheme="minorHAnsi" w:cs="Arial"/>
        </w:rPr>
        <w:t>?   </w:t>
      </w:r>
    </w:p>
    <w:p w:rsidR="001145E8" w:rsidRPr="001145E8" w:rsidRDefault="001145E8" w:rsidP="001145E8">
      <w:pPr>
        <w:pStyle w:val="Odsekzoznamu"/>
        <w:rPr>
          <w:rFonts w:asciiTheme="minorHAnsi" w:hAnsiTheme="minorHAnsi"/>
        </w:rPr>
      </w:pPr>
    </w:p>
    <w:p w:rsidR="009B47D3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 w:cs="Arial"/>
        </w:rPr>
      </w:pPr>
      <w:r w:rsidRPr="009B47D3">
        <w:rPr>
          <w:rFonts w:asciiTheme="minorHAnsi" w:hAnsiTheme="minorHAnsi" w:cs="Arial"/>
        </w:rPr>
        <w:t>Potvrdenie informácie, že poisťovne budú reportovať slovenskému orgánu štátnej správy, ktorý bude následne poskytovať dané informácie IRS. Daný postup by totiž značnej zjednodušil prenos osobných údajov.</w:t>
      </w:r>
    </w:p>
    <w:p w:rsidR="001145E8" w:rsidRPr="001145E8" w:rsidRDefault="001145E8" w:rsidP="001145E8">
      <w:pPr>
        <w:pStyle w:val="Odsekzoznamu"/>
        <w:rPr>
          <w:rFonts w:asciiTheme="minorHAnsi" w:hAnsiTheme="minorHAnsi" w:cs="Arial"/>
        </w:rPr>
      </w:pPr>
    </w:p>
    <w:p w:rsidR="009B47D3" w:rsidRPr="009B47D3" w:rsidRDefault="009B47D3" w:rsidP="009B47D3">
      <w:pPr>
        <w:pStyle w:val="Odsekzoznamu"/>
        <w:numPr>
          <w:ilvl w:val="0"/>
          <w:numId w:val="2"/>
        </w:numPr>
        <w:spacing w:line="276" w:lineRule="auto"/>
        <w:rPr>
          <w:rFonts w:asciiTheme="minorHAnsi" w:hAnsiTheme="minorHAnsi"/>
        </w:rPr>
      </w:pPr>
      <w:proofErr w:type="spellStart"/>
      <w:r w:rsidRPr="009B47D3">
        <w:rPr>
          <w:rFonts w:asciiTheme="minorHAnsi" w:hAnsiTheme="minorHAnsi" w:cs="Arial"/>
        </w:rPr>
        <w:t>Witholding</w:t>
      </w:r>
      <w:proofErr w:type="spellEnd"/>
      <w:r w:rsidRPr="009B47D3">
        <w:rPr>
          <w:rFonts w:asciiTheme="minorHAnsi" w:hAnsiTheme="minorHAnsi" w:cs="Arial"/>
        </w:rPr>
        <w:t xml:space="preserve"> - či bude uplatňovaný na FFI na Slovensku, ak áno v akom režime</w:t>
      </w:r>
    </w:p>
    <w:p w:rsidR="004F1C65" w:rsidRPr="009B47D3" w:rsidRDefault="004F1C65" w:rsidP="009B47D3">
      <w:pPr>
        <w:pStyle w:val="Obyajntext"/>
        <w:spacing w:line="276" w:lineRule="auto"/>
        <w:ind w:left="720"/>
        <w:jc w:val="both"/>
        <w:rPr>
          <w:rFonts w:asciiTheme="minorHAnsi" w:hAnsiTheme="minorHAnsi"/>
        </w:rPr>
      </w:pPr>
    </w:p>
    <w:p w:rsidR="009425F9" w:rsidRPr="009B47D3" w:rsidRDefault="009425F9" w:rsidP="009B47D3"/>
    <w:sectPr w:rsidR="009425F9" w:rsidRPr="009B47D3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4366"/>
    <w:multiLevelType w:val="hybridMultilevel"/>
    <w:tmpl w:val="3EEE9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A12B3"/>
    <w:multiLevelType w:val="hybridMultilevel"/>
    <w:tmpl w:val="2A183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D3339"/>
    <w:multiLevelType w:val="hybridMultilevel"/>
    <w:tmpl w:val="AEF2EC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E03AD"/>
    <w:multiLevelType w:val="hybridMultilevel"/>
    <w:tmpl w:val="554E24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D1FDC"/>
    <w:multiLevelType w:val="hybridMultilevel"/>
    <w:tmpl w:val="CD20C2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1AC"/>
    <w:rsid w:val="001145E8"/>
    <w:rsid w:val="001837FA"/>
    <w:rsid w:val="00242AF0"/>
    <w:rsid w:val="002A65D9"/>
    <w:rsid w:val="00433C26"/>
    <w:rsid w:val="004F1C65"/>
    <w:rsid w:val="007E41A1"/>
    <w:rsid w:val="00805804"/>
    <w:rsid w:val="00827E2A"/>
    <w:rsid w:val="008D31AC"/>
    <w:rsid w:val="008E6EF9"/>
    <w:rsid w:val="009425F9"/>
    <w:rsid w:val="009B47D3"/>
    <w:rsid w:val="00AA0245"/>
    <w:rsid w:val="00B00EB4"/>
    <w:rsid w:val="00BB72DF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8D31AC"/>
    <w:pPr>
      <w:spacing w:after="0" w:line="240" w:lineRule="auto"/>
    </w:pPr>
    <w:rPr>
      <w:rFonts w:ascii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D31AC"/>
    <w:rPr>
      <w:rFonts w:ascii="Calibri" w:hAnsi="Calibri" w:cs="Times New Roman"/>
    </w:rPr>
  </w:style>
  <w:style w:type="paragraph" w:styleId="Odsekzoznamu">
    <w:name w:val="List Paragraph"/>
    <w:basedOn w:val="Normlny"/>
    <w:uiPriority w:val="34"/>
    <w:qFormat/>
    <w:rsid w:val="008D31AC"/>
    <w:pPr>
      <w:spacing w:after="0" w:line="240" w:lineRule="auto"/>
      <w:ind w:left="720"/>
    </w:pPr>
    <w:rPr>
      <w:rFonts w:ascii="Calibri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748</Words>
  <Characters>4270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8</cp:revision>
  <dcterms:created xsi:type="dcterms:W3CDTF">2013-07-10T12:56:00Z</dcterms:created>
  <dcterms:modified xsi:type="dcterms:W3CDTF">2013-07-10T13:08:00Z</dcterms:modified>
</cp:coreProperties>
</file>