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5F9" w:rsidRDefault="00EF5AAF">
      <w:proofErr w:type="spellStart"/>
      <w:r>
        <w:rPr>
          <w:rFonts w:ascii="Arial" w:hAnsi="Arial" w:cs="Arial"/>
          <w:sz w:val="20"/>
          <w:szCs w:val="20"/>
        </w:rPr>
        <w:t>Rámacová</w:t>
      </w:r>
      <w:proofErr w:type="spellEnd"/>
      <w:r>
        <w:rPr>
          <w:rFonts w:ascii="Arial" w:hAnsi="Arial" w:cs="Arial"/>
          <w:sz w:val="20"/>
          <w:szCs w:val="20"/>
        </w:rPr>
        <w:t xml:space="preserve"> dohoda: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 xml:space="preserve">- v čl. II nie je dostatočne identifikované, o aké poistné </w:t>
      </w:r>
      <w:proofErr w:type="spellStart"/>
      <w:r>
        <w:rPr>
          <w:rFonts w:ascii="Arial" w:hAnsi="Arial" w:cs="Arial"/>
          <w:sz w:val="20"/>
          <w:szCs w:val="20"/>
        </w:rPr>
        <w:t>plenie</w:t>
      </w:r>
      <w:proofErr w:type="spellEnd"/>
      <w:r>
        <w:rPr>
          <w:rFonts w:ascii="Arial" w:hAnsi="Arial" w:cs="Arial"/>
          <w:sz w:val="20"/>
          <w:szCs w:val="20"/>
        </w:rPr>
        <w:t xml:space="preserve"> má ísť a teda na aké prípady sa daná dohoda vzťahuje. Tiež tam nie je dostatočne identifikované, čo je "osobitná formulárová dohoda" - odporúčame vzor formulárovej dohody pripojiť ako prílohu k rámcovej dohode, tiež navrhujeme uvádzať, že poistník je aj klientom banky na základe uzavretej úverovej zmluvy. Odporúčame úvodné ustanovenia prepracovať tak, aby z nich bol zrejmý zámer zmluvných strán a jasné, na aké situácie sa dohoda vzťahuje,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- čl. IV ods. 5 - ak majú byť kontaktné údaje zmenené len ich oznámením, ide o kolíziu s čl. VI ods. 1, navrhujeme kontaktné údaje uviesť v prílohách s tým, že v prípade ich zmeny si zmluvné strany vymenia len doručia nové znenie prílohy,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Osobitná formulárová dohoda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- čl. III písm. a) - považujeme za potrebné informovať banky o možnosti, ktorá prichádza do úvahy, ak bude nehnuteľnosť v čase do prevodu vlastníckeho práva poistená aj pôvodným vlastníkom: pôvodný vlastník sa zriadením vinkulácie vzdáva plnenia z PZ, pričom on sám môže ešte stále znášať riziko spojené s vlastníctvom, a to až do jeho prevodu na inú osobu (t. j. ak by došlo k škode, nemal by ju krytú poistnou zmluvou). Otáznou je tiež situácia, ak má sám uzavretú inú poistnú zmluvu vzťahujúcu sa na danú nehnuteľnosť, a išlo by o viacnásobné poistenie so všetkými jeho dôsledkami, či si sú banky vedomé faktu, že výška plnenia bude upravená v z mysle ustanovení OZ. Za dôležité považujeme preukázateľne informovať o uvedených súvislostiach aj pôvodného vlastníka - v tomto štádiu poisteného,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- v súvislosti s čl. IV pri poistenom, písm. c) - čo ak už existuje iná poistná zmluva (uzavretá s inou poisťovňou), ktorou je nehnuteľnosť poistená v prospech poisteného, navrhujeme upraviť aj takúto situáciu, resp. banky informovať aj o takej možnosti,</w:t>
      </w:r>
    </w:p>
    <w:sectPr w:rsidR="009425F9" w:rsidSect="00942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F5AAF"/>
    <w:rsid w:val="001837FA"/>
    <w:rsid w:val="00242AF0"/>
    <w:rsid w:val="009425F9"/>
    <w:rsid w:val="00E90C54"/>
    <w:rsid w:val="00EF5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25F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1</cp:revision>
  <dcterms:created xsi:type="dcterms:W3CDTF">2012-11-16T13:13:00Z</dcterms:created>
  <dcterms:modified xsi:type="dcterms:W3CDTF">2012-11-16T13:13:00Z</dcterms:modified>
</cp:coreProperties>
</file>