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3F" w:rsidRPr="007E421F" w:rsidRDefault="00796FB1" w:rsidP="007E421F">
      <w:pPr>
        <w:spacing w:after="0" w:line="240" w:lineRule="auto"/>
        <w:jc w:val="center"/>
      </w:pPr>
      <w:r w:rsidRPr="007E421F">
        <w:t>Záznam pre pamäť</w:t>
      </w:r>
    </w:p>
    <w:p w:rsidR="008C52F6" w:rsidRPr="007E421F" w:rsidRDefault="008C52F6" w:rsidP="007E421F">
      <w:pPr>
        <w:spacing w:after="0" w:line="240" w:lineRule="auto"/>
        <w:jc w:val="center"/>
      </w:pPr>
      <w:r w:rsidRPr="007E421F">
        <w:t>z rokovania s MF SR</w:t>
      </w:r>
      <w:r w:rsidR="005A02C3" w:rsidRPr="007E421F">
        <w:t xml:space="preserve"> k neakceptovaným pripomienkam</w:t>
      </w:r>
      <w:r w:rsidRPr="007E421F">
        <w:t xml:space="preserve"> k niektorým ustanoveniam </w:t>
      </w:r>
      <w:r w:rsidRPr="007E421F">
        <w:rPr>
          <w:b/>
        </w:rPr>
        <w:t xml:space="preserve">nového </w:t>
      </w:r>
      <w:proofErr w:type="spellStart"/>
      <w:r w:rsidRPr="007E421F">
        <w:rPr>
          <w:b/>
        </w:rPr>
        <w:t>ZoP</w:t>
      </w:r>
      <w:proofErr w:type="spellEnd"/>
    </w:p>
    <w:p w:rsidR="00796FB1" w:rsidRPr="007E421F" w:rsidRDefault="008C52F6" w:rsidP="007E421F">
      <w:pPr>
        <w:spacing w:after="0" w:line="240" w:lineRule="auto"/>
        <w:jc w:val="center"/>
      </w:pPr>
      <w:r w:rsidRPr="007E421F">
        <w:t>(</w:t>
      </w:r>
      <w:r w:rsidR="00386D18" w:rsidRPr="007E421F">
        <w:t>vyjadrenie záverov</w:t>
      </w:r>
      <w:r w:rsidRPr="007E421F">
        <w:t xml:space="preserve"> LS </w:t>
      </w:r>
      <w:r w:rsidR="00386D18" w:rsidRPr="007E421F">
        <w:t xml:space="preserve">zo </w:t>
      </w:r>
      <w:r w:rsidRPr="007E421F">
        <w:t>dňa 8. 10. 2014)</w:t>
      </w:r>
    </w:p>
    <w:p w:rsidR="00796FB1" w:rsidRPr="007E421F" w:rsidRDefault="00796FB1" w:rsidP="007E421F">
      <w:pPr>
        <w:spacing w:after="0" w:line="240" w:lineRule="auto"/>
        <w:jc w:val="both"/>
      </w:pPr>
    </w:p>
    <w:p w:rsidR="00796FB1" w:rsidRPr="007E421F" w:rsidRDefault="00796FB1" w:rsidP="007E421F">
      <w:pPr>
        <w:spacing w:after="0" w:line="240" w:lineRule="auto"/>
        <w:jc w:val="both"/>
      </w:pPr>
      <w:r w:rsidRPr="007E421F">
        <w:t>Dátum:</w:t>
      </w:r>
      <w:r w:rsidRPr="007E421F">
        <w:tab/>
      </w:r>
      <w:r w:rsidR="003C3595" w:rsidRPr="007E421F">
        <w:t>13.10</w:t>
      </w:r>
      <w:r w:rsidRPr="007E421F">
        <w:t>.2014</w:t>
      </w:r>
    </w:p>
    <w:p w:rsidR="00C72AF8" w:rsidRPr="007E421F" w:rsidRDefault="00C72AF8" w:rsidP="007E421F">
      <w:pPr>
        <w:spacing w:after="0" w:line="240" w:lineRule="auto"/>
        <w:jc w:val="both"/>
      </w:pPr>
    </w:p>
    <w:p w:rsidR="00796FB1" w:rsidRPr="007E421F" w:rsidRDefault="00796FB1" w:rsidP="007E421F">
      <w:pPr>
        <w:spacing w:after="0" w:line="240" w:lineRule="auto"/>
        <w:jc w:val="both"/>
      </w:pPr>
      <w:r w:rsidRPr="007E421F">
        <w:t>Účastníci:</w:t>
      </w:r>
    </w:p>
    <w:p w:rsidR="00796FB1" w:rsidRPr="007E421F" w:rsidRDefault="00796FB1" w:rsidP="007E421F">
      <w:pPr>
        <w:spacing w:after="0" w:line="240" w:lineRule="auto"/>
        <w:ind w:left="1416"/>
        <w:jc w:val="both"/>
      </w:pPr>
      <w:r w:rsidRPr="007E421F">
        <w:t xml:space="preserve">MFSR: </w:t>
      </w:r>
      <w:r w:rsidRPr="007E421F">
        <w:tab/>
      </w:r>
      <w:r w:rsidRPr="007E421F">
        <w:tab/>
      </w:r>
      <w:r w:rsidR="003C3595" w:rsidRPr="007E421F">
        <w:t xml:space="preserve">Dušan </w:t>
      </w:r>
      <w:proofErr w:type="spellStart"/>
      <w:r w:rsidR="003C3595" w:rsidRPr="007E421F">
        <w:t>Katonák</w:t>
      </w:r>
      <w:proofErr w:type="spellEnd"/>
      <w:r w:rsidR="003C3595" w:rsidRPr="007E421F">
        <w:t>, Emil Maťko</w:t>
      </w:r>
    </w:p>
    <w:p w:rsidR="00796FB1" w:rsidRPr="007E421F" w:rsidRDefault="00796FB1" w:rsidP="007E421F">
      <w:pPr>
        <w:spacing w:after="0" w:line="240" w:lineRule="auto"/>
        <w:ind w:left="1416"/>
        <w:jc w:val="both"/>
      </w:pPr>
      <w:r w:rsidRPr="007E421F">
        <w:t>SLASPO:</w:t>
      </w:r>
      <w:r w:rsidRPr="007E421F">
        <w:tab/>
      </w:r>
      <w:r w:rsidR="00541486" w:rsidRPr="007E421F">
        <w:t xml:space="preserve">Jozefína </w:t>
      </w:r>
      <w:r w:rsidRPr="007E421F">
        <w:t xml:space="preserve">Žáková, </w:t>
      </w:r>
      <w:r w:rsidR="003C3595" w:rsidRPr="007E421F">
        <w:t>Zuzana Krátka</w:t>
      </w:r>
      <w:r w:rsidR="00C72AF8" w:rsidRPr="007E421F">
        <w:t>, Mária Lehotská</w:t>
      </w:r>
    </w:p>
    <w:p w:rsidR="003C3595" w:rsidRPr="007E421F" w:rsidRDefault="003C3595" w:rsidP="007E421F">
      <w:pPr>
        <w:spacing w:after="0" w:line="240" w:lineRule="auto"/>
        <w:ind w:left="1416"/>
        <w:jc w:val="both"/>
      </w:pPr>
      <w:r w:rsidRPr="007E421F">
        <w:t xml:space="preserve">POISŤOVNE: </w:t>
      </w:r>
      <w:r w:rsidRPr="007E421F">
        <w:tab/>
        <w:t>Martin Petru</w:t>
      </w:r>
      <w:r w:rsidR="002A786B" w:rsidRPr="007E421F">
        <w:t xml:space="preserve">ľák, Martin </w:t>
      </w:r>
      <w:proofErr w:type="spellStart"/>
      <w:r w:rsidR="002A786B" w:rsidRPr="007E421F">
        <w:t>Grešo</w:t>
      </w:r>
      <w:proofErr w:type="spellEnd"/>
      <w:r w:rsidR="002A786B" w:rsidRPr="007E421F">
        <w:t xml:space="preserve">, Jozef </w:t>
      </w:r>
      <w:proofErr w:type="spellStart"/>
      <w:r w:rsidR="002A786B" w:rsidRPr="007E421F">
        <w:t>Bachní</w:t>
      </w:r>
      <w:r w:rsidRPr="007E421F">
        <w:t>č</w:t>
      </w:r>
      <w:r w:rsidR="002A786B" w:rsidRPr="007E421F">
        <w:t>e</w:t>
      </w:r>
      <w:r w:rsidRPr="007E421F">
        <w:t>k</w:t>
      </w:r>
      <w:proofErr w:type="spellEnd"/>
      <w:r w:rsidRPr="007E421F">
        <w:t xml:space="preserve">, Pavel </w:t>
      </w:r>
      <w:proofErr w:type="spellStart"/>
      <w:r w:rsidRPr="007E421F">
        <w:t>Kočí</w:t>
      </w:r>
      <w:proofErr w:type="spellEnd"/>
    </w:p>
    <w:p w:rsidR="00796FB1" w:rsidRPr="007E421F" w:rsidRDefault="00796FB1" w:rsidP="007E421F">
      <w:pPr>
        <w:spacing w:after="0" w:line="240" w:lineRule="auto"/>
        <w:jc w:val="both"/>
      </w:pPr>
    </w:p>
    <w:p w:rsidR="00796FB1" w:rsidRPr="007E421F" w:rsidRDefault="00796FB1" w:rsidP="007E421F">
      <w:pPr>
        <w:spacing w:after="0" w:line="240" w:lineRule="auto"/>
        <w:jc w:val="both"/>
      </w:pPr>
      <w:r w:rsidRPr="007E421F">
        <w:t xml:space="preserve">Vec: </w:t>
      </w:r>
      <w:r w:rsidRPr="007E421F">
        <w:tab/>
        <w:t>nov</w:t>
      </w:r>
      <w:r w:rsidR="00627317" w:rsidRPr="007E421F">
        <w:t>ý</w:t>
      </w:r>
      <w:r w:rsidRPr="007E421F">
        <w:t xml:space="preserve"> zákon o</w:t>
      </w:r>
      <w:r w:rsidR="00627317" w:rsidRPr="007E421F">
        <w:t xml:space="preserve"> poisťovníctve – </w:t>
      </w:r>
      <w:proofErr w:type="spellStart"/>
      <w:r w:rsidR="00627317" w:rsidRPr="007E421F">
        <w:t>Solvency</w:t>
      </w:r>
      <w:proofErr w:type="spellEnd"/>
      <w:r w:rsidR="00627317" w:rsidRPr="007E421F">
        <w:t xml:space="preserve"> II</w:t>
      </w:r>
    </w:p>
    <w:p w:rsidR="00C72AF8" w:rsidRPr="007E421F" w:rsidRDefault="00C72AF8" w:rsidP="007E421F">
      <w:pPr>
        <w:spacing w:after="0" w:line="240" w:lineRule="auto"/>
        <w:jc w:val="both"/>
      </w:pPr>
    </w:p>
    <w:p w:rsidR="00826B59" w:rsidRPr="007E421F" w:rsidRDefault="00C63FBC" w:rsidP="007E421F">
      <w:pPr>
        <w:spacing w:after="0" w:line="240" w:lineRule="auto"/>
        <w:jc w:val="both"/>
      </w:pPr>
      <w:r w:rsidRPr="007E421F">
        <w:t xml:space="preserve">Stretnutie sa uskutočnilo za účelom </w:t>
      </w:r>
      <w:r w:rsidR="0068463E" w:rsidRPr="007E421F">
        <w:t xml:space="preserve">prediskutovania neakceptovaných pripomienok vznesených SLASPO v rámci </w:t>
      </w:r>
      <w:r w:rsidR="002A786B" w:rsidRPr="007E421F">
        <w:t xml:space="preserve">MPK. </w:t>
      </w:r>
      <w:r w:rsidR="006E5D3A" w:rsidRPr="007E421F">
        <w:t xml:space="preserve">Zapracovanie pripomienok, ktoré boli vo vyhodnotení MPK označené ako akceptované nebolo možné posúdiť, keďže </w:t>
      </w:r>
      <w:r w:rsidR="002A786B" w:rsidRPr="007E421F">
        <w:t xml:space="preserve">sme nemali k dispozícii upravené znenie </w:t>
      </w:r>
      <w:r w:rsidR="006E5D3A" w:rsidRPr="007E421F">
        <w:t xml:space="preserve">návrhu </w:t>
      </w:r>
      <w:proofErr w:type="spellStart"/>
      <w:r w:rsidR="002A786B" w:rsidRPr="007E421F">
        <w:t>ZoP</w:t>
      </w:r>
      <w:proofErr w:type="spellEnd"/>
      <w:r w:rsidR="002A786B" w:rsidRPr="007E421F">
        <w:t xml:space="preserve">. Bolo </w:t>
      </w:r>
      <w:r w:rsidR="006E5D3A" w:rsidRPr="007E421F">
        <w:t>tak</w:t>
      </w:r>
      <w:r w:rsidR="002A786B" w:rsidRPr="007E421F">
        <w:t xml:space="preserve"> problematické diskutovať o </w:t>
      </w:r>
      <w:r w:rsidR="006E5D3A" w:rsidRPr="007E421F">
        <w:t>niektorých okruhoch pripomienok.</w:t>
      </w:r>
      <w:r w:rsidR="002A786B" w:rsidRPr="007E421F">
        <w:t xml:space="preserve"> </w:t>
      </w:r>
      <w:r w:rsidR="006E5D3A" w:rsidRPr="007E421F">
        <w:t>Taktiež</w:t>
      </w:r>
      <w:r w:rsidR="002A786B" w:rsidRPr="007E421F">
        <w:t xml:space="preserve"> MF SR nemalo </w:t>
      </w:r>
      <w:proofErr w:type="spellStart"/>
      <w:r w:rsidR="002A786B" w:rsidRPr="007E421F">
        <w:t>vysporiadané</w:t>
      </w:r>
      <w:proofErr w:type="spellEnd"/>
      <w:r w:rsidR="002A786B" w:rsidRPr="007E421F">
        <w:t xml:space="preserve"> všetky pripomienky od ostatných subjektov. V najbližších dňoch očakávame</w:t>
      </w:r>
      <w:r w:rsidR="00C72AF8" w:rsidRPr="007E421F">
        <w:t xml:space="preserve"> doručenie prepracovaného </w:t>
      </w:r>
      <w:proofErr w:type="spellStart"/>
      <w:r w:rsidR="00C72AF8" w:rsidRPr="007E421F">
        <w:t>ZoP</w:t>
      </w:r>
      <w:proofErr w:type="spellEnd"/>
      <w:r w:rsidR="00C72AF8" w:rsidRPr="007E421F">
        <w:t>.</w:t>
      </w:r>
    </w:p>
    <w:p w:rsidR="00C72AF8" w:rsidRPr="007E421F" w:rsidRDefault="00C72AF8" w:rsidP="007E421F">
      <w:pPr>
        <w:spacing w:after="0" w:line="240" w:lineRule="auto"/>
        <w:jc w:val="both"/>
      </w:pPr>
    </w:p>
    <w:p w:rsidR="00826B59" w:rsidRPr="007E421F" w:rsidRDefault="00826B59" w:rsidP="007E421F">
      <w:pPr>
        <w:spacing w:after="0" w:line="240" w:lineRule="auto"/>
        <w:jc w:val="both"/>
      </w:pPr>
      <w:r w:rsidRPr="007E421F">
        <w:t>V diskusii odznelo:</w:t>
      </w:r>
    </w:p>
    <w:p w:rsidR="00C72AF8" w:rsidRPr="007E421F" w:rsidRDefault="00C72AF8" w:rsidP="007E421F">
      <w:pPr>
        <w:spacing w:after="0" w:line="240" w:lineRule="auto"/>
        <w:jc w:val="both"/>
      </w:pPr>
    </w:p>
    <w:p w:rsidR="00826B59" w:rsidRPr="007E421F" w:rsidRDefault="00826B59" w:rsidP="007E421F">
      <w:pPr>
        <w:spacing w:after="0" w:line="240" w:lineRule="auto"/>
        <w:jc w:val="both"/>
        <w:rPr>
          <w:u w:val="single"/>
        </w:rPr>
      </w:pPr>
      <w:r w:rsidRPr="007E421F">
        <w:rPr>
          <w:u w:val="single"/>
        </w:rPr>
        <w:t xml:space="preserve">K  pripomienke </w:t>
      </w:r>
      <w:r w:rsidR="0068463E" w:rsidRPr="007E421F">
        <w:rPr>
          <w:u w:val="single"/>
        </w:rPr>
        <w:t>k §</w:t>
      </w:r>
      <w:r w:rsidRPr="007E421F">
        <w:rPr>
          <w:u w:val="single"/>
        </w:rPr>
        <w:t xml:space="preserve"> 8</w:t>
      </w:r>
      <w:r w:rsidR="0068463E" w:rsidRPr="007E421F">
        <w:rPr>
          <w:u w:val="single"/>
        </w:rPr>
        <w:t xml:space="preserve"> ods.4</w:t>
      </w:r>
    </w:p>
    <w:p w:rsidR="00826B59" w:rsidRPr="007E421F" w:rsidRDefault="00826B59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SLASPO:</w:t>
      </w:r>
    </w:p>
    <w:p w:rsidR="005B15B1" w:rsidRPr="007E421F" w:rsidRDefault="00B56E7A" w:rsidP="007E421F">
      <w:pPr>
        <w:spacing w:after="0" w:line="240" w:lineRule="auto"/>
        <w:jc w:val="both"/>
      </w:pPr>
      <w:r w:rsidRPr="007E421F">
        <w:rPr>
          <w:rFonts w:cs="Calibri"/>
        </w:rPr>
        <w:t>Navrhované znenie považujeme za prekážku obchodu, keď zaisťovaciu činnosť môžu vykonávať iba tie zahraničné zaisťovne, ktoré majú na území SR pobočku a</w:t>
      </w:r>
      <w:r w:rsidR="00230B40" w:rsidRPr="007E421F">
        <w:rPr>
          <w:rFonts w:cs="Calibri"/>
        </w:rPr>
        <w:t xml:space="preserve"> bolo im </w:t>
      </w:r>
      <w:r w:rsidRPr="007E421F">
        <w:rPr>
          <w:rFonts w:cs="Calibri"/>
        </w:rPr>
        <w:t xml:space="preserve">udelené povolenie </w:t>
      </w:r>
      <w:r w:rsidR="00230B40" w:rsidRPr="007E421F">
        <w:rPr>
          <w:rFonts w:cs="Calibri"/>
        </w:rPr>
        <w:t xml:space="preserve">NBS </w:t>
      </w:r>
      <w:r w:rsidRPr="007E421F">
        <w:rPr>
          <w:rFonts w:cs="Calibri"/>
        </w:rPr>
        <w:t>alebo zahraničná zaisťovňa so sídlom mimo územia ČŠ, ktorého režim solventnosti bol uznaný podľa</w:t>
      </w:r>
      <w:r w:rsidR="009B44B6" w:rsidRPr="007E421F">
        <w:rPr>
          <w:rFonts w:cs="Calibri"/>
        </w:rPr>
        <w:t xml:space="preserve"> </w:t>
      </w:r>
      <w:r w:rsidRPr="007E421F">
        <w:rPr>
          <w:rFonts w:cs="Calibri"/>
        </w:rPr>
        <w:t xml:space="preserve">§ 67. </w:t>
      </w:r>
      <w:r w:rsidR="00230B40" w:rsidRPr="007E421F">
        <w:rPr>
          <w:rFonts w:cs="Calibri"/>
        </w:rPr>
        <w:t>Navrhovali sme zrušiť toto obmedzenie s odôvodnením, že</w:t>
      </w:r>
      <w:r w:rsidRPr="007E421F">
        <w:rPr>
          <w:rFonts w:cs="Calibri"/>
        </w:rPr>
        <w:t xml:space="preserve"> poisťovne majú povinnosť eliminovať riziko protistrany zaisťovaním u bezpečných zaisťovateľov, resp. podriaďovať sa existujúcim </w:t>
      </w:r>
      <w:proofErr w:type="spellStart"/>
      <w:r w:rsidRPr="007E421F">
        <w:rPr>
          <w:rFonts w:cs="Calibri"/>
        </w:rPr>
        <w:t>security</w:t>
      </w:r>
      <w:proofErr w:type="spellEnd"/>
      <w:r w:rsidRPr="007E421F">
        <w:rPr>
          <w:rFonts w:cs="Calibri"/>
        </w:rPr>
        <w:t xml:space="preserve"> listom, </w:t>
      </w:r>
      <w:proofErr w:type="spellStart"/>
      <w:r w:rsidRPr="007E421F">
        <w:rPr>
          <w:rFonts w:cs="Calibri"/>
        </w:rPr>
        <w:t>raiting</w:t>
      </w:r>
      <w:proofErr w:type="spellEnd"/>
      <w:r w:rsidRPr="007E421F">
        <w:rPr>
          <w:rFonts w:cs="Calibri"/>
        </w:rPr>
        <w:t xml:space="preserve"> zaisťovateľov</w:t>
      </w:r>
      <w:r w:rsidR="00503DEC">
        <w:rPr>
          <w:rFonts w:cs="Calibri"/>
        </w:rPr>
        <w:t xml:space="preserve"> je zohľadnený v internom modeli</w:t>
      </w:r>
      <w:r w:rsidRPr="007E421F">
        <w:rPr>
          <w:rFonts w:cs="Calibri"/>
        </w:rPr>
        <w:t xml:space="preserve"> poisťovne. </w:t>
      </w:r>
      <w:r w:rsidR="00826B59" w:rsidRPr="007E421F">
        <w:t xml:space="preserve"> </w:t>
      </w:r>
    </w:p>
    <w:p w:rsidR="00826B59" w:rsidRPr="007E421F" w:rsidRDefault="00826B59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MFSR</w:t>
      </w:r>
    </w:p>
    <w:p w:rsidR="00826B59" w:rsidRPr="007E421F" w:rsidRDefault="004716B2" w:rsidP="007E421F">
      <w:pPr>
        <w:spacing w:after="0" w:line="240" w:lineRule="auto"/>
        <w:jc w:val="both"/>
      </w:pPr>
      <w:r w:rsidRPr="007E421F">
        <w:t>Neakceptované</w:t>
      </w:r>
      <w:r w:rsidR="00D64E98" w:rsidRPr="007E421F">
        <w:t xml:space="preserve">  - transpozícia smernice.</w:t>
      </w:r>
    </w:p>
    <w:p w:rsidR="00A27FDB" w:rsidRPr="007E421F" w:rsidRDefault="00A27FDB" w:rsidP="007E421F">
      <w:pPr>
        <w:spacing w:after="0" w:line="240" w:lineRule="auto"/>
        <w:jc w:val="both"/>
      </w:pPr>
    </w:p>
    <w:p w:rsidR="00A27FDB" w:rsidRPr="007E421F" w:rsidRDefault="009B44B6" w:rsidP="007E421F">
      <w:pPr>
        <w:spacing w:after="0" w:line="240" w:lineRule="auto"/>
        <w:jc w:val="both"/>
        <w:rPr>
          <w:u w:val="single"/>
        </w:rPr>
      </w:pPr>
      <w:r w:rsidRPr="007E421F">
        <w:rPr>
          <w:u w:val="single"/>
        </w:rPr>
        <w:t xml:space="preserve">K </w:t>
      </w:r>
      <w:r w:rsidR="00A27FDB" w:rsidRPr="007E421F">
        <w:rPr>
          <w:u w:val="single"/>
        </w:rPr>
        <w:t xml:space="preserve">pripomienke </w:t>
      </w:r>
      <w:r w:rsidRPr="007E421F">
        <w:rPr>
          <w:u w:val="single"/>
        </w:rPr>
        <w:t>k § 4 ods. 13</w:t>
      </w:r>
    </w:p>
    <w:p w:rsidR="00A27FDB" w:rsidRPr="007E421F" w:rsidRDefault="00A27FDB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SLASPO</w:t>
      </w:r>
    </w:p>
    <w:p w:rsidR="008B26D8" w:rsidRPr="007E421F" w:rsidRDefault="008B26D8" w:rsidP="007E421F">
      <w:pPr>
        <w:spacing w:after="0" w:line="240" w:lineRule="auto"/>
        <w:jc w:val="both"/>
      </w:pPr>
      <w:r w:rsidRPr="007E421F">
        <w:t>Namietali sme nedostatočnú definíciu poisťovacej činnosti a navrhli sme upravené znenie (v porovnaní s návrhom uplatneným v MPK), ktoré bola dohodnuté na rokovaní LS:</w:t>
      </w:r>
    </w:p>
    <w:p w:rsidR="008B26D8" w:rsidRPr="007E421F" w:rsidRDefault="008B26D8" w:rsidP="007E421F">
      <w:pPr>
        <w:pStyle w:val="Odsekzoznamu"/>
        <w:spacing w:after="0" w:line="240" w:lineRule="auto"/>
        <w:ind w:left="0"/>
        <w:jc w:val="both"/>
        <w:rPr>
          <w:rFonts w:cs="Arial"/>
          <w:bCs/>
          <w:color w:val="000000" w:themeColor="text1"/>
        </w:rPr>
      </w:pPr>
      <w:r w:rsidRPr="007E421F">
        <w:rPr>
          <w:color w:val="000000" w:themeColor="text1"/>
        </w:rPr>
        <w:t xml:space="preserve">„(13) </w:t>
      </w:r>
      <w:r w:rsidRPr="007E421F">
        <w:rPr>
          <w:rFonts w:cs="Arial"/>
          <w:b/>
          <w:bCs/>
          <w:color w:val="000000" w:themeColor="text1"/>
        </w:rPr>
        <w:t xml:space="preserve">Poisťovacou činnosťou </w:t>
      </w:r>
      <w:r w:rsidRPr="007E421F">
        <w:rPr>
          <w:rFonts w:cs="Arial"/>
          <w:bCs/>
          <w:color w:val="000000" w:themeColor="text1"/>
        </w:rPr>
        <w:t>je podnikateľská činnosť, ktorá spočíva v preberaní poistných rizík od fyzických alebo právnických osôb ohrozených rovnakým alebo podobným rizikom, vytváraní a organizovaní poistného kmeňa, vytváraní rezerv na všetky záväzky voči oprávneným osobám z poistných zmlúv a plnení týchto záväzkov za odplatu. </w:t>
      </w:r>
    </w:p>
    <w:p w:rsidR="008B26D8" w:rsidRPr="007E421F" w:rsidRDefault="0022138E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MFSR</w:t>
      </w:r>
    </w:p>
    <w:p w:rsidR="0022138E" w:rsidRPr="007E421F" w:rsidRDefault="00D64E98" w:rsidP="007E421F">
      <w:pPr>
        <w:spacing w:after="0" w:line="240" w:lineRule="auto"/>
        <w:jc w:val="both"/>
      </w:pPr>
      <w:r w:rsidRPr="007E421F">
        <w:t>V diskusii s</w:t>
      </w:r>
      <w:r w:rsidR="006E5D3A" w:rsidRPr="007E421F">
        <w:t>me</w:t>
      </w:r>
      <w:r w:rsidRPr="007E421F">
        <w:t xml:space="preserve"> dospel</w:t>
      </w:r>
      <w:r w:rsidR="006E5D3A" w:rsidRPr="007E421F">
        <w:t>i</w:t>
      </w:r>
      <w:r w:rsidRPr="007E421F">
        <w:t xml:space="preserve"> k záveru, že d</w:t>
      </w:r>
      <w:r w:rsidR="008B26D8" w:rsidRPr="007E421F">
        <w:t>efinícia PČ</w:t>
      </w:r>
      <w:r w:rsidR="006E5D3A" w:rsidRPr="007E421F">
        <w:t xml:space="preserve"> bude upravená s vymedzením cez </w:t>
      </w:r>
      <w:r w:rsidR="008B26D8" w:rsidRPr="007E421F">
        <w:t xml:space="preserve">činnosť (prílohy) a nie cez subjekt.  </w:t>
      </w:r>
    </w:p>
    <w:p w:rsidR="008B26D8" w:rsidRPr="007E421F" w:rsidRDefault="008B26D8" w:rsidP="007E421F">
      <w:pPr>
        <w:spacing w:after="0" w:line="240" w:lineRule="auto"/>
        <w:jc w:val="both"/>
      </w:pPr>
    </w:p>
    <w:p w:rsidR="00694A41" w:rsidRPr="007E421F" w:rsidRDefault="00694A41" w:rsidP="007E421F">
      <w:pPr>
        <w:spacing w:after="0" w:line="240" w:lineRule="auto"/>
        <w:jc w:val="both"/>
        <w:rPr>
          <w:u w:val="single"/>
        </w:rPr>
      </w:pPr>
      <w:r w:rsidRPr="007E421F">
        <w:rPr>
          <w:u w:val="single"/>
        </w:rPr>
        <w:t>K</w:t>
      </w:r>
      <w:r w:rsidR="00A91E0F" w:rsidRPr="007E421F">
        <w:rPr>
          <w:u w:val="single"/>
        </w:rPr>
        <w:t xml:space="preserve"> pripomienke k § 5 písm. </w:t>
      </w:r>
      <w:proofErr w:type="spellStart"/>
      <w:r w:rsidR="00A91E0F" w:rsidRPr="007E421F">
        <w:rPr>
          <w:u w:val="single"/>
        </w:rPr>
        <w:t>ai</w:t>
      </w:r>
      <w:proofErr w:type="spellEnd"/>
      <w:r w:rsidR="00A91E0F" w:rsidRPr="007E421F">
        <w:rPr>
          <w:u w:val="single"/>
        </w:rPr>
        <w:t>)</w:t>
      </w:r>
      <w:r w:rsidR="00531516" w:rsidRPr="007E421F">
        <w:rPr>
          <w:u w:val="single"/>
        </w:rPr>
        <w:t xml:space="preserve"> pojmu klient</w:t>
      </w:r>
    </w:p>
    <w:p w:rsidR="00694A41" w:rsidRPr="007E421F" w:rsidRDefault="00694A41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SLASPO</w:t>
      </w:r>
    </w:p>
    <w:p w:rsidR="00D70E04" w:rsidRPr="007E421F" w:rsidRDefault="00D70E04" w:rsidP="007E421F">
      <w:pPr>
        <w:spacing w:after="0" w:line="240" w:lineRule="auto"/>
        <w:jc w:val="both"/>
      </w:pPr>
      <w:r w:rsidRPr="007E421F">
        <w:t>Náš návrh</w:t>
      </w:r>
      <w:r w:rsidR="00667D6A" w:rsidRPr="007E421F">
        <w:t xml:space="preserve"> definície</w:t>
      </w:r>
      <w:r w:rsidRPr="007E421F">
        <w:t xml:space="preserve"> smeroval k zabezpečeniu zákonnej úpravy </w:t>
      </w:r>
      <w:r w:rsidR="0078520F" w:rsidRPr="007E421F">
        <w:t xml:space="preserve">na </w:t>
      </w:r>
      <w:r w:rsidRPr="007E421F">
        <w:t>spracovani</w:t>
      </w:r>
      <w:r w:rsidR="0078520F" w:rsidRPr="007E421F">
        <w:t>e</w:t>
      </w:r>
      <w:r w:rsidRPr="007E421F">
        <w:t xml:space="preserve"> osobných údajov</w:t>
      </w:r>
      <w:r w:rsidR="00667D6A" w:rsidRPr="007E421F">
        <w:t xml:space="preserve"> osôb, </w:t>
      </w:r>
      <w:r w:rsidR="00667D6A" w:rsidRPr="007E421F">
        <w:rPr>
          <w:rFonts w:cs="Calibri"/>
        </w:rPr>
        <w:t>o ktorých poisťovne musia spracúvať osobné údaje (napr. poškodený, svedkovia PU ale i</w:t>
      </w:r>
      <w:r w:rsidR="006E5D3A" w:rsidRPr="007E421F">
        <w:rPr>
          <w:rFonts w:cs="Calibri"/>
        </w:rPr>
        <w:t> </w:t>
      </w:r>
      <w:r w:rsidR="00667D6A" w:rsidRPr="007E421F">
        <w:rPr>
          <w:rFonts w:cs="Calibri"/>
        </w:rPr>
        <w:t>osoba</w:t>
      </w:r>
      <w:r w:rsidR="006E5D3A" w:rsidRPr="007E421F">
        <w:rPr>
          <w:rFonts w:cs="Calibri"/>
        </w:rPr>
        <w:t>,</w:t>
      </w:r>
      <w:r w:rsidR="00667D6A" w:rsidRPr="007E421F">
        <w:rPr>
          <w:rFonts w:cs="Calibri"/>
        </w:rPr>
        <w:t xml:space="preserve"> ktorá nie je poisteným (poistenie cudzieho rizika) a má právo na poistné plnenie</w:t>
      </w:r>
      <w:r w:rsidR="006E5D3A" w:rsidRPr="007E421F">
        <w:rPr>
          <w:rFonts w:cs="Calibri"/>
        </w:rPr>
        <w:t>)</w:t>
      </w:r>
      <w:r w:rsidR="00667D6A" w:rsidRPr="007E421F">
        <w:rPr>
          <w:rFonts w:cs="Calibri"/>
        </w:rPr>
        <w:t xml:space="preserve">. </w:t>
      </w:r>
    </w:p>
    <w:p w:rsidR="00694A41" w:rsidRPr="007E421F" w:rsidRDefault="00D70E04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MF SR</w:t>
      </w:r>
    </w:p>
    <w:p w:rsidR="00531516" w:rsidRPr="007E421F" w:rsidRDefault="00D70E04" w:rsidP="007E421F">
      <w:pPr>
        <w:spacing w:after="0" w:line="240" w:lineRule="auto"/>
        <w:jc w:val="both"/>
      </w:pPr>
      <w:r w:rsidRPr="007E421F">
        <w:lastRenderedPageBreak/>
        <w:t xml:space="preserve">Nami navrhovaná definícia klienta nebola akceptovaná z dôvodu príliš širokého vymedzenia, ktorá by okrem iného, spôsobovala problémy </w:t>
      </w:r>
      <w:r w:rsidR="006E5D3A" w:rsidRPr="007E421F">
        <w:t>z</w:t>
      </w:r>
      <w:r w:rsidRPr="007E421F">
        <w:t xml:space="preserve"> pohľadu ustanovení na ochranu spotrebiteľa. </w:t>
      </w:r>
    </w:p>
    <w:p w:rsidR="00531516" w:rsidRPr="007E421F" w:rsidRDefault="00531516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MFSR</w:t>
      </w:r>
    </w:p>
    <w:p w:rsidR="00531516" w:rsidRPr="007E421F" w:rsidRDefault="00531516" w:rsidP="007E421F">
      <w:pPr>
        <w:spacing w:after="0" w:line="240" w:lineRule="auto"/>
        <w:jc w:val="both"/>
      </w:pPr>
      <w:r w:rsidRPr="007E421F">
        <w:t xml:space="preserve">Definícia </w:t>
      </w:r>
      <w:r w:rsidR="00DF73AF" w:rsidRPr="007E421F">
        <w:t>je</w:t>
      </w:r>
      <w:r w:rsidRPr="007E421F">
        <w:t xml:space="preserve"> upravená (nové znenie sme nemali k dispozícii) a na relevantných miestach zákona budú </w:t>
      </w:r>
      <w:r w:rsidR="00E20F92" w:rsidRPr="007E421F">
        <w:t xml:space="preserve">okrem osôb obsiahnutých v definícii klienta </w:t>
      </w:r>
      <w:r w:rsidRPr="007E421F">
        <w:t xml:space="preserve">doplnené </w:t>
      </w:r>
      <w:r w:rsidR="00E20F92" w:rsidRPr="007E421F">
        <w:t xml:space="preserve">aj </w:t>
      </w:r>
      <w:r w:rsidRPr="007E421F">
        <w:t xml:space="preserve">osoby, na ktoré sa budú ustanovenie </w:t>
      </w:r>
      <w:proofErr w:type="spellStart"/>
      <w:r w:rsidRPr="007E421F">
        <w:t>ZoP</w:t>
      </w:r>
      <w:proofErr w:type="spellEnd"/>
      <w:r w:rsidRPr="007E421F">
        <w:t xml:space="preserve"> vzťahovať. Zároveň bol v § 5 doplnený nový pojem „potenciálny klient“</w:t>
      </w:r>
      <w:r w:rsidR="00E20F92" w:rsidRPr="007E421F">
        <w:t>.</w:t>
      </w:r>
    </w:p>
    <w:p w:rsidR="00531516" w:rsidRPr="007E421F" w:rsidRDefault="00531516" w:rsidP="007E421F">
      <w:pPr>
        <w:spacing w:after="0" w:line="240" w:lineRule="auto"/>
        <w:jc w:val="both"/>
      </w:pPr>
    </w:p>
    <w:p w:rsidR="00162747" w:rsidRPr="007E421F" w:rsidRDefault="00694A41" w:rsidP="007E421F">
      <w:pPr>
        <w:spacing w:after="0" w:line="240" w:lineRule="auto"/>
        <w:jc w:val="both"/>
        <w:rPr>
          <w:color w:val="C00000"/>
        </w:rPr>
      </w:pPr>
      <w:r w:rsidRPr="007E421F">
        <w:rPr>
          <w:u w:val="single"/>
        </w:rPr>
        <w:t>K </w:t>
      </w:r>
      <w:r w:rsidR="00E20F92" w:rsidRPr="007E421F">
        <w:rPr>
          <w:u w:val="single"/>
        </w:rPr>
        <w:t>p</w:t>
      </w:r>
      <w:r w:rsidRPr="007E421F">
        <w:rPr>
          <w:u w:val="single"/>
        </w:rPr>
        <w:t xml:space="preserve">ripomienke </w:t>
      </w:r>
      <w:r w:rsidR="00E20F92" w:rsidRPr="007E421F">
        <w:rPr>
          <w:u w:val="single"/>
        </w:rPr>
        <w:t>k § 23 ods. 5</w:t>
      </w:r>
    </w:p>
    <w:p w:rsidR="00694A41" w:rsidRPr="007E421F" w:rsidRDefault="00694A41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SLASPO</w:t>
      </w:r>
    </w:p>
    <w:p w:rsidR="00386D18" w:rsidRPr="007E421F" w:rsidRDefault="00A47AB6" w:rsidP="007E421F">
      <w:pPr>
        <w:pStyle w:val="normlnywebov8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E421F">
        <w:rPr>
          <w:rFonts w:asciiTheme="minorHAnsi" w:hAnsiTheme="minorHAnsi"/>
          <w:sz w:val="22"/>
          <w:szCs w:val="22"/>
        </w:rPr>
        <w:t xml:space="preserve">Dodatočne sme </w:t>
      </w:r>
      <w:r w:rsidR="00386D18" w:rsidRPr="007E421F">
        <w:rPr>
          <w:rFonts w:asciiTheme="minorHAnsi" w:hAnsiTheme="minorHAnsi"/>
          <w:sz w:val="22"/>
          <w:szCs w:val="22"/>
        </w:rPr>
        <w:t>namietali</w:t>
      </w:r>
      <w:r w:rsidR="00386D18" w:rsidRPr="007E421F">
        <w:rPr>
          <w:rFonts w:asciiTheme="minorHAnsi" w:hAnsiTheme="minorHAnsi" w:cs="Arial"/>
          <w:sz w:val="22"/>
          <w:szCs w:val="22"/>
        </w:rPr>
        <w:t>, že nie zrejmé pri ktorých pracovných pozíciách má poisťovňa zabezpečiť, aby výkon úloh spojených s oceňovaním rizík bol funkčne nezávislý od politiky odmeňovania závislej na hospodárskom výsledku poisťovne</w:t>
      </w:r>
      <w:r w:rsidR="002767F2" w:rsidRPr="007E421F">
        <w:rPr>
          <w:rFonts w:asciiTheme="minorHAnsi" w:hAnsiTheme="minorHAnsi" w:cs="Arial"/>
          <w:sz w:val="22"/>
          <w:szCs w:val="22"/>
        </w:rPr>
        <w:t xml:space="preserve"> a či</w:t>
      </w:r>
      <w:r w:rsidR="00386D18" w:rsidRPr="007E421F">
        <w:rPr>
          <w:rFonts w:asciiTheme="minorHAnsi" w:hAnsiTheme="minorHAnsi" w:cs="Arial"/>
          <w:sz w:val="22"/>
          <w:szCs w:val="22"/>
        </w:rPr>
        <w:t xml:space="preserve"> sa </w:t>
      </w:r>
      <w:r w:rsidR="002767F2" w:rsidRPr="007E421F">
        <w:rPr>
          <w:rFonts w:asciiTheme="minorHAnsi" w:hAnsiTheme="minorHAnsi" w:cs="Arial"/>
          <w:sz w:val="22"/>
          <w:szCs w:val="22"/>
        </w:rPr>
        <w:t>tým myslí</w:t>
      </w:r>
      <w:r w:rsidR="00386D18" w:rsidRPr="007E421F">
        <w:rPr>
          <w:rFonts w:asciiTheme="minorHAnsi" w:hAnsiTheme="minorHAnsi" w:cs="Arial"/>
          <w:sz w:val="22"/>
          <w:szCs w:val="22"/>
        </w:rPr>
        <w:t xml:space="preserve"> oceňovanie podľa § 36 a</w:t>
      </w:r>
      <w:r w:rsidR="002767F2" w:rsidRPr="007E421F">
        <w:rPr>
          <w:rFonts w:asciiTheme="minorHAnsi" w:hAnsiTheme="minorHAnsi" w:cs="Arial"/>
          <w:sz w:val="22"/>
          <w:szCs w:val="22"/>
        </w:rPr>
        <w:t> </w:t>
      </w:r>
      <w:r w:rsidR="00386D18" w:rsidRPr="007E421F">
        <w:rPr>
          <w:rFonts w:asciiTheme="minorHAnsi" w:hAnsiTheme="minorHAnsi" w:cs="Arial"/>
          <w:sz w:val="22"/>
          <w:szCs w:val="22"/>
        </w:rPr>
        <w:t>nasledujúce</w:t>
      </w:r>
      <w:r w:rsidR="002767F2" w:rsidRPr="007E421F">
        <w:rPr>
          <w:rFonts w:asciiTheme="minorHAnsi" w:hAnsiTheme="minorHAnsi" w:cs="Arial"/>
          <w:sz w:val="22"/>
          <w:szCs w:val="22"/>
        </w:rPr>
        <w:t>.</w:t>
      </w:r>
      <w:r w:rsidR="00386D18" w:rsidRPr="007E421F">
        <w:rPr>
          <w:rFonts w:asciiTheme="minorHAnsi" w:hAnsiTheme="minorHAnsi" w:cs="Arial"/>
          <w:sz w:val="22"/>
          <w:szCs w:val="22"/>
        </w:rPr>
        <w:t xml:space="preserve"> Pre porovnanie napr. v § 72 ods. 9 je uvedené, že poisťovne môžu vytvoriť spoločný register na účely „oceňovania rizík“; predpokladám ale, že ide o iné činnosti ako sú opísané v § 23 ods. 5.  </w:t>
      </w:r>
      <w:r w:rsidR="00386D18" w:rsidRPr="007E421F">
        <w:rPr>
          <w:rFonts w:asciiTheme="minorHAnsi" w:hAnsiTheme="minorHAnsi"/>
          <w:color w:val="000000"/>
          <w:sz w:val="22"/>
          <w:szCs w:val="22"/>
        </w:rPr>
        <w:t xml:space="preserve">Tento § 23 je transpozíciou čl. 40 a 41 smernice, kde však táto úprava absentuje a toto ustanovenie nebolo ani v pôvodnom návrhu </w:t>
      </w:r>
      <w:proofErr w:type="spellStart"/>
      <w:r w:rsidR="00386D18" w:rsidRPr="007E421F">
        <w:rPr>
          <w:rFonts w:asciiTheme="minorHAnsi" w:hAnsiTheme="minorHAnsi"/>
          <w:color w:val="000000"/>
          <w:sz w:val="22"/>
          <w:szCs w:val="22"/>
        </w:rPr>
        <w:t>ZoP</w:t>
      </w:r>
      <w:proofErr w:type="spellEnd"/>
      <w:r w:rsidR="00386D18" w:rsidRPr="007E421F">
        <w:rPr>
          <w:rFonts w:asciiTheme="minorHAnsi" w:hAnsiTheme="minorHAnsi"/>
          <w:color w:val="000000"/>
          <w:sz w:val="22"/>
          <w:szCs w:val="22"/>
        </w:rPr>
        <w:t>.</w:t>
      </w:r>
    </w:p>
    <w:p w:rsidR="00386D18" w:rsidRPr="007E421F" w:rsidRDefault="00386D18" w:rsidP="007E421F">
      <w:pPr>
        <w:pStyle w:val="normlnywebov8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7E421F">
        <w:rPr>
          <w:rFonts w:asciiTheme="minorHAnsi" w:hAnsiTheme="minorHAnsi" w:cs="Arial"/>
          <w:sz w:val="22"/>
          <w:szCs w:val="22"/>
        </w:rPr>
        <w:t>Navrhovali sme nové znenie:</w:t>
      </w:r>
    </w:p>
    <w:p w:rsidR="00A47AB6" w:rsidRPr="007E421F" w:rsidRDefault="00A47AB6" w:rsidP="007E421F">
      <w:pPr>
        <w:pStyle w:val="normlnywebov8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E421F">
        <w:rPr>
          <w:rFonts w:asciiTheme="minorHAnsi" w:hAnsiTheme="minorHAnsi"/>
          <w:color w:val="000000"/>
          <w:sz w:val="22"/>
          <w:szCs w:val="22"/>
        </w:rPr>
        <w:t xml:space="preserve">„(5) Poisťovňa je povinná prijať primerané opatrenia zabraňujúce konfliktu záujmov s cieľom nezávislého riadenia rizík, najmä zabezpečiť, </w:t>
      </w:r>
      <w:r w:rsidRPr="007E421F">
        <w:rPr>
          <w:rFonts w:asciiTheme="minorHAnsi" w:hAnsiTheme="minorHAnsi"/>
          <w:color w:val="000000"/>
          <w:sz w:val="22"/>
          <w:szCs w:val="22"/>
          <w:u w:val="single"/>
        </w:rPr>
        <w:t>aby osoby, ktoré majú kľúčové funkcie v poisťovni</w:t>
      </w:r>
      <w:r w:rsidRPr="007E421F">
        <w:rPr>
          <w:rFonts w:asciiTheme="minorHAnsi" w:hAnsiTheme="minorHAnsi"/>
          <w:color w:val="000000"/>
          <w:sz w:val="22"/>
          <w:szCs w:val="22"/>
        </w:rPr>
        <w:t>, boli funkčne nezávislé od politiky odmeňovania závislej na hospodárskom výsledku poisťovne. Poisťovňa je povinná prijať aj ďalšie primerané opatrenia zabezpečujúce obmedzenie konfliktov záujmov.“</w:t>
      </w:r>
    </w:p>
    <w:p w:rsidR="00162747" w:rsidRPr="007E421F" w:rsidRDefault="00162747" w:rsidP="007E421F">
      <w:pPr>
        <w:pStyle w:val="normlnywebov8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E421F">
        <w:rPr>
          <w:rFonts w:asciiTheme="minorHAnsi" w:hAnsiTheme="minorHAnsi"/>
          <w:sz w:val="22"/>
          <w:szCs w:val="22"/>
        </w:rPr>
        <w:t>MFSR</w:t>
      </w:r>
    </w:p>
    <w:p w:rsidR="00162747" w:rsidRPr="007E421F" w:rsidRDefault="001D041C" w:rsidP="007E421F">
      <w:pPr>
        <w:spacing w:after="0" w:line="240" w:lineRule="auto"/>
        <w:jc w:val="both"/>
      </w:pPr>
      <w:r w:rsidRPr="007E421F">
        <w:t xml:space="preserve">Ustanovenie bolo </w:t>
      </w:r>
      <w:r w:rsidR="00DF73AF" w:rsidRPr="007E421F">
        <w:t xml:space="preserve">predkladateľom </w:t>
      </w:r>
      <w:r w:rsidRPr="007E421F">
        <w:t xml:space="preserve">vysvetlené, ale </w:t>
      </w:r>
      <w:r w:rsidR="00830648" w:rsidRPr="007E421F">
        <w:t>preveria</w:t>
      </w:r>
      <w:r w:rsidRPr="007E421F">
        <w:t xml:space="preserve"> použitie pojmu „oceňovanie rizika“</w:t>
      </w:r>
      <w:r w:rsidR="00513233" w:rsidRPr="007E421F">
        <w:t xml:space="preserve"> </w:t>
      </w:r>
      <w:r w:rsidR="00830648" w:rsidRPr="007E421F">
        <w:t xml:space="preserve">s NBS, </w:t>
      </w:r>
      <w:r w:rsidR="00513233" w:rsidRPr="007E421F">
        <w:t xml:space="preserve">keďže ustanovenie bolo do </w:t>
      </w:r>
      <w:proofErr w:type="spellStart"/>
      <w:r w:rsidR="007B6969" w:rsidRPr="007E421F">
        <w:t>ZoP</w:t>
      </w:r>
      <w:proofErr w:type="spellEnd"/>
      <w:r w:rsidR="00513233" w:rsidRPr="007E421F">
        <w:t xml:space="preserve"> vložené na základe požiadavky</w:t>
      </w:r>
      <w:r w:rsidRPr="007E421F">
        <w:t xml:space="preserve"> NBS.</w:t>
      </w:r>
      <w:r w:rsidR="00830648" w:rsidRPr="007E421F">
        <w:t xml:space="preserve"> Vysvetlením sme akceptovali </w:t>
      </w:r>
      <w:r w:rsidR="00DF73AF" w:rsidRPr="007E421F">
        <w:t xml:space="preserve">ponechanie </w:t>
      </w:r>
      <w:r w:rsidR="00830648" w:rsidRPr="007E421F">
        <w:t>navrhovaného znenia.</w:t>
      </w:r>
    </w:p>
    <w:p w:rsidR="00292129" w:rsidRPr="007E421F" w:rsidRDefault="00292129" w:rsidP="007E421F">
      <w:pPr>
        <w:spacing w:after="0" w:line="240" w:lineRule="auto"/>
        <w:jc w:val="both"/>
      </w:pPr>
    </w:p>
    <w:p w:rsidR="00292129" w:rsidRPr="007E421F" w:rsidRDefault="00292129" w:rsidP="007E421F">
      <w:pPr>
        <w:spacing w:after="0" w:line="240" w:lineRule="auto"/>
        <w:jc w:val="both"/>
        <w:rPr>
          <w:u w:val="single"/>
        </w:rPr>
      </w:pPr>
      <w:r w:rsidRPr="007E421F">
        <w:rPr>
          <w:u w:val="single"/>
        </w:rPr>
        <w:t>K pripomienke § 31</w:t>
      </w:r>
    </w:p>
    <w:p w:rsidR="00292129" w:rsidRPr="007E421F" w:rsidRDefault="00292129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SLASPO</w:t>
      </w:r>
    </w:p>
    <w:p w:rsidR="00292129" w:rsidRPr="007E421F" w:rsidRDefault="00292129" w:rsidP="007E421F">
      <w:pPr>
        <w:spacing w:after="0" w:line="240" w:lineRule="auto"/>
        <w:jc w:val="both"/>
        <w:rPr>
          <w:rFonts w:cs="Calibri"/>
        </w:rPr>
      </w:pPr>
      <w:r w:rsidRPr="007E421F">
        <w:rPr>
          <w:rFonts w:cs="Calibri"/>
        </w:rPr>
        <w:t xml:space="preserve">Doplnili sme našu pripomienku návrhom na úpravu </w:t>
      </w:r>
      <w:r w:rsidR="00163BEF" w:rsidRPr="007E421F">
        <w:rPr>
          <w:rFonts w:cs="Calibri"/>
        </w:rPr>
        <w:t>časti</w:t>
      </w:r>
      <w:r w:rsidRPr="007E421F">
        <w:rPr>
          <w:rFonts w:cs="Calibri"/>
        </w:rPr>
        <w:t xml:space="preserve"> ustanovenia:</w:t>
      </w:r>
    </w:p>
    <w:p w:rsidR="00292129" w:rsidRPr="007E421F" w:rsidRDefault="00292129" w:rsidP="007E421F">
      <w:pPr>
        <w:pStyle w:val="Normlnywebov80"/>
        <w:spacing w:before="0" w:after="0"/>
        <w:ind w:left="0" w:right="0"/>
        <w:jc w:val="center"/>
        <w:rPr>
          <w:rFonts w:asciiTheme="minorHAnsi" w:hAnsiTheme="minorHAnsi" w:cs="Arial"/>
          <w:b/>
          <w:i/>
        </w:rPr>
      </w:pPr>
      <w:r w:rsidRPr="007E421F">
        <w:rPr>
          <w:rFonts w:asciiTheme="minorHAnsi" w:hAnsiTheme="minorHAnsi" w:cs="Arial"/>
          <w:b/>
          <w:i/>
        </w:rPr>
        <w:t>31</w:t>
      </w:r>
    </w:p>
    <w:p w:rsidR="00292129" w:rsidRPr="007E421F" w:rsidRDefault="00292129" w:rsidP="007E421F">
      <w:pPr>
        <w:pStyle w:val="Normlnywebov80"/>
        <w:spacing w:before="0" w:after="0"/>
        <w:ind w:left="0" w:right="0"/>
        <w:jc w:val="center"/>
        <w:rPr>
          <w:rFonts w:asciiTheme="minorHAnsi" w:hAnsiTheme="minorHAnsi" w:cs="Arial"/>
          <w:b/>
          <w:i/>
        </w:rPr>
      </w:pPr>
      <w:r w:rsidRPr="007E421F">
        <w:rPr>
          <w:rFonts w:asciiTheme="minorHAnsi" w:hAnsiTheme="minorHAnsi" w:cs="Arial"/>
          <w:b/>
          <w:i/>
        </w:rPr>
        <w:t>Konflikt záujmov</w:t>
      </w:r>
    </w:p>
    <w:p w:rsidR="00292129" w:rsidRPr="007E421F" w:rsidRDefault="00292129" w:rsidP="007E421F">
      <w:pPr>
        <w:pStyle w:val="Normlnywebov80"/>
        <w:spacing w:before="0" w:after="0"/>
        <w:ind w:left="0" w:right="0"/>
        <w:jc w:val="center"/>
        <w:rPr>
          <w:rFonts w:asciiTheme="minorHAnsi" w:hAnsiTheme="minorHAnsi" w:cs="Arial"/>
          <w:b/>
          <w:i/>
        </w:rPr>
      </w:pPr>
    </w:p>
    <w:p w:rsidR="00292129" w:rsidRPr="007E421F" w:rsidRDefault="00292129" w:rsidP="007E421F">
      <w:pPr>
        <w:pStyle w:val="Normlnywebov80"/>
        <w:spacing w:before="0" w:after="0"/>
        <w:ind w:left="0" w:right="0" w:firstLine="708"/>
        <w:jc w:val="both"/>
        <w:rPr>
          <w:rFonts w:asciiTheme="minorHAnsi" w:hAnsiTheme="minorHAnsi" w:cs="Arial"/>
          <w:bCs/>
          <w:i/>
        </w:rPr>
      </w:pPr>
      <w:r w:rsidRPr="007E421F">
        <w:rPr>
          <w:rFonts w:asciiTheme="minorHAnsi" w:hAnsiTheme="minorHAnsi" w:cs="Arial"/>
          <w:i/>
        </w:rPr>
        <w:t>(1)</w:t>
      </w:r>
      <w:r w:rsidRPr="007E421F">
        <w:rPr>
          <w:rFonts w:asciiTheme="minorHAnsi" w:hAnsiTheme="minorHAnsi" w:cs="Arial"/>
          <w:b/>
          <w:i/>
        </w:rPr>
        <w:t xml:space="preserve"> </w:t>
      </w:r>
      <w:r w:rsidRPr="007E421F">
        <w:rPr>
          <w:rFonts w:asciiTheme="minorHAnsi" w:hAnsiTheme="minorHAnsi" w:cs="Arial"/>
          <w:bCs/>
          <w:i/>
        </w:rPr>
        <w:t xml:space="preserve">Organizačná štruktúra a nastavenie vnútorných procesov poisťovne musí zabezpečovať minimalizáciu rizika finančných strát poisťovne ako aj poškodenia jej klientov konfliktom záujmov. </w:t>
      </w:r>
    </w:p>
    <w:p w:rsidR="00292129" w:rsidRPr="007E421F" w:rsidRDefault="00292129" w:rsidP="007E421F">
      <w:pPr>
        <w:pStyle w:val="Normlnywebov80"/>
        <w:spacing w:before="0" w:after="0"/>
        <w:ind w:left="0" w:right="0" w:firstLine="708"/>
        <w:jc w:val="both"/>
        <w:rPr>
          <w:rFonts w:asciiTheme="minorHAnsi" w:hAnsiTheme="minorHAnsi" w:cs="Arial"/>
          <w:bCs/>
          <w:i/>
        </w:rPr>
      </w:pPr>
      <w:r w:rsidRPr="007E421F">
        <w:rPr>
          <w:rFonts w:asciiTheme="minorHAnsi" w:hAnsiTheme="minorHAnsi" w:cs="Arial"/>
          <w:bCs/>
          <w:i/>
        </w:rPr>
        <w:t>(2) Na účely zistenia konfliktov záujmov podľa odseku 1 sa najmä berie do úvahy, či zamestnanci poisťovne alebo iné osoby</w:t>
      </w:r>
      <w:r w:rsidRPr="007E421F">
        <w:rPr>
          <w:rFonts w:asciiTheme="minorHAnsi" w:hAnsiTheme="minorHAnsi" w:cs="Arial"/>
          <w:bCs/>
          <w:i/>
          <w:color w:val="FF0000"/>
        </w:rPr>
        <w:t>, ktorým bol zverený výkon funkcie v rámci systéme správy a riadenia alebo akejkoľvek činnosti vyplývajúcej z poisťovacej činnosti alebo zaisťovacej činnosti,</w:t>
      </w:r>
      <w:r w:rsidRPr="007E421F">
        <w:rPr>
          <w:rFonts w:asciiTheme="minorHAnsi" w:hAnsiTheme="minorHAnsi" w:cs="Arial"/>
          <w:bCs/>
          <w:i/>
        </w:rPr>
        <w:t xml:space="preserve"> </w:t>
      </w:r>
      <w:r w:rsidRPr="007E421F">
        <w:rPr>
          <w:rFonts w:asciiTheme="minorHAnsi" w:hAnsiTheme="minorHAnsi" w:cs="Arial"/>
          <w:bCs/>
          <w:i/>
          <w:strike/>
        </w:rPr>
        <w:t>zodpovedné za uzatváranie a správu poistných zmlúv alebo za likvidáciu poistných udalostí z týchto zmlúv</w:t>
      </w:r>
      <w:r w:rsidRPr="007E421F">
        <w:rPr>
          <w:rFonts w:asciiTheme="minorHAnsi" w:hAnsiTheme="minorHAnsi" w:cs="Arial"/>
          <w:bCs/>
          <w:i/>
        </w:rPr>
        <w:t xml:space="preserve"> voči klientom</w:t>
      </w:r>
    </w:p>
    <w:p w:rsidR="00292129" w:rsidRPr="007E421F" w:rsidRDefault="00292129" w:rsidP="007E421F">
      <w:pPr>
        <w:pStyle w:val="Normlnywebov80"/>
        <w:tabs>
          <w:tab w:val="left" w:pos="993"/>
        </w:tabs>
        <w:spacing w:before="0" w:after="0"/>
        <w:ind w:left="0" w:right="0" w:firstLine="708"/>
        <w:jc w:val="both"/>
        <w:rPr>
          <w:rFonts w:asciiTheme="minorHAnsi" w:hAnsiTheme="minorHAnsi" w:cs="Arial"/>
          <w:bCs/>
          <w:i/>
        </w:rPr>
      </w:pPr>
      <w:r w:rsidRPr="007E421F">
        <w:rPr>
          <w:rFonts w:asciiTheme="minorHAnsi" w:hAnsiTheme="minorHAnsi" w:cs="Arial"/>
          <w:bCs/>
          <w:i/>
        </w:rPr>
        <w:t>a)</w:t>
      </w:r>
      <w:r w:rsidRPr="007E421F">
        <w:rPr>
          <w:rFonts w:asciiTheme="minorHAnsi" w:hAnsiTheme="minorHAnsi" w:cs="Arial"/>
          <w:bCs/>
          <w:i/>
        </w:rPr>
        <w:tab/>
        <w:t>nie sú blízke osoby podľa osobitného zákona,</w:t>
      </w:r>
    </w:p>
    <w:p w:rsidR="00292129" w:rsidRPr="007E421F" w:rsidRDefault="00292129" w:rsidP="007E421F">
      <w:pPr>
        <w:pStyle w:val="Normlnywebov80"/>
        <w:tabs>
          <w:tab w:val="left" w:pos="993"/>
        </w:tabs>
        <w:spacing w:before="0" w:after="0"/>
        <w:ind w:left="0" w:right="0" w:firstLine="708"/>
        <w:jc w:val="both"/>
        <w:rPr>
          <w:rFonts w:asciiTheme="minorHAnsi" w:hAnsiTheme="minorHAnsi" w:cs="Arial"/>
          <w:bCs/>
          <w:i/>
        </w:rPr>
      </w:pPr>
      <w:r w:rsidRPr="007E421F">
        <w:rPr>
          <w:rFonts w:asciiTheme="minorHAnsi" w:hAnsiTheme="minorHAnsi" w:cs="Arial"/>
          <w:bCs/>
          <w:i/>
        </w:rPr>
        <w:t>b)</w:t>
      </w:r>
      <w:r w:rsidRPr="007E421F">
        <w:rPr>
          <w:rFonts w:asciiTheme="minorHAnsi" w:hAnsiTheme="minorHAnsi" w:cs="Arial"/>
          <w:bCs/>
          <w:i/>
        </w:rPr>
        <w:tab/>
        <w:t>nemajú majetkové prepojenie alebo významný vplyv podľa § 5 písm. e, ak je klientom právnická osoba,</w:t>
      </w:r>
    </w:p>
    <w:p w:rsidR="00292129" w:rsidRPr="007E421F" w:rsidRDefault="00292129" w:rsidP="007E421F">
      <w:pPr>
        <w:pStyle w:val="Normlnywebov80"/>
        <w:tabs>
          <w:tab w:val="left" w:pos="993"/>
        </w:tabs>
        <w:spacing w:before="0" w:after="0"/>
        <w:ind w:left="0" w:right="0" w:firstLine="708"/>
        <w:jc w:val="both"/>
        <w:rPr>
          <w:rFonts w:asciiTheme="minorHAnsi" w:hAnsiTheme="minorHAnsi" w:cs="Arial"/>
          <w:bCs/>
          <w:i/>
          <w:strike/>
        </w:rPr>
      </w:pPr>
      <w:r w:rsidRPr="007E421F">
        <w:rPr>
          <w:rFonts w:asciiTheme="minorHAnsi" w:hAnsiTheme="minorHAnsi" w:cs="Arial"/>
          <w:bCs/>
          <w:i/>
          <w:strike/>
        </w:rPr>
        <w:t>c)</w:t>
      </w:r>
      <w:r w:rsidRPr="007E421F">
        <w:rPr>
          <w:rFonts w:asciiTheme="minorHAnsi" w:hAnsiTheme="minorHAnsi" w:cs="Arial"/>
          <w:bCs/>
          <w:i/>
          <w:strike/>
        </w:rPr>
        <w:tab/>
        <w:t>nie sú v súdnom spore alebo inom spore s klientom,</w:t>
      </w:r>
    </w:p>
    <w:p w:rsidR="00292129" w:rsidRPr="007E421F" w:rsidRDefault="00292129" w:rsidP="007E421F">
      <w:pPr>
        <w:pStyle w:val="Normlnywebov80"/>
        <w:tabs>
          <w:tab w:val="left" w:pos="993"/>
        </w:tabs>
        <w:spacing w:before="0" w:after="0"/>
        <w:ind w:left="0" w:right="0" w:firstLine="708"/>
        <w:jc w:val="both"/>
        <w:rPr>
          <w:rFonts w:asciiTheme="minorHAnsi" w:hAnsiTheme="minorHAnsi" w:cs="Arial"/>
          <w:bCs/>
          <w:i/>
          <w:strike/>
        </w:rPr>
      </w:pPr>
      <w:r w:rsidRPr="007E421F">
        <w:rPr>
          <w:rFonts w:asciiTheme="minorHAnsi" w:hAnsiTheme="minorHAnsi" w:cs="Arial"/>
          <w:bCs/>
          <w:i/>
          <w:strike/>
        </w:rPr>
        <w:t>d)</w:t>
      </w:r>
      <w:r w:rsidRPr="007E421F">
        <w:rPr>
          <w:rFonts w:asciiTheme="minorHAnsi" w:hAnsiTheme="minorHAnsi" w:cs="Arial"/>
          <w:bCs/>
          <w:i/>
          <w:strike/>
        </w:rPr>
        <w:tab/>
        <w:t xml:space="preserve">nemajú osobný záujem na výsledku služby alebo plnenia poskytovanej klientovi, </w:t>
      </w:r>
    </w:p>
    <w:p w:rsidR="00292129" w:rsidRPr="007E421F" w:rsidRDefault="00292129" w:rsidP="007E421F">
      <w:pPr>
        <w:pStyle w:val="Normlnywebov80"/>
        <w:tabs>
          <w:tab w:val="left" w:pos="993"/>
        </w:tabs>
        <w:spacing w:before="0" w:after="0"/>
        <w:ind w:left="0" w:right="0" w:firstLine="708"/>
        <w:jc w:val="both"/>
        <w:rPr>
          <w:rFonts w:asciiTheme="minorHAnsi" w:hAnsiTheme="minorHAnsi" w:cs="Arial"/>
          <w:bCs/>
          <w:i/>
        </w:rPr>
      </w:pPr>
      <w:r w:rsidRPr="007E421F">
        <w:rPr>
          <w:rFonts w:asciiTheme="minorHAnsi" w:hAnsiTheme="minorHAnsi" w:cs="Arial"/>
          <w:bCs/>
          <w:i/>
          <w:strike/>
        </w:rPr>
        <w:t>e)</w:t>
      </w:r>
      <w:r w:rsidRPr="007E421F">
        <w:rPr>
          <w:rFonts w:asciiTheme="minorHAnsi" w:hAnsiTheme="minorHAnsi" w:cs="Arial"/>
          <w:bCs/>
          <w:i/>
          <w:strike/>
        </w:rPr>
        <w:tab/>
        <w:t>nemajú finančnú alebo inú motiváciu uprednostniť záujem klienta nad rámec uzatvorenej poistnej zmluvy v rozpore so záujmami poisťovne</w:t>
      </w:r>
      <w:r w:rsidRPr="007E421F">
        <w:rPr>
          <w:rFonts w:asciiTheme="minorHAnsi" w:hAnsiTheme="minorHAnsi" w:cs="Arial"/>
          <w:bCs/>
          <w:i/>
        </w:rPr>
        <w:t>.</w:t>
      </w:r>
    </w:p>
    <w:p w:rsidR="00292129" w:rsidRPr="007E421F" w:rsidRDefault="00292129" w:rsidP="007E421F">
      <w:pPr>
        <w:pStyle w:val="Normlnywebov80"/>
        <w:spacing w:before="0" w:after="0"/>
        <w:ind w:left="0" w:right="0" w:firstLine="708"/>
        <w:jc w:val="both"/>
        <w:rPr>
          <w:rFonts w:asciiTheme="minorHAnsi" w:hAnsiTheme="minorHAnsi" w:cs="Arial"/>
          <w:bCs/>
          <w:i/>
          <w:strike/>
        </w:rPr>
      </w:pPr>
      <w:r w:rsidRPr="007E421F">
        <w:rPr>
          <w:rFonts w:asciiTheme="minorHAnsi" w:hAnsiTheme="minorHAnsi" w:cs="Arial"/>
          <w:bCs/>
          <w:i/>
          <w:strike/>
        </w:rPr>
        <w:t xml:space="preserve">(3) Na účely zistenia konfliktov záujmov podľa odseku 1 sa najmä berie do úvahy, či zamestnanci poisťovne alebo iné osoby zodpovedné za uzatváranie iných ako poistných zmlúv, ktoré môžu ovplyvniť finančnú situáciu poisťovne voči iným osobám ako klientom, z ktorými sa tieto zmluvy uzatvárajú: </w:t>
      </w:r>
    </w:p>
    <w:p w:rsidR="00292129" w:rsidRPr="007E421F" w:rsidRDefault="00292129" w:rsidP="007E421F">
      <w:pPr>
        <w:pStyle w:val="Normlnywebov80"/>
        <w:tabs>
          <w:tab w:val="left" w:pos="993"/>
        </w:tabs>
        <w:spacing w:before="0" w:after="0"/>
        <w:ind w:left="0" w:right="0" w:firstLine="708"/>
        <w:jc w:val="both"/>
        <w:rPr>
          <w:rFonts w:asciiTheme="minorHAnsi" w:hAnsiTheme="minorHAnsi" w:cs="Arial"/>
          <w:bCs/>
          <w:i/>
          <w:strike/>
        </w:rPr>
      </w:pPr>
      <w:r w:rsidRPr="007E421F">
        <w:rPr>
          <w:rFonts w:asciiTheme="minorHAnsi" w:hAnsiTheme="minorHAnsi" w:cs="Arial"/>
          <w:bCs/>
          <w:i/>
          <w:strike/>
        </w:rPr>
        <w:t>a)</w:t>
      </w:r>
      <w:r w:rsidRPr="007E421F">
        <w:rPr>
          <w:rFonts w:asciiTheme="minorHAnsi" w:hAnsiTheme="minorHAnsi" w:cs="Arial"/>
          <w:bCs/>
          <w:i/>
          <w:strike/>
        </w:rPr>
        <w:tab/>
        <w:t>nie sú v príbuzenskom alebo obdobnom vzťahu,</w:t>
      </w:r>
    </w:p>
    <w:p w:rsidR="00292129" w:rsidRPr="007E421F" w:rsidRDefault="00292129" w:rsidP="007E421F">
      <w:pPr>
        <w:pStyle w:val="Normlnywebov80"/>
        <w:tabs>
          <w:tab w:val="left" w:pos="993"/>
        </w:tabs>
        <w:spacing w:before="0" w:after="0"/>
        <w:ind w:left="0" w:right="0" w:firstLine="708"/>
        <w:jc w:val="both"/>
        <w:rPr>
          <w:rFonts w:asciiTheme="minorHAnsi" w:hAnsiTheme="minorHAnsi" w:cs="Arial"/>
          <w:bCs/>
          <w:i/>
          <w:strike/>
        </w:rPr>
      </w:pPr>
      <w:r w:rsidRPr="007E421F">
        <w:rPr>
          <w:rFonts w:asciiTheme="minorHAnsi" w:hAnsiTheme="minorHAnsi" w:cs="Arial"/>
          <w:bCs/>
          <w:i/>
          <w:strike/>
        </w:rPr>
        <w:lastRenderedPageBreak/>
        <w:t>b)</w:t>
      </w:r>
      <w:r w:rsidRPr="007E421F">
        <w:rPr>
          <w:rFonts w:asciiTheme="minorHAnsi" w:hAnsiTheme="minorHAnsi" w:cs="Arial"/>
          <w:bCs/>
          <w:i/>
          <w:strike/>
        </w:rPr>
        <w:tab/>
        <w:t>ak ide o právnickú osobu nemajú voči týmto osobám majetkové prepojenie alebo významný vplyv podľa § 5 písm. e,</w:t>
      </w:r>
    </w:p>
    <w:p w:rsidR="00292129" w:rsidRPr="007E421F" w:rsidRDefault="00292129" w:rsidP="007E421F">
      <w:pPr>
        <w:pStyle w:val="Normlnywebov80"/>
        <w:tabs>
          <w:tab w:val="left" w:pos="993"/>
        </w:tabs>
        <w:spacing w:before="0" w:after="0"/>
        <w:ind w:left="0" w:right="0" w:firstLine="708"/>
        <w:jc w:val="both"/>
        <w:rPr>
          <w:rFonts w:asciiTheme="minorHAnsi" w:hAnsiTheme="minorHAnsi" w:cs="Arial"/>
          <w:bCs/>
          <w:i/>
          <w:strike/>
        </w:rPr>
      </w:pPr>
      <w:r w:rsidRPr="007E421F">
        <w:rPr>
          <w:rFonts w:asciiTheme="minorHAnsi" w:hAnsiTheme="minorHAnsi" w:cs="Arial"/>
          <w:bCs/>
          <w:i/>
          <w:strike/>
        </w:rPr>
        <w:t>c)</w:t>
      </w:r>
      <w:r w:rsidRPr="007E421F">
        <w:rPr>
          <w:rFonts w:asciiTheme="minorHAnsi" w:hAnsiTheme="minorHAnsi" w:cs="Arial"/>
          <w:bCs/>
          <w:i/>
          <w:strike/>
        </w:rPr>
        <w:tab/>
        <w:t>nie sú v súdnom spore alebo inom spore s týmito osobami,</w:t>
      </w:r>
    </w:p>
    <w:p w:rsidR="00292129" w:rsidRPr="007E421F" w:rsidRDefault="00292129" w:rsidP="007E421F">
      <w:pPr>
        <w:pStyle w:val="Normlnywebov80"/>
        <w:tabs>
          <w:tab w:val="left" w:pos="993"/>
        </w:tabs>
        <w:spacing w:before="0" w:after="0"/>
        <w:ind w:left="0" w:right="0" w:firstLine="708"/>
        <w:jc w:val="both"/>
        <w:rPr>
          <w:rFonts w:asciiTheme="minorHAnsi" w:hAnsiTheme="minorHAnsi" w:cs="Arial"/>
          <w:bCs/>
          <w:i/>
          <w:strike/>
        </w:rPr>
      </w:pPr>
      <w:r w:rsidRPr="007E421F">
        <w:rPr>
          <w:rFonts w:asciiTheme="minorHAnsi" w:hAnsiTheme="minorHAnsi" w:cs="Arial"/>
          <w:bCs/>
          <w:i/>
          <w:strike/>
        </w:rPr>
        <w:t>d)</w:t>
      </w:r>
      <w:r w:rsidRPr="007E421F">
        <w:rPr>
          <w:rFonts w:asciiTheme="minorHAnsi" w:hAnsiTheme="minorHAnsi" w:cs="Arial"/>
          <w:bCs/>
          <w:i/>
          <w:strike/>
        </w:rPr>
        <w:tab/>
        <w:t xml:space="preserve">nemajú osobný záujem na výsledku služby alebo plnenia z týchto zmlúv, </w:t>
      </w:r>
    </w:p>
    <w:p w:rsidR="00292129" w:rsidRPr="007E421F" w:rsidRDefault="00292129" w:rsidP="007E421F">
      <w:pPr>
        <w:pStyle w:val="Normlnywebov80"/>
        <w:tabs>
          <w:tab w:val="left" w:pos="993"/>
        </w:tabs>
        <w:spacing w:before="0" w:after="0"/>
        <w:ind w:left="0" w:right="0" w:firstLine="708"/>
        <w:jc w:val="both"/>
        <w:rPr>
          <w:rFonts w:asciiTheme="minorHAnsi" w:hAnsiTheme="minorHAnsi" w:cs="Arial"/>
          <w:bCs/>
          <w:i/>
          <w:strike/>
        </w:rPr>
      </w:pPr>
      <w:r w:rsidRPr="007E421F">
        <w:rPr>
          <w:rFonts w:asciiTheme="minorHAnsi" w:hAnsiTheme="minorHAnsi" w:cs="Arial"/>
          <w:bCs/>
          <w:i/>
          <w:strike/>
        </w:rPr>
        <w:t>e)</w:t>
      </w:r>
      <w:r w:rsidRPr="007E421F">
        <w:rPr>
          <w:rFonts w:asciiTheme="minorHAnsi" w:hAnsiTheme="minorHAnsi" w:cs="Arial"/>
          <w:bCs/>
          <w:i/>
          <w:strike/>
        </w:rPr>
        <w:tab/>
        <w:t>nemajú finančnú alebo inú motiváciu uprednostniť záujem týchto osôb v rozpore so záujmami poisťovne.</w:t>
      </w:r>
    </w:p>
    <w:p w:rsidR="00292129" w:rsidRPr="007E421F" w:rsidRDefault="00292129" w:rsidP="007E421F">
      <w:pPr>
        <w:pStyle w:val="Normlnywebov80"/>
        <w:spacing w:before="0" w:after="0"/>
        <w:ind w:left="0" w:right="0" w:firstLine="708"/>
        <w:jc w:val="both"/>
        <w:rPr>
          <w:rFonts w:asciiTheme="minorHAnsi" w:hAnsiTheme="minorHAnsi" w:cs="Arial"/>
          <w:bCs/>
          <w:i/>
        </w:rPr>
      </w:pPr>
      <w:r w:rsidRPr="007E421F">
        <w:rPr>
          <w:rFonts w:asciiTheme="minorHAnsi" w:hAnsiTheme="minorHAnsi" w:cs="Arial"/>
          <w:bCs/>
          <w:i/>
        </w:rPr>
        <w:t xml:space="preserve">(4) Poisťovňa je povinná zaviesť, uplatňovať a dodržiavať účinné opatrenia na zamedzenie konfliktu záujmov. Tieto opatrenia musia byť vypracované v písomnej forme a musia zohľadňovať veľkosť a organizáciu poisťovne, povahu, rozsah a zložitosť jednotlivých činností. </w:t>
      </w:r>
      <w:r w:rsidRPr="007E421F">
        <w:rPr>
          <w:rFonts w:asciiTheme="minorHAnsi" w:hAnsiTheme="minorHAnsi" w:cs="Arial"/>
          <w:bCs/>
          <w:i/>
          <w:strike/>
        </w:rPr>
        <w:t xml:space="preserve">Ak je poisťovňa členom skupiny, v opatreniach musia byť zohľadnené všetky okolnosti, ktoré môžu viesť k vzniku konfliktu záujmov v dôsledku štruktúry a obchodných činností ostatných členov tejto skupiny a ktorých si je alebo by si mala byť poisťovňa vedomá. </w:t>
      </w:r>
    </w:p>
    <w:p w:rsidR="00292129" w:rsidRPr="007E421F" w:rsidRDefault="00292129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MFSR</w:t>
      </w:r>
    </w:p>
    <w:p w:rsidR="00292129" w:rsidRPr="007E421F" w:rsidRDefault="00C335BE" w:rsidP="007E421F">
      <w:pPr>
        <w:spacing w:after="0" w:line="240" w:lineRule="auto"/>
        <w:jc w:val="both"/>
      </w:pPr>
      <w:r>
        <w:t>Návrh posúdia.</w:t>
      </w:r>
    </w:p>
    <w:p w:rsidR="00162747" w:rsidRPr="007E421F" w:rsidRDefault="00162747" w:rsidP="007E421F">
      <w:pPr>
        <w:spacing w:after="0" w:line="240" w:lineRule="auto"/>
        <w:jc w:val="both"/>
      </w:pPr>
    </w:p>
    <w:p w:rsidR="001B787D" w:rsidRPr="007E421F" w:rsidRDefault="001B787D" w:rsidP="007E421F">
      <w:pPr>
        <w:spacing w:after="0" w:line="240" w:lineRule="auto"/>
        <w:jc w:val="both"/>
        <w:rPr>
          <w:color w:val="C00000"/>
        </w:rPr>
      </w:pPr>
      <w:r w:rsidRPr="007E421F">
        <w:rPr>
          <w:u w:val="single"/>
        </w:rPr>
        <w:t xml:space="preserve">K pripomienke k § </w:t>
      </w:r>
      <w:r w:rsidR="00CC0AA4" w:rsidRPr="007E421F">
        <w:rPr>
          <w:u w:val="single"/>
        </w:rPr>
        <w:t>37</w:t>
      </w:r>
    </w:p>
    <w:p w:rsidR="001B787D" w:rsidRPr="007E421F" w:rsidRDefault="001B787D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SLASPO</w:t>
      </w:r>
    </w:p>
    <w:p w:rsidR="005C66D7" w:rsidRPr="007E421F" w:rsidRDefault="001B787D" w:rsidP="007E421F">
      <w:pPr>
        <w:spacing w:after="0" w:line="240" w:lineRule="auto"/>
        <w:jc w:val="both"/>
      </w:pPr>
      <w:r w:rsidRPr="007E421F">
        <w:rPr>
          <w:rFonts w:cs="Calibri"/>
        </w:rPr>
        <w:t xml:space="preserve">Zotrvali sme na svojej pripomienke, že za účelom zachovania súčasného stavu daňovej </w:t>
      </w:r>
      <w:proofErr w:type="spellStart"/>
      <w:r w:rsidRPr="007E421F">
        <w:rPr>
          <w:rFonts w:cs="Calibri"/>
        </w:rPr>
        <w:t>uznateľnosti</w:t>
      </w:r>
      <w:proofErr w:type="spellEnd"/>
      <w:r w:rsidRPr="007E421F">
        <w:rPr>
          <w:rFonts w:cs="Calibri"/>
        </w:rPr>
        <w:t xml:space="preserve"> rezerv, je potrebné definíciu daňovo uznaných rezerv naviazať na rezervy tvorené podľa IFRS (s výnimkou IBNR). V tejto súvislosti je potrebné, novelizovať zákon o dani z príjmov tak, aby odkazoval na zákon o účtovníctve a nie ako v súčasnosti </w:t>
      </w:r>
      <w:r w:rsidR="001A257E" w:rsidRPr="007E421F">
        <w:rPr>
          <w:rFonts w:cs="Calibri"/>
        </w:rPr>
        <w:t>na zákon o poisťovníctve. Ako alternatívu sme navrhli v zákone o dani z príjmov odká</w:t>
      </w:r>
      <w:r w:rsidR="005C66D7" w:rsidRPr="007E421F">
        <w:rPr>
          <w:rFonts w:cs="Calibri"/>
        </w:rPr>
        <w:t xml:space="preserve">zať na § 171,  kde zostáva v súčasnosti platná právna úprava vytvárania technických rezerv. Argumentovali sme, že MF SR ako regulátor a NBS ako dohľad musia mať hlavný záujem na naplnenie smernice a zachovania finančnej stability poisťovní, pre ktoré by zdanenie technických rezerv mohlo mať </w:t>
      </w:r>
      <w:r w:rsidR="00BF0D4C" w:rsidRPr="007E421F">
        <w:rPr>
          <w:rFonts w:cs="Calibri"/>
        </w:rPr>
        <w:t>likvidačné následky.</w:t>
      </w:r>
    </w:p>
    <w:p w:rsidR="005C66D7" w:rsidRPr="007E421F" w:rsidRDefault="005C66D7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MFSR</w:t>
      </w:r>
    </w:p>
    <w:p w:rsidR="001B787D" w:rsidRPr="007E421F" w:rsidRDefault="005C66D7" w:rsidP="007E421F">
      <w:pPr>
        <w:spacing w:after="0" w:line="240" w:lineRule="auto"/>
        <w:jc w:val="both"/>
      </w:pPr>
      <w:r w:rsidRPr="007E421F">
        <w:t xml:space="preserve">Nie je možné z ich strany </w:t>
      </w:r>
      <w:r w:rsidR="00BF0D4C" w:rsidRPr="007E421F">
        <w:t xml:space="preserve">v </w:t>
      </w:r>
      <w:proofErr w:type="spellStart"/>
      <w:r w:rsidR="00BF0D4C" w:rsidRPr="007E421F">
        <w:t>ZoP</w:t>
      </w:r>
      <w:proofErr w:type="spellEnd"/>
      <w:r w:rsidRPr="007E421F">
        <w:t xml:space="preserve"> </w:t>
      </w:r>
      <w:r w:rsidR="00BF0D4C" w:rsidRPr="007E421F">
        <w:t xml:space="preserve">obsiahnuť </w:t>
      </w:r>
      <w:r w:rsidRPr="007E421F">
        <w:t xml:space="preserve">aj novelizáciu zákona o dani z príjmu, </w:t>
      </w:r>
      <w:r w:rsidR="00BF0D4C" w:rsidRPr="007E421F">
        <w:t>túto zmenu pripraví</w:t>
      </w:r>
      <w:r w:rsidRPr="007E421F">
        <w:t xml:space="preserve"> osobitne daňová sekcia MF SR, ktorá požaduje</w:t>
      </w:r>
      <w:r w:rsidR="00BF0D4C" w:rsidRPr="007E421F">
        <w:t xml:space="preserve"> jej</w:t>
      </w:r>
      <w:r w:rsidRPr="007E421F">
        <w:t xml:space="preserve"> vyčíslenie, ke</w:t>
      </w:r>
      <w:r w:rsidR="00830648" w:rsidRPr="007E421F">
        <w:t>ď</w:t>
      </w:r>
      <w:r w:rsidRPr="007E421F">
        <w:t>že sa obáva prípadného negatívneho vplyvu na štátny rozpočet</w:t>
      </w:r>
      <w:r w:rsidR="00876B0F">
        <w:t xml:space="preserve">. </w:t>
      </w:r>
      <w:r w:rsidR="001D5F53">
        <w:t xml:space="preserve">Odporúča poisťovniam, aby sa pokúsili daňovú sekciu presvedčiť o „fiškálnej neutralite“ navrhovaného riešenia. </w:t>
      </w:r>
      <w:r w:rsidR="00BF0D4C" w:rsidRPr="007E421F">
        <w:t>NBS pripravuje oficiálny list na MF SR s uvedením relevantných argumentov na podporu našej pripomienky.</w:t>
      </w:r>
    </w:p>
    <w:p w:rsidR="001B787D" w:rsidRPr="007E421F" w:rsidRDefault="001B787D" w:rsidP="007E421F">
      <w:pPr>
        <w:spacing w:after="0" w:line="240" w:lineRule="auto"/>
        <w:jc w:val="both"/>
      </w:pPr>
    </w:p>
    <w:p w:rsidR="00162747" w:rsidRPr="007E421F" w:rsidRDefault="00162747" w:rsidP="007E421F">
      <w:pPr>
        <w:spacing w:after="0" w:line="240" w:lineRule="auto"/>
        <w:jc w:val="both"/>
        <w:rPr>
          <w:color w:val="C00000"/>
        </w:rPr>
      </w:pPr>
      <w:r w:rsidRPr="007E421F">
        <w:rPr>
          <w:u w:val="single"/>
        </w:rPr>
        <w:t xml:space="preserve">K z pripomienke </w:t>
      </w:r>
      <w:r w:rsidR="00CE637C" w:rsidRPr="007E421F">
        <w:rPr>
          <w:u w:val="single"/>
        </w:rPr>
        <w:t>k</w:t>
      </w:r>
      <w:r w:rsidR="00A833C9" w:rsidRPr="007E421F">
        <w:rPr>
          <w:u w:val="single"/>
        </w:rPr>
        <w:t xml:space="preserve"> § 70 ods. 5</w:t>
      </w:r>
    </w:p>
    <w:p w:rsidR="00162747" w:rsidRPr="007E421F" w:rsidRDefault="00162747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SLASPO</w:t>
      </w:r>
    </w:p>
    <w:p w:rsidR="00A833C9" w:rsidRPr="007E421F" w:rsidRDefault="00A833C9" w:rsidP="007E421F">
      <w:pPr>
        <w:spacing w:after="0" w:line="240" w:lineRule="auto"/>
        <w:jc w:val="both"/>
        <w:rPr>
          <w:rFonts w:cs="Calibri"/>
        </w:rPr>
      </w:pPr>
      <w:r w:rsidRPr="007E421F">
        <w:rPr>
          <w:rFonts w:cs="Calibri"/>
        </w:rPr>
        <w:t xml:space="preserve">Namietali sme, že každá poisťovňa má svoj vlastný rizikový profil, ktorý je v režime </w:t>
      </w:r>
      <w:proofErr w:type="spellStart"/>
      <w:r w:rsidRPr="007E421F">
        <w:rPr>
          <w:rFonts w:cs="Calibri"/>
        </w:rPr>
        <w:t>Solvency</w:t>
      </w:r>
      <w:proofErr w:type="spellEnd"/>
      <w:r w:rsidRPr="007E421F">
        <w:rPr>
          <w:rFonts w:cs="Calibri"/>
        </w:rPr>
        <w:t xml:space="preserve"> II materializovaný v písomných koncepciách a vyjadrený rizikovým apetítom a limitmi pre akceptáciu rizika. Rozdielna miera rizika by mala byť zohľadnená aj povinnostiach členov predstavenstva. Ak by boli členovia predstavenstva nútení konať spôsobom, ktorý minimalizuje riziko, </w:t>
      </w:r>
      <w:proofErr w:type="spellStart"/>
      <w:r w:rsidRPr="007E421F">
        <w:rPr>
          <w:rFonts w:cs="Calibri"/>
        </w:rPr>
        <w:t>de</w:t>
      </w:r>
      <w:proofErr w:type="spellEnd"/>
      <w:r w:rsidRPr="007E421F">
        <w:rPr>
          <w:rFonts w:cs="Calibri"/>
        </w:rPr>
        <w:t xml:space="preserve"> facto by to znemožnilo rozdielnu mieru rizika. </w:t>
      </w:r>
      <w:r w:rsidR="005B0450" w:rsidRPr="007E421F">
        <w:rPr>
          <w:rFonts w:cs="Calibri"/>
        </w:rPr>
        <w:t>A preto sme trvali na náhrade slova „minimalizuje“ slovom „zmierňuje“.</w:t>
      </w:r>
    </w:p>
    <w:p w:rsidR="00162747" w:rsidRPr="007E421F" w:rsidRDefault="00161FD0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MFSR</w:t>
      </w:r>
    </w:p>
    <w:p w:rsidR="00C335BE" w:rsidRPr="007E421F" w:rsidRDefault="00C335BE" w:rsidP="00C335BE">
      <w:pPr>
        <w:spacing w:after="0" w:line="240" w:lineRule="auto"/>
        <w:jc w:val="both"/>
      </w:pPr>
      <w:r>
        <w:t>Návrh posúdia.</w:t>
      </w:r>
    </w:p>
    <w:p w:rsidR="00162747" w:rsidRPr="007E421F" w:rsidRDefault="00162747" w:rsidP="007E421F">
      <w:pPr>
        <w:spacing w:after="0" w:line="240" w:lineRule="auto"/>
        <w:jc w:val="both"/>
      </w:pPr>
    </w:p>
    <w:p w:rsidR="008B2FE9" w:rsidRPr="007E421F" w:rsidRDefault="008B2FE9" w:rsidP="007E421F">
      <w:pPr>
        <w:spacing w:after="0" w:line="240" w:lineRule="auto"/>
        <w:jc w:val="both"/>
        <w:rPr>
          <w:u w:val="single"/>
        </w:rPr>
      </w:pPr>
      <w:r w:rsidRPr="007E421F">
        <w:rPr>
          <w:u w:val="single"/>
        </w:rPr>
        <w:t>K pripomienke § 72 ods. 4 písm. a)</w:t>
      </w:r>
    </w:p>
    <w:p w:rsidR="008B2FE9" w:rsidRPr="007E421F" w:rsidRDefault="008B2FE9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SLASPO</w:t>
      </w:r>
    </w:p>
    <w:p w:rsidR="008B2FE9" w:rsidRPr="007E421F" w:rsidRDefault="008B2FE9" w:rsidP="007E421F">
      <w:pPr>
        <w:spacing w:after="0" w:line="240" w:lineRule="auto"/>
        <w:jc w:val="both"/>
        <w:rPr>
          <w:rFonts w:cs="Calibri"/>
        </w:rPr>
      </w:pPr>
      <w:r w:rsidRPr="007E421F">
        <w:rPr>
          <w:rFonts w:cs="Calibri"/>
        </w:rPr>
        <w:t>Pripomienka bola vznesená mimo MPK až na tomto stretnutí, z dôvodu prebratia nesprávnej a nedostatočnej úpravy mlčanlivosti zo súčasného zákona. N</w:t>
      </w:r>
      <w:r w:rsidR="00B920EA" w:rsidRPr="007E421F">
        <w:rPr>
          <w:rFonts w:cs="Calibri"/>
        </w:rPr>
        <w:t>a</w:t>
      </w:r>
      <w:r w:rsidRPr="007E421F">
        <w:rPr>
          <w:rFonts w:cs="Calibri"/>
        </w:rPr>
        <w:t>vrhli sme prevzatie českej právnej úpravy:</w:t>
      </w:r>
    </w:p>
    <w:p w:rsidR="008B2FE9" w:rsidRPr="007E421F" w:rsidRDefault="008B2FE9" w:rsidP="007E421F">
      <w:pPr>
        <w:spacing w:after="0" w:line="240" w:lineRule="auto"/>
        <w:rPr>
          <w:lang w:val="cs-CZ"/>
        </w:rPr>
      </w:pPr>
      <w:r w:rsidRPr="007E421F">
        <w:rPr>
          <w:lang w:val="cs-CZ"/>
        </w:rPr>
        <w:t>„Za účelem prevence a odhalování pojistného podvodu a dalšího protiprávního jednání se pojišťovny vzájemně informují a sdílejí informace o skutečnostech týkajících se pojištění fyzických a právnických osob a jeho zprostředkování,</w:t>
      </w:r>
      <w:r w:rsidRPr="007E421F">
        <w:rPr>
          <w:rFonts w:eastAsia="SimSun"/>
          <w:lang w:val="cs-CZ"/>
        </w:rPr>
        <w:t xml:space="preserve"> včetně informací o zmocněncích účastníků pojištění a dalších osobách </w:t>
      </w:r>
      <w:r w:rsidRPr="007E421F">
        <w:rPr>
          <w:rFonts w:eastAsia="SimSun"/>
          <w:lang w:val="cs-CZ"/>
        </w:rPr>
        <w:lastRenderedPageBreak/>
        <w:t>zúčastněných na škodné nebo pojistné události,</w:t>
      </w:r>
      <w:r w:rsidRPr="007E421F">
        <w:rPr>
          <w:lang w:val="cs-CZ"/>
        </w:rPr>
        <w:t xml:space="preserve"> a to i prostřednictvím právnické osoby, která není pojišťovnou, zajišťovnou ani pojišťovacím zprostředkovatelem.“.</w:t>
      </w:r>
    </w:p>
    <w:p w:rsidR="008B2FE9" w:rsidRPr="007E421F" w:rsidRDefault="008B2FE9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MFSR</w:t>
      </w:r>
    </w:p>
    <w:p w:rsidR="008B2FE9" w:rsidRPr="007E421F" w:rsidRDefault="008B2FE9" w:rsidP="007E421F">
      <w:pPr>
        <w:spacing w:after="0" w:line="240" w:lineRule="auto"/>
        <w:jc w:val="both"/>
      </w:pPr>
      <w:r w:rsidRPr="007E421F">
        <w:t>Zo strany predkladateľa neodzneli vážne výhrady aj vzhľadom k tomu, že námietky PMÚ a ÚOOÚ b</w:t>
      </w:r>
      <w:r w:rsidR="00876B0F">
        <w:t>u</w:t>
      </w:r>
      <w:r w:rsidRPr="007E421F">
        <w:t>dú znamenať výrazne okresanie úpravy § 78 (registre).</w:t>
      </w:r>
    </w:p>
    <w:p w:rsidR="008B2FE9" w:rsidRPr="007E421F" w:rsidRDefault="008B2FE9" w:rsidP="007E421F">
      <w:pPr>
        <w:spacing w:after="0" w:line="240" w:lineRule="auto"/>
        <w:jc w:val="both"/>
      </w:pPr>
    </w:p>
    <w:p w:rsidR="00162747" w:rsidRPr="007E421F" w:rsidRDefault="00C017FA" w:rsidP="007E421F">
      <w:pPr>
        <w:spacing w:after="0" w:line="240" w:lineRule="auto"/>
        <w:jc w:val="both"/>
        <w:rPr>
          <w:u w:val="single"/>
        </w:rPr>
      </w:pPr>
      <w:r w:rsidRPr="007E421F">
        <w:rPr>
          <w:u w:val="single"/>
        </w:rPr>
        <w:t>K</w:t>
      </w:r>
      <w:r w:rsidR="00162747" w:rsidRPr="007E421F">
        <w:rPr>
          <w:u w:val="single"/>
        </w:rPr>
        <w:t xml:space="preserve"> pripomienke </w:t>
      </w:r>
      <w:r w:rsidRPr="007E421F">
        <w:rPr>
          <w:u w:val="single"/>
        </w:rPr>
        <w:t>§ 7</w:t>
      </w:r>
      <w:r w:rsidR="00F863AF" w:rsidRPr="007E421F">
        <w:rPr>
          <w:u w:val="single"/>
        </w:rPr>
        <w:t>3</w:t>
      </w:r>
      <w:r w:rsidRPr="007E421F">
        <w:rPr>
          <w:u w:val="single"/>
        </w:rPr>
        <w:t xml:space="preserve"> ods</w:t>
      </w:r>
      <w:r w:rsidR="00F863AF" w:rsidRPr="007E421F">
        <w:rPr>
          <w:u w:val="single"/>
        </w:rPr>
        <w:t xml:space="preserve">. </w:t>
      </w:r>
      <w:r w:rsidRPr="007E421F">
        <w:rPr>
          <w:u w:val="single"/>
        </w:rPr>
        <w:t>7</w:t>
      </w:r>
    </w:p>
    <w:p w:rsidR="00CC3F66" w:rsidRPr="007E421F" w:rsidRDefault="00CC3F66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SLASPO</w:t>
      </w:r>
    </w:p>
    <w:p w:rsidR="00BF0D4C" w:rsidRPr="007E421F" w:rsidRDefault="00F930D7" w:rsidP="007E421F">
      <w:pPr>
        <w:spacing w:after="0" w:line="240" w:lineRule="auto"/>
        <w:jc w:val="both"/>
      </w:pPr>
      <w:r w:rsidRPr="007E421F">
        <w:rPr>
          <w:rFonts w:cs="Calibri"/>
        </w:rPr>
        <w:t>Argumentovali</w:t>
      </w:r>
      <w:r w:rsidR="00C017FA" w:rsidRPr="007E421F">
        <w:rPr>
          <w:rFonts w:cs="Calibri"/>
        </w:rPr>
        <w:t xml:space="preserve"> sme, že zákon o účtovníctve nepozná pojem „účtovná evidencia“. Vo svojich ustanoveniach pojednáva len v spojitosti s "daňovou evidenciou" a "analytickou evidenciou"</w:t>
      </w:r>
      <w:r w:rsidR="00022F1A" w:rsidRPr="007E421F">
        <w:rPr>
          <w:rFonts w:cs="Calibri"/>
        </w:rPr>
        <w:t xml:space="preserve">. Tiež </w:t>
      </w:r>
      <w:r w:rsidR="00C017FA" w:rsidRPr="007E421F">
        <w:rPr>
          <w:rFonts w:cs="Calibri"/>
        </w:rPr>
        <w:t xml:space="preserve">v § 73 ods. 10 a 12 </w:t>
      </w:r>
      <w:r w:rsidR="00022F1A" w:rsidRPr="007E421F">
        <w:rPr>
          <w:rFonts w:cs="Calibri"/>
        </w:rPr>
        <w:t>používa</w:t>
      </w:r>
      <w:r w:rsidR="00C017FA" w:rsidRPr="007E421F">
        <w:rPr>
          <w:rFonts w:cs="Calibri"/>
        </w:rPr>
        <w:t xml:space="preserve"> poj</w:t>
      </w:r>
      <w:r w:rsidR="00BF0D4C" w:rsidRPr="007E421F">
        <w:rPr>
          <w:rFonts w:cs="Calibri"/>
        </w:rPr>
        <w:t>e</w:t>
      </w:r>
      <w:r w:rsidR="00C017FA" w:rsidRPr="007E421F">
        <w:rPr>
          <w:rFonts w:cs="Calibri"/>
        </w:rPr>
        <w:t xml:space="preserve">m „oddelená analytická evidencia“. </w:t>
      </w:r>
      <w:r w:rsidR="00022F1A" w:rsidRPr="007E421F">
        <w:rPr>
          <w:rFonts w:cs="Calibri"/>
        </w:rPr>
        <w:t>Tiež je potrebné v tejto časti</w:t>
      </w:r>
      <w:r w:rsidR="00C017FA" w:rsidRPr="007E421F">
        <w:rPr>
          <w:rFonts w:cs="Calibri"/>
        </w:rPr>
        <w:t xml:space="preserve"> explicitne hovor</w:t>
      </w:r>
      <w:r w:rsidR="00022F1A" w:rsidRPr="007E421F">
        <w:rPr>
          <w:rFonts w:cs="Calibri"/>
        </w:rPr>
        <w:t>iacej</w:t>
      </w:r>
      <w:r w:rsidR="00C017FA" w:rsidRPr="007E421F">
        <w:rPr>
          <w:rFonts w:cs="Calibri"/>
        </w:rPr>
        <w:t xml:space="preserve"> o účtovnej evidencii rozšíriť termín technické rezervy o prívlastok účtovné.</w:t>
      </w:r>
    </w:p>
    <w:p w:rsidR="00CC3F66" w:rsidRPr="007E421F" w:rsidRDefault="00CC3F66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MFSR</w:t>
      </w:r>
    </w:p>
    <w:p w:rsidR="00CC3F66" w:rsidRPr="007E421F" w:rsidRDefault="00022F1A" w:rsidP="007E421F">
      <w:pPr>
        <w:spacing w:after="0" w:line="240" w:lineRule="auto"/>
        <w:jc w:val="both"/>
      </w:pPr>
      <w:r w:rsidRPr="007E421F">
        <w:t>Pripomienka bude po overení s NBS akceptovaná</w:t>
      </w:r>
      <w:r w:rsidR="00484CBA" w:rsidRPr="007E421F">
        <w:t>.</w:t>
      </w:r>
    </w:p>
    <w:p w:rsidR="00CC3F66" w:rsidRPr="007E421F" w:rsidRDefault="00CC3F66" w:rsidP="007E421F">
      <w:pPr>
        <w:spacing w:after="0" w:line="240" w:lineRule="auto"/>
        <w:jc w:val="both"/>
      </w:pPr>
    </w:p>
    <w:p w:rsidR="00484CBA" w:rsidRPr="007E421F" w:rsidRDefault="00484CBA" w:rsidP="007E421F">
      <w:pPr>
        <w:spacing w:after="0" w:line="240" w:lineRule="auto"/>
        <w:jc w:val="both"/>
        <w:rPr>
          <w:u w:val="single"/>
        </w:rPr>
      </w:pPr>
      <w:r w:rsidRPr="007E421F">
        <w:rPr>
          <w:u w:val="single"/>
        </w:rPr>
        <w:t xml:space="preserve">K pripomienke § </w:t>
      </w:r>
      <w:r w:rsidR="00270BE7" w:rsidRPr="007E421F">
        <w:rPr>
          <w:u w:val="single"/>
        </w:rPr>
        <w:t>78</w:t>
      </w:r>
    </w:p>
    <w:p w:rsidR="00484CBA" w:rsidRPr="007E421F" w:rsidRDefault="00484CBA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SLASPO</w:t>
      </w:r>
    </w:p>
    <w:p w:rsidR="00484CBA" w:rsidRPr="007E421F" w:rsidRDefault="00270BE7" w:rsidP="007E421F">
      <w:pPr>
        <w:spacing w:after="0" w:line="240" w:lineRule="auto"/>
        <w:jc w:val="both"/>
      </w:pPr>
      <w:r w:rsidRPr="007E421F">
        <w:rPr>
          <w:rFonts w:cs="Calibri"/>
        </w:rPr>
        <w:t xml:space="preserve">Tému sme otvorili, keďže v rámci zaslaného vyhodnotenia chýbalo označenie ako sa s pripomienkami </w:t>
      </w:r>
      <w:proofErr w:type="spellStart"/>
      <w:r w:rsidRPr="007E421F">
        <w:rPr>
          <w:rFonts w:cs="Calibri"/>
        </w:rPr>
        <w:t>vysporiadalo</w:t>
      </w:r>
      <w:proofErr w:type="spellEnd"/>
      <w:r w:rsidRPr="007E421F">
        <w:rPr>
          <w:rFonts w:cs="Calibri"/>
        </w:rPr>
        <w:t xml:space="preserve"> MF SR. </w:t>
      </w:r>
      <w:r w:rsidR="004A0CDE" w:rsidRPr="007E421F">
        <w:rPr>
          <w:rFonts w:cs="Calibri"/>
        </w:rPr>
        <w:t>Počas rokovania ešte nebolo vypracované nov</w:t>
      </w:r>
      <w:r w:rsidR="00F6768E" w:rsidRPr="007E421F">
        <w:rPr>
          <w:rFonts w:cs="Calibri"/>
        </w:rPr>
        <w:t>é znenie</w:t>
      </w:r>
      <w:r w:rsidR="004A0CDE" w:rsidRPr="007E421F">
        <w:rPr>
          <w:rFonts w:cs="Calibri"/>
        </w:rPr>
        <w:t>.</w:t>
      </w:r>
      <w:r w:rsidR="00F6768E" w:rsidRPr="007E421F">
        <w:rPr>
          <w:rFonts w:cs="Calibri"/>
        </w:rPr>
        <w:t xml:space="preserve"> </w:t>
      </w:r>
    </w:p>
    <w:p w:rsidR="00484CBA" w:rsidRPr="007E421F" w:rsidRDefault="00484CBA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MFSR</w:t>
      </w:r>
    </w:p>
    <w:p w:rsidR="00484CBA" w:rsidRPr="007E421F" w:rsidRDefault="00270BE7" w:rsidP="007E421F">
      <w:pPr>
        <w:spacing w:after="0" w:line="240" w:lineRule="auto"/>
        <w:jc w:val="both"/>
      </w:pPr>
      <w:r w:rsidRPr="007E421F">
        <w:t>Vzhľadom</w:t>
      </w:r>
      <w:r w:rsidR="004A0CDE" w:rsidRPr="007E421F">
        <w:t xml:space="preserve"> na zásadné pripomienky PMÚ, ÚOOÚ a MS SR dôjde k značnému okresaniu ustanovenia.</w:t>
      </w:r>
      <w:r w:rsidR="00F6768E" w:rsidRPr="007E421F">
        <w:t xml:space="preserve"> Dôjde však k úprave ods. 6, ktorý by v navrhnutom znení znamenal zánik </w:t>
      </w:r>
      <w:proofErr w:type="spellStart"/>
      <w:r w:rsidR="00F6768E" w:rsidRPr="007E421F">
        <w:t>online</w:t>
      </w:r>
      <w:proofErr w:type="spellEnd"/>
      <w:r w:rsidR="00F6768E" w:rsidRPr="007E421F">
        <w:t xml:space="preserve"> poistenia, čo nebolo zámerom MF SR. </w:t>
      </w:r>
      <w:r w:rsidR="004A0CDE" w:rsidRPr="007E421F">
        <w:t xml:space="preserve"> Pokúsili sme sa to vykompenzovať  návrhom k §72. </w:t>
      </w:r>
    </w:p>
    <w:p w:rsidR="004A0CDE" w:rsidRPr="007E421F" w:rsidRDefault="004A0CDE" w:rsidP="007E421F">
      <w:pPr>
        <w:spacing w:after="0" w:line="240" w:lineRule="auto"/>
        <w:jc w:val="both"/>
      </w:pPr>
    </w:p>
    <w:p w:rsidR="004F5F76" w:rsidRPr="007E421F" w:rsidRDefault="004F5F76" w:rsidP="007E421F">
      <w:pPr>
        <w:spacing w:after="0" w:line="240" w:lineRule="auto"/>
        <w:jc w:val="both"/>
        <w:rPr>
          <w:u w:val="single"/>
        </w:rPr>
      </w:pPr>
      <w:r w:rsidRPr="007E421F">
        <w:rPr>
          <w:u w:val="single"/>
        </w:rPr>
        <w:t>K pripomienke § 79 ods. 10 a 12</w:t>
      </w:r>
    </w:p>
    <w:p w:rsidR="004F5F76" w:rsidRPr="007E421F" w:rsidRDefault="004F5F76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SLASPO</w:t>
      </w:r>
    </w:p>
    <w:p w:rsidR="004F5F76" w:rsidRPr="007E421F" w:rsidRDefault="004F5F76" w:rsidP="007E421F">
      <w:pPr>
        <w:spacing w:after="0" w:line="240" w:lineRule="auto"/>
        <w:jc w:val="both"/>
      </w:pPr>
      <w:r w:rsidRPr="007E421F">
        <w:rPr>
          <w:rFonts w:cs="Calibri"/>
        </w:rPr>
        <w:t>Doplnenie slova „primeranosť“ k lehotám, ktoré určuje NBS poisťovniam na predkladanie dokladov a informácii. Argumentovalo sa zabránením šikanózneho výkonu tohto ustanovenia zo strany NBS určením neprimeranej lehoty na splnenie tejto povinnosti poisťovňu.</w:t>
      </w:r>
    </w:p>
    <w:p w:rsidR="004F5F76" w:rsidRPr="007E421F" w:rsidRDefault="004F5F76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MFSR</w:t>
      </w:r>
    </w:p>
    <w:p w:rsidR="004F5F76" w:rsidRPr="007E421F" w:rsidRDefault="004F5F76" w:rsidP="007E421F">
      <w:pPr>
        <w:spacing w:after="0" w:line="240" w:lineRule="auto"/>
        <w:jc w:val="both"/>
      </w:pPr>
      <w:r w:rsidRPr="007E421F">
        <w:t>Pripomienka akceptovaná</w:t>
      </w:r>
      <w:r w:rsidR="00270BE7" w:rsidRPr="007E421F">
        <w:t xml:space="preserve"> aj keď MF SR doplnenie nepovažovalo za úpravu, ktorá by riešila prípadný problém nastavenia dostatočnej lehoty NBS</w:t>
      </w:r>
      <w:r w:rsidR="004263BA" w:rsidRPr="007E421F">
        <w:t xml:space="preserve"> v praxi</w:t>
      </w:r>
      <w:r w:rsidR="00270BE7" w:rsidRPr="007E421F">
        <w:t xml:space="preserve">. </w:t>
      </w:r>
    </w:p>
    <w:p w:rsidR="00484CBA" w:rsidRPr="007E421F" w:rsidRDefault="00484CBA" w:rsidP="007E421F">
      <w:pPr>
        <w:spacing w:after="0" w:line="240" w:lineRule="auto"/>
        <w:jc w:val="both"/>
      </w:pPr>
    </w:p>
    <w:p w:rsidR="007E421F" w:rsidRPr="007E421F" w:rsidRDefault="007E421F" w:rsidP="007E421F">
      <w:pPr>
        <w:spacing w:after="0" w:line="240" w:lineRule="auto"/>
        <w:jc w:val="both"/>
        <w:rPr>
          <w:u w:val="single"/>
        </w:rPr>
      </w:pPr>
      <w:r w:rsidRPr="007E421F">
        <w:rPr>
          <w:u w:val="single"/>
        </w:rPr>
        <w:t>K pripomienke § 163 ods. 8 a 9</w:t>
      </w:r>
    </w:p>
    <w:p w:rsidR="007E421F" w:rsidRPr="007E421F" w:rsidRDefault="007E421F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SLASPO</w:t>
      </w:r>
    </w:p>
    <w:p w:rsidR="007E421F" w:rsidRPr="007E421F" w:rsidRDefault="007E421F" w:rsidP="007E421F">
      <w:pPr>
        <w:spacing w:after="0" w:line="240" w:lineRule="auto"/>
        <w:jc w:val="both"/>
        <w:rPr>
          <w:rFonts w:cs="Arial"/>
        </w:rPr>
      </w:pPr>
      <w:r w:rsidRPr="007E421F">
        <w:rPr>
          <w:rFonts w:cs="Arial"/>
        </w:rPr>
        <w:t xml:space="preserve">Ak by poisťovne postupovali striktne podľa návrhu </w:t>
      </w:r>
      <w:proofErr w:type="spellStart"/>
      <w:r w:rsidRPr="007E421F">
        <w:rPr>
          <w:rFonts w:cs="Arial"/>
        </w:rPr>
        <w:t>ZoP</w:t>
      </w:r>
      <w:proofErr w:type="spellEnd"/>
      <w:r w:rsidRPr="007E421F">
        <w:rPr>
          <w:rFonts w:cs="Arial"/>
        </w:rPr>
        <w:t xml:space="preserve">, potom podľa § 163 ods. 8 poisťovňa, ktorá má prijaté akcie na obchodovanie na regulovanom trhu, nemusí dať príkaz na PPN (keďže jej to neumožňuje osobitný zákon). § 163 ods. 9 ukladá poisťovni povinnosť predložiť NBS výpis z registra emitentov a zoznamu akcionárov vyhotovený v deň keď bol podaný príkaz na PPN – to by teda znamenalo, že poisťovňa, ktorá má prijaté akcie na obchodovanie na regulovanom trhu, nie je povinná predložiť NBS výpis z registra emitentov a zoznamu akcionárov, keďže takýto deň nikdy nenastane. </w:t>
      </w:r>
      <w:r>
        <w:rPr>
          <w:rFonts w:cs="Arial"/>
        </w:rPr>
        <w:t>P</w:t>
      </w:r>
      <w:r w:rsidRPr="007E421F">
        <w:rPr>
          <w:rFonts w:cs="Arial"/>
        </w:rPr>
        <w:t xml:space="preserve">odľa § 28 ods. 3 písm. f) zákona č. 566/2001 </w:t>
      </w:r>
      <w:proofErr w:type="spellStart"/>
      <w:r w:rsidRPr="007E421F">
        <w:rPr>
          <w:rFonts w:cs="Arial"/>
        </w:rPr>
        <w:t>Z.z</w:t>
      </w:r>
      <w:proofErr w:type="spellEnd"/>
      <w:r w:rsidRPr="007E421F">
        <w:rPr>
          <w:rFonts w:cs="Arial"/>
        </w:rPr>
        <w:t>. o cenných papieroch emitent akcií, ktoré boli prijaté na obchodovanie na regulovanom trhu, nie je oprávnený podať príkaz na registráciu pozastavenia práva nakladať. Takéto poisťovne a zaisťovne preto nie sú schopné splniť povinnosť podľa § 163 ods. 8. Zároveň, podľa § 180 ods. 2 Obchodného zákonníka rozhodujúcim dňom na uplatnenie práv pri akciách verejnej akciovej spoločnosti je tretí deň predchádzajúci dňu konania valného zhromaždenia.</w:t>
      </w:r>
    </w:p>
    <w:p w:rsidR="007E421F" w:rsidRPr="007E421F" w:rsidRDefault="007E421F" w:rsidP="007E421F">
      <w:pPr>
        <w:spacing w:after="0" w:line="240" w:lineRule="auto"/>
        <w:jc w:val="both"/>
        <w:rPr>
          <w:rFonts w:cs="Arial"/>
          <w:i/>
          <w:lang w:eastAsia="sk-SK" w:bidi="si-LK"/>
        </w:rPr>
      </w:pPr>
      <w:r w:rsidRPr="007E421F">
        <w:rPr>
          <w:rFonts w:cs="Calibri"/>
        </w:rPr>
        <w:t>Doplnili sme naš</w:t>
      </w:r>
      <w:r>
        <w:rPr>
          <w:rFonts w:cs="Calibri"/>
        </w:rPr>
        <w:t>u pripomienku návrhom na úpravu:</w:t>
      </w:r>
    </w:p>
    <w:p w:rsidR="007E421F" w:rsidRPr="007E421F" w:rsidRDefault="007E421F" w:rsidP="007E421F">
      <w:pPr>
        <w:spacing w:after="0" w:line="240" w:lineRule="auto"/>
        <w:ind w:left="360"/>
        <w:jc w:val="both"/>
        <w:rPr>
          <w:rFonts w:cs="Arial"/>
          <w:i/>
          <w:lang w:eastAsia="sk-SK" w:bidi="si-LK"/>
        </w:rPr>
      </w:pPr>
      <w:r w:rsidRPr="007E421F">
        <w:rPr>
          <w:rFonts w:cs="Arial"/>
          <w:i/>
          <w:lang w:eastAsia="sk-SK" w:bidi="si-LK"/>
        </w:rPr>
        <w:lastRenderedPageBreak/>
        <w:t>„(8) Poisťovňa alebo zaisťovňa je povinná aspoň päť dní predo dňom konania valného zhromaždenia dať v súlade s osobitným predpisom</w:t>
      </w:r>
      <w:r w:rsidRPr="007E421F">
        <w:rPr>
          <w:rStyle w:val="Odkaznapoznmkupodiarou"/>
          <w:rFonts w:asciiTheme="minorHAnsi" w:hAnsiTheme="minorHAnsi" w:cs="Arial"/>
          <w:i/>
          <w:lang w:bidi="si-LK"/>
        </w:rPr>
        <w:footnoteReference w:id="1"/>
      </w:r>
      <w:r w:rsidRPr="007E421F">
        <w:rPr>
          <w:rFonts w:cs="Arial"/>
          <w:i/>
          <w:vertAlign w:val="superscript"/>
          <w:lang w:eastAsia="sk-SK" w:bidi="si-LK"/>
        </w:rPr>
        <w:t xml:space="preserve">) </w:t>
      </w:r>
      <w:r w:rsidRPr="007E421F">
        <w:rPr>
          <w:rFonts w:cs="Arial"/>
          <w:i/>
          <w:lang w:eastAsia="sk-SK" w:bidi="si-LK"/>
        </w:rPr>
        <w:t>príkaz na registráciu pozastavenia výkonu práva majiteľa nakladať so zaknihovaným cenným papierom (ďalej len „pozastavenie práva nakladať“) pre všetky zaknihované akcie, ktoré vydala; to neplatí:</w:t>
      </w:r>
    </w:p>
    <w:p w:rsidR="007E421F" w:rsidRPr="007E421F" w:rsidRDefault="007E421F" w:rsidP="007E421F">
      <w:pPr>
        <w:spacing w:after="0" w:line="240" w:lineRule="auto"/>
        <w:ind w:left="709" w:hanging="283"/>
        <w:jc w:val="both"/>
        <w:rPr>
          <w:rFonts w:cs="Arial"/>
          <w:i/>
          <w:lang w:eastAsia="sk-SK" w:bidi="si-LK"/>
        </w:rPr>
      </w:pPr>
      <w:r w:rsidRPr="007E421F">
        <w:rPr>
          <w:rFonts w:cs="Arial"/>
          <w:i/>
          <w:lang w:eastAsia="sk-SK" w:bidi="si-LK"/>
        </w:rPr>
        <w:t>a) ak má poisťovňa alebo zaisťovňa v čase piatich pracovných dní predo dňom konania valného zhromaždenia len jedného akcionára a poisťovni alebo zaisťovni nie je známa žiadna skutočnosť, ktorá by svedčila o možnosti zmeny podielov na jej základnom imaní do 30 dní odo dňa konania valného zhromaždenia,</w:t>
      </w:r>
    </w:p>
    <w:p w:rsidR="007E421F" w:rsidRPr="007E421F" w:rsidRDefault="007E421F" w:rsidP="007E421F">
      <w:pPr>
        <w:spacing w:after="0" w:line="240" w:lineRule="auto"/>
        <w:ind w:left="709" w:hanging="283"/>
        <w:jc w:val="both"/>
        <w:rPr>
          <w:rFonts w:cs="Arial"/>
          <w:i/>
          <w:u w:val="single"/>
          <w:lang w:eastAsia="sk-SK" w:bidi="si-LK"/>
        </w:rPr>
      </w:pPr>
      <w:r w:rsidRPr="007E421F">
        <w:rPr>
          <w:rFonts w:cs="Arial"/>
          <w:i/>
          <w:u w:val="single"/>
          <w:lang w:eastAsia="sk-SK" w:bidi="si-LK"/>
        </w:rPr>
        <w:t xml:space="preserve">b) vo vzťahu k akciám poisťovne alebo zaisťovne, ktoré boli prijaté na obchodovanie na regulovanom trhu. </w:t>
      </w:r>
    </w:p>
    <w:p w:rsidR="007E421F" w:rsidRPr="007E421F" w:rsidRDefault="007E421F" w:rsidP="007E421F">
      <w:pPr>
        <w:spacing w:after="0" w:line="240" w:lineRule="auto"/>
        <w:ind w:left="426"/>
        <w:jc w:val="both"/>
        <w:rPr>
          <w:rFonts w:cs="Arial"/>
          <w:i/>
          <w:lang w:eastAsia="sk-SK" w:bidi="si-LK"/>
        </w:rPr>
      </w:pPr>
      <w:r w:rsidRPr="007E421F">
        <w:rPr>
          <w:rFonts w:cs="Arial"/>
          <w:i/>
          <w:lang w:eastAsia="sk-SK" w:bidi="si-LK"/>
        </w:rPr>
        <w:t>Poisťovňa alebo zaisťovňa je povinná podať príkaz na zruše</w:t>
      </w:r>
      <w:r>
        <w:rPr>
          <w:rFonts w:cs="Arial"/>
          <w:i/>
          <w:lang w:eastAsia="sk-SK" w:bidi="si-LK"/>
        </w:rPr>
        <w:t xml:space="preserve">nie pozastavenia práva nakladať </w:t>
      </w:r>
      <w:r w:rsidRPr="007E421F">
        <w:rPr>
          <w:rFonts w:cs="Arial"/>
          <w:i/>
          <w:lang w:eastAsia="sk-SK" w:bidi="si-LK"/>
        </w:rPr>
        <w:t>nasledujúci pracovný deň po dni konania valného zhromaždenia.</w:t>
      </w:r>
    </w:p>
    <w:p w:rsidR="007E421F" w:rsidRPr="007E421F" w:rsidRDefault="007E421F" w:rsidP="007E421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  <w:bookmarkStart w:id="0" w:name="f_5562433"/>
      <w:bookmarkEnd w:id="0"/>
      <w:r w:rsidRPr="007E421F">
        <w:rPr>
          <w:rFonts w:cs="Arial"/>
          <w:i/>
          <w:lang w:eastAsia="sk-SK" w:bidi="si-LK"/>
        </w:rPr>
        <w:t xml:space="preserve">(9) Poisťovňa alebo zaisťovňa je povinná predložiť Národnej banke Slovenska výpis z jej registra emitenta a z jej zoznamu akcionárov vyhotovený v deň, keď bol vykonaný príkaz poisťovne alebo zaisťovne na registráciu pozastavenia práva nakladať pre všetky zaknihované akcie, ktoré poisťovňa alebo zaisťovňa vydala; </w:t>
      </w:r>
      <w:r w:rsidRPr="007E421F">
        <w:rPr>
          <w:rFonts w:cs="Arial"/>
          <w:i/>
          <w:u w:val="single"/>
          <w:lang w:eastAsia="sk-SK" w:bidi="si-LK"/>
        </w:rPr>
        <w:t>ak poisťovňa alebo zaisťovňa nemá povinnosť dať príkaz na registráciu pozastavenia práva nakladať, predloží sa výpis z jej registra emitenta a z jej zoznamu akcionárov nie starší ako päť dní a vo vzťahu k akciám, ktoré boli prijaté na obchodovanie na regulovanom trhu nie starší ako tri dni</w:t>
      </w:r>
      <w:r w:rsidRPr="007E421F">
        <w:rPr>
          <w:rFonts w:cs="Arial"/>
          <w:i/>
          <w:lang w:eastAsia="sk-SK" w:bidi="si-LK"/>
        </w:rPr>
        <w:t xml:space="preserve">. Výpis sa nesmie vyhotoviť skôr, ako sa táto registrácia vykonala. Tento výpis je poisťovňa alebo zaisťovňa povinná doručiť Národnej banke Slovenska v deň jeho vyhotovenia.“ </w:t>
      </w:r>
      <w:bookmarkStart w:id="1" w:name="f_5562434"/>
      <w:bookmarkStart w:id="2" w:name="f_5562435"/>
      <w:bookmarkStart w:id="3" w:name="f_5562436"/>
      <w:bookmarkStart w:id="4" w:name="f_5562437"/>
      <w:bookmarkStart w:id="5" w:name="f_5562438"/>
      <w:bookmarkStart w:id="6" w:name="f_5562439"/>
      <w:bookmarkEnd w:id="1"/>
      <w:bookmarkEnd w:id="2"/>
      <w:bookmarkEnd w:id="3"/>
      <w:bookmarkEnd w:id="4"/>
      <w:bookmarkEnd w:id="5"/>
      <w:bookmarkEnd w:id="6"/>
    </w:p>
    <w:p w:rsidR="007E421F" w:rsidRPr="007E421F" w:rsidRDefault="007E421F" w:rsidP="007E421F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7E421F">
        <w:t>MFSR</w:t>
      </w:r>
    </w:p>
    <w:p w:rsidR="007E421F" w:rsidRPr="007E421F" w:rsidRDefault="007E421F" w:rsidP="007E421F">
      <w:pPr>
        <w:spacing w:after="0" w:line="240" w:lineRule="auto"/>
        <w:jc w:val="both"/>
      </w:pPr>
      <w:r>
        <w:t>Akceptované.</w:t>
      </w:r>
    </w:p>
    <w:p w:rsidR="00484CBA" w:rsidRPr="007E421F" w:rsidRDefault="00484CBA" w:rsidP="007E421F">
      <w:pPr>
        <w:spacing w:after="0" w:line="240" w:lineRule="auto"/>
        <w:jc w:val="both"/>
      </w:pPr>
    </w:p>
    <w:p w:rsidR="00BF0D4C" w:rsidRDefault="00BF0D4C" w:rsidP="007E421F">
      <w:pPr>
        <w:spacing w:after="0" w:line="240" w:lineRule="auto"/>
        <w:jc w:val="both"/>
      </w:pPr>
    </w:p>
    <w:p w:rsidR="003A4FE6" w:rsidRPr="007E421F" w:rsidRDefault="003A4FE6" w:rsidP="007E421F">
      <w:pPr>
        <w:spacing w:after="0" w:line="240" w:lineRule="auto"/>
        <w:jc w:val="both"/>
      </w:pPr>
    </w:p>
    <w:p w:rsidR="00CC3F66" w:rsidRPr="007E421F" w:rsidRDefault="00CC3F66" w:rsidP="007E421F">
      <w:pPr>
        <w:spacing w:after="0" w:line="240" w:lineRule="auto"/>
        <w:jc w:val="both"/>
      </w:pPr>
      <w:r w:rsidRPr="007E421F">
        <w:t xml:space="preserve">Zapísala: </w:t>
      </w:r>
      <w:r w:rsidR="00022F1A" w:rsidRPr="007E421F">
        <w:t>Lehotská</w:t>
      </w:r>
    </w:p>
    <w:sectPr w:rsidR="00CC3F66" w:rsidRPr="007E421F" w:rsidSect="0035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4C2" w:rsidRDefault="006B24C2" w:rsidP="007E421F">
      <w:pPr>
        <w:spacing w:after="0" w:line="240" w:lineRule="auto"/>
      </w:pPr>
      <w:r>
        <w:separator/>
      </w:r>
    </w:p>
  </w:endnote>
  <w:endnote w:type="continuationSeparator" w:id="0">
    <w:p w:rsidR="006B24C2" w:rsidRDefault="006B24C2" w:rsidP="007E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4C2" w:rsidRDefault="006B24C2" w:rsidP="007E421F">
      <w:pPr>
        <w:spacing w:after="0" w:line="240" w:lineRule="auto"/>
      </w:pPr>
      <w:r>
        <w:separator/>
      </w:r>
    </w:p>
  </w:footnote>
  <w:footnote w:type="continuationSeparator" w:id="0">
    <w:p w:rsidR="006B24C2" w:rsidRDefault="006B24C2" w:rsidP="007E421F">
      <w:pPr>
        <w:spacing w:after="0" w:line="240" w:lineRule="auto"/>
      </w:pPr>
      <w:r>
        <w:continuationSeparator/>
      </w:r>
    </w:p>
  </w:footnote>
  <w:footnote w:id="1">
    <w:p w:rsidR="007E421F" w:rsidRDefault="007E421F" w:rsidP="007E421F">
      <w:pPr>
        <w:pStyle w:val="Textpoznmkypodi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C331D"/>
    <w:multiLevelType w:val="hybridMultilevel"/>
    <w:tmpl w:val="D47AF6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FB1"/>
    <w:rsid w:val="00022F1A"/>
    <w:rsid w:val="00075E4E"/>
    <w:rsid w:val="000E40DE"/>
    <w:rsid w:val="000F1634"/>
    <w:rsid w:val="00156188"/>
    <w:rsid w:val="00161FD0"/>
    <w:rsid w:val="00162747"/>
    <w:rsid w:val="00163BEF"/>
    <w:rsid w:val="001A257E"/>
    <w:rsid w:val="001A3C18"/>
    <w:rsid w:val="001B787D"/>
    <w:rsid w:val="001D041C"/>
    <w:rsid w:val="001D5F53"/>
    <w:rsid w:val="001F1FCF"/>
    <w:rsid w:val="0022138E"/>
    <w:rsid w:val="00225A86"/>
    <w:rsid w:val="00230B40"/>
    <w:rsid w:val="002406CC"/>
    <w:rsid w:val="00270BE7"/>
    <w:rsid w:val="002767F2"/>
    <w:rsid w:val="00292129"/>
    <w:rsid w:val="002A786B"/>
    <w:rsid w:val="0035333F"/>
    <w:rsid w:val="0037106C"/>
    <w:rsid w:val="00386D18"/>
    <w:rsid w:val="003A4FE6"/>
    <w:rsid w:val="003C3595"/>
    <w:rsid w:val="003D6DC5"/>
    <w:rsid w:val="004263BA"/>
    <w:rsid w:val="004716B2"/>
    <w:rsid w:val="00484CBA"/>
    <w:rsid w:val="004A0CDE"/>
    <w:rsid w:val="004F3FED"/>
    <w:rsid w:val="004F5F76"/>
    <w:rsid w:val="00503DEC"/>
    <w:rsid w:val="00513233"/>
    <w:rsid w:val="00531516"/>
    <w:rsid w:val="00541486"/>
    <w:rsid w:val="005A02C3"/>
    <w:rsid w:val="005B0450"/>
    <w:rsid w:val="005B15B1"/>
    <w:rsid w:val="005C66D7"/>
    <w:rsid w:val="00627317"/>
    <w:rsid w:val="00667D6A"/>
    <w:rsid w:val="0068463E"/>
    <w:rsid w:val="00694A41"/>
    <w:rsid w:val="006B24C2"/>
    <w:rsid w:val="006E5D3A"/>
    <w:rsid w:val="007002F5"/>
    <w:rsid w:val="0078520F"/>
    <w:rsid w:val="00796FB1"/>
    <w:rsid w:val="007B6969"/>
    <w:rsid w:val="007E421F"/>
    <w:rsid w:val="00826B59"/>
    <w:rsid w:val="00830648"/>
    <w:rsid w:val="00841D67"/>
    <w:rsid w:val="00876B0F"/>
    <w:rsid w:val="008B26D8"/>
    <w:rsid w:val="008B2FE9"/>
    <w:rsid w:val="008C52F6"/>
    <w:rsid w:val="008F6592"/>
    <w:rsid w:val="00921166"/>
    <w:rsid w:val="009B44B6"/>
    <w:rsid w:val="00A22B84"/>
    <w:rsid w:val="00A27FDB"/>
    <w:rsid w:val="00A30355"/>
    <w:rsid w:val="00A47AB6"/>
    <w:rsid w:val="00A7573F"/>
    <w:rsid w:val="00A833C9"/>
    <w:rsid w:val="00A91E0F"/>
    <w:rsid w:val="00A942DD"/>
    <w:rsid w:val="00AC7A71"/>
    <w:rsid w:val="00AE3E37"/>
    <w:rsid w:val="00B2116C"/>
    <w:rsid w:val="00B56E7A"/>
    <w:rsid w:val="00B920EA"/>
    <w:rsid w:val="00B921CC"/>
    <w:rsid w:val="00BB07EA"/>
    <w:rsid w:val="00BE2A75"/>
    <w:rsid w:val="00BF0D4C"/>
    <w:rsid w:val="00C017FA"/>
    <w:rsid w:val="00C21BD2"/>
    <w:rsid w:val="00C335BE"/>
    <w:rsid w:val="00C63FBC"/>
    <w:rsid w:val="00C72AF8"/>
    <w:rsid w:val="00CC0AA4"/>
    <w:rsid w:val="00CC3F66"/>
    <w:rsid w:val="00CE637C"/>
    <w:rsid w:val="00D64E98"/>
    <w:rsid w:val="00D70E04"/>
    <w:rsid w:val="00DF73AF"/>
    <w:rsid w:val="00E20F92"/>
    <w:rsid w:val="00ED7F81"/>
    <w:rsid w:val="00F6768E"/>
    <w:rsid w:val="00F863AF"/>
    <w:rsid w:val="00F930D7"/>
    <w:rsid w:val="00FC6CDA"/>
    <w:rsid w:val="00FC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33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7FDB"/>
    <w:pPr>
      <w:ind w:left="720"/>
      <w:contextualSpacing/>
    </w:pPr>
  </w:style>
  <w:style w:type="paragraph" w:customStyle="1" w:styleId="normlnywebov8">
    <w:name w:val="normlnywebov8"/>
    <w:basedOn w:val="Normlny"/>
    <w:rsid w:val="00A47A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A833C9"/>
    <w:rPr>
      <w:rFonts w:ascii="Times New Roman" w:hAnsi="Times New Roman" w:cs="Times New Roman"/>
      <w:color w:val="808080"/>
    </w:rPr>
  </w:style>
  <w:style w:type="paragraph" w:customStyle="1" w:styleId="Normlnywebov80">
    <w:name w:val="Normálny (webový)8"/>
    <w:basedOn w:val="Normlny"/>
    <w:rsid w:val="00292129"/>
    <w:pPr>
      <w:spacing w:before="75" w:after="75" w:line="240" w:lineRule="auto"/>
      <w:ind w:left="225" w:right="225"/>
    </w:pPr>
    <w:rPr>
      <w:rFonts w:ascii="Times New Roman" w:eastAsia="Times New Roman" w:hAnsi="Times New Roman" w:cs="Times New Roman"/>
      <w:lang w:eastAsia="sk-SK"/>
    </w:rPr>
  </w:style>
  <w:style w:type="character" w:customStyle="1" w:styleId="TextpoznmkypodiarouChar">
    <w:name w:val="Text poznámky pod čiarou Char"/>
    <w:aliases w:val="Schriftart: 9 pt Char,Schriftart: 10 pt Char,Schriftart: 8 pt Char,WB-Fußnotentext Char,Reference Char,Fußnote Char,fn Char,Footnote Text Char2 Char,Footnote Text Char Char1 Char,Footnote Text Char1 Char Char Char,Ch Char"/>
    <w:basedOn w:val="Predvolenpsmoodseku"/>
    <w:link w:val="Textpoznmkypodiarou"/>
    <w:uiPriority w:val="99"/>
    <w:semiHidden/>
    <w:locked/>
    <w:rsid w:val="007E421F"/>
    <w:rPr>
      <w:rFonts w:ascii="Calibri" w:eastAsia="Times New Roman" w:hAnsi="Calibri" w:cs="Times New Roman"/>
      <w:sz w:val="20"/>
      <w:szCs w:val="20"/>
      <w:lang w:eastAsia="sk-SK"/>
    </w:rPr>
  </w:style>
  <w:style w:type="paragraph" w:styleId="Textpoznmkypodiarou">
    <w:name w:val="footnote text"/>
    <w:aliases w:val="Schriftart: 9 pt,Schriftart: 10 pt,Schriftart: 8 pt,WB-Fußnotentext,Reference,Fußnote,fn,Footnote Text Char2,Footnote Text Char Char1,Footnote Text Char1 Char Char,Footnote Text Char Char Char Char,Char Char Char Char Char,Ch"/>
    <w:basedOn w:val="Normlny"/>
    <w:link w:val="TextpoznmkypodiarouChar"/>
    <w:uiPriority w:val="99"/>
    <w:semiHidden/>
    <w:unhideWhenUsed/>
    <w:rsid w:val="007E42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7E421F"/>
    <w:rPr>
      <w:sz w:val="20"/>
      <w:szCs w:val="20"/>
    </w:rPr>
  </w:style>
  <w:style w:type="character" w:styleId="Odkaznapoznmkupodiarou">
    <w:name w:val="footnote reference"/>
    <w:aliases w:val="16 Point,Superscript 6 Point,Footnote Reference Number,Footnote Reference_LVL6,Footnote Reference_LVL61,Footnote Reference_LVL62,Footnote Reference_LVL63,Footnote Reference_LVL64,Footnote call,BVI fnr,SUPERS"/>
    <w:basedOn w:val="Predvolenpsmoodseku"/>
    <w:uiPriority w:val="99"/>
    <w:semiHidden/>
    <w:unhideWhenUsed/>
    <w:rsid w:val="007E421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3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57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1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61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19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15" w:color="919B9C"/>
                                                        <w:left w:val="single" w:sz="6" w:space="8" w:color="919B9C"/>
                                                        <w:bottom w:val="single" w:sz="6" w:space="8" w:color="919B9C"/>
                                                        <w:right w:val="single" w:sz="6" w:space="8" w:color="919B9C"/>
                                                      </w:divBdr>
                                                      <w:divsChild>
                                                        <w:div w:id="3925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80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7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92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0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7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50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0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15" w:color="919B9C"/>
                                                        <w:left w:val="single" w:sz="6" w:space="8" w:color="919B9C"/>
                                                        <w:bottom w:val="single" w:sz="6" w:space="8" w:color="919B9C"/>
                                                        <w:right w:val="single" w:sz="6" w:space="8" w:color="919B9C"/>
                                                      </w:divBdr>
                                                      <w:divsChild>
                                                        <w:div w:id="126576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zakova</dc:creator>
  <cp:lastModifiedBy>lehotska</cp:lastModifiedBy>
  <cp:revision>4</cp:revision>
  <dcterms:created xsi:type="dcterms:W3CDTF">2014-10-16T11:14:00Z</dcterms:created>
  <dcterms:modified xsi:type="dcterms:W3CDTF">2014-10-21T10:26:00Z</dcterms:modified>
</cp:coreProperties>
</file>