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29" w:rsidRPr="00332324" w:rsidRDefault="00350829" w:rsidP="00A615A6">
      <w:pPr>
        <w:pStyle w:val="Nzov"/>
        <w:tabs>
          <w:tab w:val="left" w:pos="2552"/>
        </w:tabs>
        <w:spacing w:line="276" w:lineRule="auto"/>
        <w:ind w:right="1"/>
        <w:rPr>
          <w:rFonts w:asciiTheme="minorHAnsi" w:hAnsiTheme="minorHAnsi"/>
          <w:sz w:val="22"/>
          <w:szCs w:val="22"/>
          <w:lang w:val="sk-SK"/>
        </w:rPr>
      </w:pPr>
      <w:r w:rsidRPr="00332324">
        <w:rPr>
          <w:rFonts w:asciiTheme="minorHAnsi" w:hAnsiTheme="minorHAnsi"/>
          <w:sz w:val="22"/>
          <w:szCs w:val="22"/>
          <w:lang w:val="sk-SK"/>
        </w:rPr>
        <w:t>Zápisnica z rokovania legislatívnej sekcie</w:t>
      </w:r>
    </w:p>
    <w:p w:rsidR="00350829" w:rsidRPr="00332324" w:rsidRDefault="00350829" w:rsidP="00A615A6">
      <w:pPr>
        <w:pStyle w:val="Nzov"/>
        <w:tabs>
          <w:tab w:val="left" w:pos="2552"/>
        </w:tabs>
        <w:spacing w:line="276" w:lineRule="auto"/>
        <w:ind w:right="1"/>
        <w:jc w:val="both"/>
        <w:rPr>
          <w:rFonts w:asciiTheme="minorHAnsi" w:hAnsiTheme="minorHAnsi"/>
          <w:sz w:val="22"/>
          <w:szCs w:val="22"/>
          <w:lang w:val="sk-SK"/>
        </w:rPr>
      </w:pP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r w:rsidRPr="00332324">
        <w:rPr>
          <w:rFonts w:asciiTheme="minorHAnsi" w:hAnsiTheme="minorHAnsi"/>
          <w:b w:val="0"/>
          <w:sz w:val="22"/>
          <w:szCs w:val="22"/>
          <w:lang w:val="sk-SK"/>
        </w:rPr>
        <w:t xml:space="preserve">Rokovanie – dátum, miesto:           </w:t>
      </w:r>
      <w:r w:rsidR="00332324">
        <w:rPr>
          <w:rFonts w:asciiTheme="minorHAnsi" w:hAnsiTheme="minorHAnsi"/>
          <w:b w:val="0"/>
          <w:sz w:val="22"/>
          <w:szCs w:val="22"/>
          <w:lang w:val="sk-SK"/>
        </w:rPr>
        <w:t>24.1.2012</w:t>
      </w:r>
      <w:r w:rsidRPr="00332324">
        <w:rPr>
          <w:rFonts w:asciiTheme="minorHAnsi" w:hAnsiTheme="minorHAnsi"/>
          <w:b w:val="0"/>
          <w:sz w:val="22"/>
          <w:szCs w:val="22"/>
          <w:lang w:val="sk-SK"/>
        </w:rPr>
        <w:t>, 9.30 h, zasadačka SLASPO</w:t>
      </w: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r w:rsidRPr="00332324">
        <w:rPr>
          <w:rFonts w:asciiTheme="minorHAnsi" w:hAnsiTheme="minorHAnsi"/>
          <w:b w:val="0"/>
          <w:sz w:val="22"/>
          <w:szCs w:val="22"/>
          <w:lang w:val="sk-SK"/>
        </w:rPr>
        <w:t xml:space="preserve">Rokovanie viedol:                               JUDr. Jozefína Žáková, generálna riaditeľka (GR) SLASPO, </w:t>
      </w: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r w:rsidRPr="00332324">
        <w:rPr>
          <w:rFonts w:asciiTheme="minorHAnsi" w:hAnsiTheme="minorHAnsi"/>
          <w:b w:val="0"/>
          <w:sz w:val="22"/>
          <w:szCs w:val="22"/>
          <w:lang w:val="sk-SK"/>
        </w:rPr>
        <w:t xml:space="preserve">                                                       </w:t>
      </w:r>
      <w:r w:rsidR="00332324">
        <w:rPr>
          <w:rFonts w:asciiTheme="minorHAnsi" w:hAnsiTheme="minorHAnsi"/>
          <w:b w:val="0"/>
          <w:sz w:val="22"/>
          <w:szCs w:val="22"/>
          <w:lang w:val="sk-SK"/>
        </w:rPr>
        <w:t xml:space="preserve">     </w:t>
      </w:r>
      <w:r w:rsidRPr="00332324">
        <w:rPr>
          <w:rFonts w:asciiTheme="minorHAnsi" w:hAnsiTheme="minorHAnsi"/>
          <w:b w:val="0"/>
          <w:sz w:val="22"/>
          <w:szCs w:val="22"/>
          <w:lang w:val="sk-SK"/>
        </w:rPr>
        <w:t xml:space="preserve">  </w:t>
      </w:r>
      <w:r w:rsidR="000F4613" w:rsidRPr="00332324">
        <w:rPr>
          <w:rFonts w:asciiTheme="minorHAnsi" w:hAnsiTheme="minorHAnsi"/>
          <w:b w:val="0"/>
          <w:sz w:val="22"/>
          <w:szCs w:val="22"/>
          <w:lang w:val="sk-SK"/>
        </w:rPr>
        <w:t xml:space="preserve"> Mgr. Martin Petruľák</w:t>
      </w:r>
      <w:r w:rsidRPr="00332324">
        <w:rPr>
          <w:rFonts w:asciiTheme="minorHAnsi" w:hAnsiTheme="minorHAnsi"/>
          <w:b w:val="0"/>
          <w:sz w:val="22"/>
          <w:szCs w:val="22"/>
          <w:lang w:val="sk-SK"/>
        </w:rPr>
        <w:t>, predsed</w:t>
      </w:r>
      <w:r w:rsidR="000F4613" w:rsidRPr="00332324">
        <w:rPr>
          <w:rFonts w:asciiTheme="minorHAnsi" w:hAnsiTheme="minorHAnsi"/>
          <w:b w:val="0"/>
          <w:sz w:val="22"/>
          <w:szCs w:val="22"/>
          <w:lang w:val="sk-SK"/>
        </w:rPr>
        <w:t>a</w:t>
      </w:r>
      <w:r w:rsidRPr="00332324">
        <w:rPr>
          <w:rFonts w:asciiTheme="minorHAnsi" w:hAnsiTheme="minorHAnsi"/>
          <w:b w:val="0"/>
          <w:sz w:val="22"/>
          <w:szCs w:val="22"/>
          <w:lang w:val="sk-SK"/>
        </w:rPr>
        <w:t xml:space="preserve"> sekcie</w:t>
      </w: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r w:rsidRPr="00332324">
        <w:rPr>
          <w:rFonts w:asciiTheme="minorHAnsi" w:hAnsiTheme="minorHAnsi"/>
          <w:b w:val="0"/>
          <w:sz w:val="22"/>
          <w:szCs w:val="22"/>
          <w:lang w:val="sk-SK"/>
        </w:rPr>
        <w:t>Prítomní:                                             členovia legislatívnej sekcie podľa prezenčnej listiny</w:t>
      </w: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r w:rsidRPr="00332324">
        <w:rPr>
          <w:rFonts w:asciiTheme="minorHAnsi" w:hAnsiTheme="minorHAnsi"/>
          <w:b w:val="0"/>
          <w:sz w:val="22"/>
          <w:szCs w:val="22"/>
          <w:lang w:val="sk-SK"/>
        </w:rPr>
        <w:t xml:space="preserve">  </w:t>
      </w:r>
    </w:p>
    <w:p w:rsidR="00350829" w:rsidRPr="00332324" w:rsidRDefault="00350829" w:rsidP="00A615A6">
      <w:pPr>
        <w:pStyle w:val="Nzov"/>
        <w:tabs>
          <w:tab w:val="left" w:pos="2552"/>
        </w:tabs>
        <w:spacing w:line="276" w:lineRule="auto"/>
        <w:ind w:right="1"/>
        <w:jc w:val="both"/>
        <w:rPr>
          <w:rFonts w:asciiTheme="minorHAnsi" w:hAnsiTheme="minorHAnsi"/>
          <w:b w:val="0"/>
          <w:sz w:val="22"/>
          <w:szCs w:val="22"/>
          <w:lang w:val="sk-SK"/>
        </w:rPr>
      </w:pPr>
      <w:r w:rsidRPr="00332324">
        <w:rPr>
          <w:rFonts w:asciiTheme="minorHAnsi" w:hAnsiTheme="minorHAnsi"/>
          <w:b w:val="0"/>
          <w:sz w:val="22"/>
          <w:szCs w:val="22"/>
          <w:lang w:val="sk-SK"/>
        </w:rPr>
        <w:t>Zápis vyhotovil:                                  Mgr. Mária Lehotská, tajomníčka legislatívnej sekcie</w:t>
      </w:r>
    </w:p>
    <w:p w:rsidR="00350829" w:rsidRDefault="00350829" w:rsidP="00A615A6">
      <w:pPr>
        <w:pStyle w:val="Nzov"/>
        <w:tabs>
          <w:tab w:val="left" w:pos="2552"/>
        </w:tabs>
        <w:spacing w:line="276" w:lineRule="auto"/>
        <w:ind w:right="1"/>
        <w:jc w:val="left"/>
        <w:rPr>
          <w:rFonts w:asciiTheme="minorHAnsi" w:hAnsiTheme="minorHAnsi"/>
          <w:b w:val="0"/>
          <w:sz w:val="22"/>
          <w:szCs w:val="22"/>
          <w:lang w:val="sk-SK"/>
        </w:rPr>
      </w:pPr>
    </w:p>
    <w:p w:rsidR="00350829" w:rsidRPr="00332324" w:rsidRDefault="00350829" w:rsidP="00A615A6">
      <w:pPr>
        <w:pStyle w:val="Hlavika"/>
        <w:tabs>
          <w:tab w:val="clear" w:pos="9072"/>
          <w:tab w:val="right" w:pos="9569"/>
        </w:tabs>
        <w:spacing w:line="276" w:lineRule="auto"/>
        <w:ind w:left="11" w:right="357"/>
        <w:jc w:val="both"/>
        <w:rPr>
          <w:rFonts w:asciiTheme="minorHAnsi" w:hAnsiTheme="minorHAnsi"/>
          <w:sz w:val="22"/>
          <w:szCs w:val="22"/>
          <w:lang w:val="sk-SK"/>
        </w:rPr>
      </w:pPr>
      <w:r w:rsidRPr="00332324">
        <w:rPr>
          <w:rFonts w:asciiTheme="minorHAnsi" w:hAnsiTheme="minorHAnsi"/>
          <w:sz w:val="22"/>
          <w:szCs w:val="22"/>
          <w:lang w:val="sk-SK"/>
        </w:rPr>
        <w:t>Program rokovania:</w:t>
      </w:r>
    </w:p>
    <w:p w:rsidR="00350829" w:rsidRPr="00332324" w:rsidRDefault="00350829" w:rsidP="00A615A6">
      <w:pPr>
        <w:pStyle w:val="Hlavika"/>
        <w:tabs>
          <w:tab w:val="clear" w:pos="9072"/>
          <w:tab w:val="right" w:pos="9569"/>
        </w:tabs>
        <w:spacing w:line="276" w:lineRule="auto"/>
        <w:ind w:left="11" w:right="357"/>
        <w:jc w:val="both"/>
        <w:rPr>
          <w:rFonts w:asciiTheme="minorHAnsi" w:hAnsiTheme="minorHAnsi"/>
          <w:sz w:val="22"/>
          <w:szCs w:val="22"/>
          <w:lang w:val="sk-SK"/>
        </w:rPr>
      </w:pPr>
    </w:p>
    <w:p w:rsidR="00C50E06" w:rsidRPr="00332324" w:rsidRDefault="00C50E06" w:rsidP="00A615A6">
      <w:pPr>
        <w:pStyle w:val="Odsekzoznamu"/>
        <w:numPr>
          <w:ilvl w:val="0"/>
          <w:numId w:val="3"/>
        </w:numPr>
        <w:spacing w:line="276" w:lineRule="auto"/>
        <w:ind w:left="426" w:hanging="426"/>
        <w:jc w:val="both"/>
        <w:rPr>
          <w:rFonts w:asciiTheme="minorHAnsi" w:hAnsiTheme="minorHAnsi"/>
          <w:color w:val="000000" w:themeColor="text1"/>
        </w:rPr>
      </w:pPr>
      <w:r w:rsidRPr="00332324">
        <w:rPr>
          <w:rFonts w:asciiTheme="minorHAnsi" w:hAnsiTheme="minorHAnsi"/>
          <w:color w:val="000000" w:themeColor="text1"/>
        </w:rPr>
        <w:t>zákon o poisťovníctve – informácia o stave prác a o ďalšom postupe,</w:t>
      </w:r>
    </w:p>
    <w:p w:rsidR="00C50E06" w:rsidRPr="00332324" w:rsidRDefault="00C50E06" w:rsidP="00A615A6">
      <w:pPr>
        <w:pStyle w:val="Odsekzoznamu"/>
        <w:numPr>
          <w:ilvl w:val="0"/>
          <w:numId w:val="3"/>
        </w:numPr>
        <w:spacing w:line="276" w:lineRule="auto"/>
        <w:ind w:left="426" w:hanging="426"/>
        <w:jc w:val="both"/>
        <w:rPr>
          <w:rFonts w:asciiTheme="minorHAnsi" w:hAnsiTheme="minorHAnsi"/>
          <w:color w:val="000000" w:themeColor="text1"/>
        </w:rPr>
      </w:pPr>
      <w:r w:rsidRPr="00332324">
        <w:rPr>
          <w:rFonts w:asciiTheme="minorHAnsi" w:hAnsiTheme="minorHAnsi"/>
          <w:color w:val="000000" w:themeColor="text1"/>
        </w:rPr>
        <w:t>novela Občianskeho zákonníka – informácia o stretnutí zástupcov MF SR, NBS a MS SR ohľadom možností novelizácie Občianskeho zákonníka, dohoda členov legislatívnej sekcie na ďalšom postupe v tejto oblasti,</w:t>
      </w:r>
    </w:p>
    <w:p w:rsidR="00C50E06" w:rsidRPr="00332324" w:rsidRDefault="00C50E06" w:rsidP="00A615A6">
      <w:pPr>
        <w:pStyle w:val="Odsekzoznamu"/>
        <w:numPr>
          <w:ilvl w:val="0"/>
          <w:numId w:val="3"/>
        </w:numPr>
        <w:spacing w:line="276" w:lineRule="auto"/>
        <w:ind w:left="426" w:hanging="426"/>
        <w:jc w:val="both"/>
        <w:rPr>
          <w:rFonts w:asciiTheme="minorHAnsi" w:hAnsiTheme="minorHAnsi"/>
          <w:color w:val="000000" w:themeColor="text1"/>
        </w:rPr>
      </w:pPr>
      <w:proofErr w:type="spellStart"/>
      <w:r w:rsidRPr="00332324">
        <w:rPr>
          <w:rFonts w:asciiTheme="minorHAnsi" w:hAnsiTheme="minorHAnsi"/>
          <w:color w:val="000000" w:themeColor="text1"/>
        </w:rPr>
        <w:t>gender</w:t>
      </w:r>
      <w:proofErr w:type="spellEnd"/>
      <w:r w:rsidRPr="00332324">
        <w:rPr>
          <w:rFonts w:asciiTheme="minorHAnsi" w:hAnsiTheme="minorHAnsi"/>
          <w:color w:val="000000" w:themeColor="text1"/>
        </w:rPr>
        <w:t xml:space="preserve"> </w:t>
      </w:r>
      <w:proofErr w:type="spellStart"/>
      <w:r w:rsidRPr="00332324">
        <w:rPr>
          <w:rFonts w:asciiTheme="minorHAnsi" w:hAnsiTheme="minorHAnsi"/>
          <w:color w:val="000000" w:themeColor="text1"/>
        </w:rPr>
        <w:t>guidelines</w:t>
      </w:r>
      <w:proofErr w:type="spellEnd"/>
      <w:r w:rsidRPr="00332324">
        <w:rPr>
          <w:rFonts w:asciiTheme="minorHAnsi" w:hAnsiTheme="minorHAnsi"/>
          <w:color w:val="000000" w:themeColor="text1"/>
        </w:rPr>
        <w:t xml:space="preserve"> – diskusia k stanovisku EK,</w:t>
      </w:r>
    </w:p>
    <w:p w:rsidR="00C50E06" w:rsidRPr="00332324" w:rsidRDefault="00C50E06" w:rsidP="00A615A6">
      <w:pPr>
        <w:pStyle w:val="Odsekzoznamu"/>
        <w:numPr>
          <w:ilvl w:val="0"/>
          <w:numId w:val="3"/>
        </w:numPr>
        <w:spacing w:line="276" w:lineRule="auto"/>
        <w:ind w:left="426" w:hanging="426"/>
        <w:jc w:val="both"/>
        <w:rPr>
          <w:rFonts w:asciiTheme="minorHAnsi" w:hAnsiTheme="minorHAnsi"/>
          <w:color w:val="000000" w:themeColor="text1"/>
        </w:rPr>
      </w:pPr>
      <w:r w:rsidRPr="00332324">
        <w:rPr>
          <w:rFonts w:asciiTheme="minorHAnsi" w:hAnsiTheme="minorHAnsi"/>
          <w:color w:val="000000" w:themeColor="text1"/>
        </w:rPr>
        <w:t>spoločné tlačivo pre vinkulácie – informácia o stave komunikácie s SBA, dohoda členov legislatívnej sekcie na ďalšom postupe v tejto oblasti,</w:t>
      </w:r>
    </w:p>
    <w:p w:rsidR="00C50E06" w:rsidRPr="00332324" w:rsidRDefault="00C50E06" w:rsidP="00A615A6">
      <w:pPr>
        <w:pStyle w:val="Odsekzoznamu"/>
        <w:numPr>
          <w:ilvl w:val="0"/>
          <w:numId w:val="3"/>
        </w:numPr>
        <w:spacing w:line="276" w:lineRule="auto"/>
        <w:ind w:left="426" w:hanging="426"/>
        <w:jc w:val="both"/>
        <w:rPr>
          <w:rFonts w:asciiTheme="minorHAnsi" w:hAnsiTheme="minorHAnsi"/>
          <w:color w:val="000000" w:themeColor="text1"/>
        </w:rPr>
      </w:pPr>
      <w:r w:rsidRPr="00332324">
        <w:rPr>
          <w:rFonts w:asciiTheme="minorHAnsi" w:hAnsiTheme="minorHAnsi"/>
          <w:color w:val="000000" w:themeColor="text1"/>
        </w:rPr>
        <w:t>návrh smernice pre ADR – diskusia o dopadoch smernice na poisťovací sektor a na vnútroštátnu legislatívu (živá voda pre vzkriesenie Úradu finančného ombudsmana?),</w:t>
      </w:r>
    </w:p>
    <w:p w:rsidR="00C50E06" w:rsidRPr="00332324" w:rsidRDefault="00C50E06" w:rsidP="00A615A6">
      <w:pPr>
        <w:pStyle w:val="Odsekzoznamu"/>
        <w:numPr>
          <w:ilvl w:val="0"/>
          <w:numId w:val="3"/>
        </w:numPr>
        <w:spacing w:line="276" w:lineRule="auto"/>
        <w:ind w:left="426" w:hanging="426"/>
        <w:jc w:val="both"/>
        <w:rPr>
          <w:rFonts w:asciiTheme="minorHAnsi" w:hAnsiTheme="minorHAnsi"/>
          <w:color w:val="000000" w:themeColor="text1"/>
        </w:rPr>
      </w:pPr>
      <w:r w:rsidRPr="00332324">
        <w:rPr>
          <w:rFonts w:asciiTheme="minorHAnsi" w:hAnsiTheme="minorHAnsi"/>
          <w:color w:val="000000" w:themeColor="text1"/>
        </w:rPr>
        <w:t>výpoveď ku koncu poistného obdobia – diskusia k otázke možností použitia § 122 ods. 3 vo vzťahu k § 800 ods. 1 OZ,</w:t>
      </w:r>
    </w:p>
    <w:p w:rsidR="00C50E06" w:rsidRPr="00332324" w:rsidRDefault="00C50E06" w:rsidP="00A615A6">
      <w:pPr>
        <w:pStyle w:val="Odsekzoznamu"/>
        <w:numPr>
          <w:ilvl w:val="0"/>
          <w:numId w:val="3"/>
        </w:numPr>
        <w:spacing w:line="276" w:lineRule="auto"/>
        <w:ind w:left="426" w:hanging="426"/>
        <w:jc w:val="both"/>
        <w:rPr>
          <w:rFonts w:asciiTheme="minorHAnsi" w:hAnsiTheme="minorHAnsi"/>
          <w:color w:val="000000" w:themeColor="text1"/>
        </w:rPr>
      </w:pPr>
      <w:r w:rsidRPr="00332324">
        <w:rPr>
          <w:rFonts w:asciiTheme="minorHAnsi" w:hAnsiTheme="minorHAnsi"/>
          <w:color w:val="000000" w:themeColor="text1"/>
        </w:rPr>
        <w:t>Rôzne:</w:t>
      </w:r>
    </w:p>
    <w:p w:rsidR="00C50E06" w:rsidRPr="00332324" w:rsidRDefault="00C50E06" w:rsidP="00A615A6">
      <w:pPr>
        <w:pStyle w:val="Odsekzoznamu"/>
        <w:numPr>
          <w:ilvl w:val="0"/>
          <w:numId w:val="4"/>
        </w:numPr>
        <w:spacing w:line="276" w:lineRule="auto"/>
        <w:ind w:left="567" w:hanging="141"/>
        <w:jc w:val="both"/>
        <w:rPr>
          <w:rFonts w:asciiTheme="minorHAnsi" w:hAnsiTheme="minorHAnsi"/>
          <w:color w:val="000000" w:themeColor="text1"/>
        </w:rPr>
      </w:pPr>
      <w:r w:rsidRPr="00332324">
        <w:rPr>
          <w:rFonts w:asciiTheme="minorHAnsi" w:hAnsiTheme="minorHAnsi"/>
          <w:color w:val="000000" w:themeColor="text1"/>
        </w:rPr>
        <w:t>problematika „vedúcich zamestnancov“ v zmysle zákona č. 186/2009 Z.</w:t>
      </w:r>
      <w:r w:rsidR="00332324" w:rsidRPr="00332324">
        <w:rPr>
          <w:rFonts w:asciiTheme="minorHAnsi" w:hAnsiTheme="minorHAnsi"/>
          <w:color w:val="000000" w:themeColor="text1"/>
        </w:rPr>
        <w:t xml:space="preserve"> </w:t>
      </w:r>
      <w:r w:rsidRPr="00332324">
        <w:rPr>
          <w:rFonts w:asciiTheme="minorHAnsi" w:hAnsiTheme="minorHAnsi"/>
          <w:color w:val="000000" w:themeColor="text1"/>
        </w:rPr>
        <w:t>z. o finančnom sprostredkovaní a finančnom poradenstve.</w:t>
      </w:r>
    </w:p>
    <w:p w:rsidR="00350829" w:rsidRPr="00332324" w:rsidRDefault="00350829" w:rsidP="00A615A6">
      <w:pPr>
        <w:pStyle w:val="Odsekzoznamu"/>
        <w:spacing w:line="276" w:lineRule="auto"/>
        <w:ind w:left="1068"/>
        <w:jc w:val="both"/>
        <w:rPr>
          <w:rFonts w:asciiTheme="minorHAnsi" w:hAnsiTheme="minorHAnsi"/>
        </w:rPr>
      </w:pPr>
    </w:p>
    <w:tbl>
      <w:tblPr>
        <w:tblW w:w="972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6309"/>
        <w:gridCol w:w="6"/>
        <w:gridCol w:w="1434"/>
        <w:gridCol w:w="6"/>
        <w:gridCol w:w="1258"/>
      </w:tblGrid>
      <w:tr w:rsidR="00350829" w:rsidRPr="00332324" w:rsidTr="00255DC0">
        <w:trPr>
          <w:trHeight w:val="270"/>
        </w:trPr>
        <w:tc>
          <w:tcPr>
            <w:tcW w:w="708" w:type="dxa"/>
            <w:vAlign w:val="center"/>
          </w:tcPr>
          <w:p w:rsidR="00350829" w:rsidRPr="00332324" w:rsidRDefault="00350829" w:rsidP="00A615A6">
            <w:pPr>
              <w:spacing w:after="0"/>
              <w:ind w:left="11"/>
              <w:jc w:val="center"/>
              <w:rPr>
                <w:b/>
              </w:rPr>
            </w:pPr>
            <w:r w:rsidRPr="00332324">
              <w:rPr>
                <w:b/>
              </w:rPr>
              <w:t xml:space="preserve">    </w:t>
            </w:r>
            <w:proofErr w:type="spellStart"/>
            <w:r w:rsidRPr="00332324">
              <w:rPr>
                <w:b/>
              </w:rPr>
              <w:t>P.č</w:t>
            </w:r>
            <w:proofErr w:type="spellEnd"/>
            <w:r w:rsidRPr="00332324">
              <w:rPr>
                <w:b/>
              </w:rPr>
              <w:t>.</w:t>
            </w:r>
          </w:p>
        </w:tc>
        <w:tc>
          <w:tcPr>
            <w:tcW w:w="6309" w:type="dxa"/>
            <w:vAlign w:val="center"/>
          </w:tcPr>
          <w:p w:rsidR="00350829" w:rsidRPr="00332324" w:rsidRDefault="00350829" w:rsidP="00A615A6">
            <w:pPr>
              <w:pStyle w:val="Nadpis6"/>
              <w:spacing w:line="276" w:lineRule="auto"/>
              <w:jc w:val="both"/>
              <w:rPr>
                <w:rFonts w:asciiTheme="minorHAnsi" w:hAnsiTheme="minorHAnsi"/>
                <w:color w:val="auto"/>
                <w:sz w:val="22"/>
                <w:szCs w:val="22"/>
              </w:rPr>
            </w:pPr>
            <w:r w:rsidRPr="00332324">
              <w:rPr>
                <w:rFonts w:asciiTheme="minorHAnsi" w:hAnsiTheme="minorHAnsi"/>
                <w:color w:val="auto"/>
                <w:sz w:val="22"/>
                <w:szCs w:val="22"/>
              </w:rPr>
              <w:t>Zápis</w:t>
            </w:r>
          </w:p>
        </w:tc>
        <w:tc>
          <w:tcPr>
            <w:tcW w:w="1440" w:type="dxa"/>
            <w:gridSpan w:val="2"/>
            <w:vAlign w:val="center"/>
          </w:tcPr>
          <w:p w:rsidR="00350829" w:rsidRPr="00332324" w:rsidRDefault="00350829" w:rsidP="00A615A6">
            <w:pPr>
              <w:pStyle w:val="Nadpis2"/>
              <w:spacing w:line="276" w:lineRule="auto"/>
              <w:ind w:left="-108"/>
              <w:jc w:val="center"/>
              <w:rPr>
                <w:rFonts w:asciiTheme="minorHAnsi" w:hAnsiTheme="minorHAnsi"/>
                <w:sz w:val="22"/>
                <w:szCs w:val="22"/>
                <w:lang w:val="sk-SK"/>
              </w:rPr>
            </w:pPr>
            <w:r w:rsidRPr="00332324">
              <w:rPr>
                <w:rFonts w:asciiTheme="minorHAnsi" w:hAnsiTheme="minorHAnsi"/>
                <w:sz w:val="22"/>
                <w:szCs w:val="22"/>
                <w:lang w:val="sk-SK"/>
              </w:rPr>
              <w:t>Zodpovedný</w:t>
            </w:r>
          </w:p>
        </w:tc>
        <w:tc>
          <w:tcPr>
            <w:tcW w:w="1264" w:type="dxa"/>
            <w:gridSpan w:val="2"/>
            <w:tcBorders>
              <w:bottom w:val="single" w:sz="4" w:space="0" w:color="auto"/>
            </w:tcBorders>
            <w:vAlign w:val="center"/>
          </w:tcPr>
          <w:p w:rsidR="00350829" w:rsidRPr="00332324" w:rsidRDefault="00350829" w:rsidP="00A615A6">
            <w:pPr>
              <w:pStyle w:val="Nadpis2"/>
              <w:spacing w:line="276" w:lineRule="auto"/>
              <w:ind w:right="-189"/>
              <w:jc w:val="center"/>
              <w:rPr>
                <w:rFonts w:asciiTheme="minorHAnsi" w:hAnsiTheme="minorHAnsi"/>
                <w:sz w:val="22"/>
                <w:szCs w:val="22"/>
                <w:lang w:val="sk-SK" w:eastAsia="sk-SK"/>
              </w:rPr>
            </w:pPr>
            <w:r w:rsidRPr="00332324">
              <w:rPr>
                <w:rFonts w:asciiTheme="minorHAnsi" w:hAnsiTheme="minorHAnsi"/>
                <w:sz w:val="22"/>
                <w:szCs w:val="22"/>
                <w:lang w:val="sk-SK" w:eastAsia="sk-SK"/>
              </w:rPr>
              <w:t>Dátum</w:t>
            </w:r>
          </w:p>
        </w:tc>
      </w:tr>
      <w:tr w:rsidR="00350829" w:rsidRPr="00332324" w:rsidTr="00255DC0">
        <w:trPr>
          <w:cantSplit/>
          <w:trHeight w:val="732"/>
        </w:trPr>
        <w:tc>
          <w:tcPr>
            <w:tcW w:w="708"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spacing w:after="0"/>
              <w:ind w:left="11"/>
              <w:jc w:val="center"/>
              <w:rPr>
                <w:b/>
              </w:rPr>
            </w:pPr>
          </w:p>
        </w:tc>
        <w:tc>
          <w:tcPr>
            <w:tcW w:w="6309" w:type="dxa"/>
            <w:tcBorders>
              <w:top w:val="single" w:sz="4" w:space="0" w:color="auto"/>
              <w:left w:val="single" w:sz="4" w:space="0" w:color="auto"/>
              <w:bottom w:val="single" w:sz="4" w:space="0" w:color="auto"/>
              <w:right w:val="single" w:sz="4" w:space="0" w:color="auto"/>
            </w:tcBorders>
          </w:tcPr>
          <w:p w:rsidR="00350829" w:rsidRPr="00332324" w:rsidRDefault="00350829" w:rsidP="00A615A6">
            <w:pPr>
              <w:pStyle w:val="Default"/>
              <w:spacing w:line="276" w:lineRule="auto"/>
              <w:jc w:val="both"/>
              <w:rPr>
                <w:rFonts w:asciiTheme="minorHAnsi" w:hAnsiTheme="minorHAnsi"/>
                <w:sz w:val="22"/>
                <w:szCs w:val="22"/>
              </w:rPr>
            </w:pPr>
            <w:r w:rsidRPr="00332324">
              <w:rPr>
                <w:rFonts w:asciiTheme="minorHAnsi" w:hAnsiTheme="minorHAnsi"/>
                <w:sz w:val="22"/>
                <w:szCs w:val="22"/>
              </w:rPr>
              <w:t xml:space="preserve">Stretnutie </w:t>
            </w:r>
            <w:r w:rsidR="000451E5">
              <w:rPr>
                <w:rFonts w:asciiTheme="minorHAnsi" w:hAnsiTheme="minorHAnsi"/>
                <w:sz w:val="22"/>
                <w:szCs w:val="22"/>
              </w:rPr>
              <w:t xml:space="preserve">LS </w:t>
            </w:r>
            <w:r w:rsidRPr="00332324">
              <w:rPr>
                <w:rFonts w:asciiTheme="minorHAnsi" w:hAnsiTheme="minorHAnsi"/>
                <w:sz w:val="22"/>
                <w:szCs w:val="22"/>
              </w:rPr>
              <w:t>sa uskutočnilo ad hoc, keďže na ostatnom stretnutí nebol dohodnutý žiaden pevný termín.</w:t>
            </w:r>
          </w:p>
        </w:tc>
        <w:tc>
          <w:tcPr>
            <w:tcW w:w="1440" w:type="dxa"/>
            <w:gridSpan w:val="2"/>
            <w:tcBorders>
              <w:top w:val="single" w:sz="4" w:space="0" w:color="auto"/>
              <w:left w:val="single" w:sz="4" w:space="0" w:color="auto"/>
              <w:bottom w:val="single" w:sz="4" w:space="0" w:color="auto"/>
              <w:right w:val="single" w:sz="4" w:space="0" w:color="auto"/>
            </w:tcBorders>
          </w:tcPr>
          <w:p w:rsidR="00350829" w:rsidRPr="00332324" w:rsidRDefault="00350829" w:rsidP="00A615A6">
            <w:pPr>
              <w:pStyle w:val="Textpoznmkypodiarou"/>
              <w:spacing w:line="276" w:lineRule="auto"/>
              <w:ind w:firstLine="60"/>
              <w:rPr>
                <w:rFonts w:asciiTheme="minorHAnsi" w:hAnsiTheme="minorHAnsi"/>
                <w:sz w:val="22"/>
                <w:szCs w:val="22"/>
                <w:lang w:val="sk-SK"/>
              </w:rPr>
            </w:pPr>
          </w:p>
        </w:tc>
        <w:tc>
          <w:tcPr>
            <w:tcW w:w="1264" w:type="dxa"/>
            <w:gridSpan w:val="2"/>
            <w:tcBorders>
              <w:top w:val="single" w:sz="4" w:space="0" w:color="auto"/>
              <w:left w:val="single" w:sz="4" w:space="0" w:color="auto"/>
              <w:bottom w:val="single" w:sz="4" w:space="0" w:color="auto"/>
              <w:right w:val="single" w:sz="4" w:space="0" w:color="auto"/>
            </w:tcBorders>
          </w:tcPr>
          <w:p w:rsidR="00350829" w:rsidRPr="00332324" w:rsidRDefault="00350829" w:rsidP="00A615A6">
            <w:pPr>
              <w:pStyle w:val="Pta"/>
              <w:tabs>
                <w:tab w:val="clear" w:pos="4320"/>
                <w:tab w:val="clear" w:pos="8640"/>
              </w:tabs>
              <w:spacing w:line="276" w:lineRule="auto"/>
              <w:rPr>
                <w:rFonts w:asciiTheme="minorHAnsi" w:hAnsiTheme="minorHAnsi"/>
                <w:sz w:val="22"/>
                <w:szCs w:val="22"/>
                <w:lang w:val="sk-SK"/>
              </w:rPr>
            </w:pPr>
          </w:p>
        </w:tc>
      </w:tr>
      <w:tr w:rsidR="00350829" w:rsidRPr="00332324" w:rsidTr="00255DC0">
        <w:trPr>
          <w:cantSplit/>
          <w:trHeight w:val="432"/>
        </w:trPr>
        <w:tc>
          <w:tcPr>
            <w:tcW w:w="708"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spacing w:after="0"/>
              <w:ind w:left="11"/>
              <w:jc w:val="center"/>
              <w:rPr>
                <w:b/>
              </w:rPr>
            </w:pPr>
            <w:r w:rsidRPr="00332324">
              <w:rPr>
                <w:b/>
              </w:rPr>
              <w:t>I/1</w:t>
            </w:r>
          </w:p>
        </w:tc>
        <w:tc>
          <w:tcPr>
            <w:tcW w:w="6309" w:type="dxa"/>
            <w:tcBorders>
              <w:top w:val="single" w:sz="4" w:space="0" w:color="auto"/>
              <w:left w:val="single" w:sz="4" w:space="0" w:color="auto"/>
              <w:bottom w:val="single" w:sz="4" w:space="0" w:color="auto"/>
              <w:right w:val="single" w:sz="4" w:space="0" w:color="auto"/>
            </w:tcBorders>
            <w:vAlign w:val="center"/>
          </w:tcPr>
          <w:p w:rsidR="00350829" w:rsidRDefault="00350829" w:rsidP="00A615A6">
            <w:pPr>
              <w:spacing w:after="0"/>
              <w:jc w:val="both"/>
            </w:pPr>
            <w:r w:rsidRPr="00332324">
              <w:t>K prvému bodu programu stretnutia:</w:t>
            </w:r>
          </w:p>
          <w:p w:rsidR="008E0067" w:rsidRPr="00332324" w:rsidRDefault="008E0067" w:rsidP="00A615A6">
            <w:pPr>
              <w:spacing w:after="0"/>
              <w:jc w:val="both"/>
              <w:rPr>
                <w:b/>
              </w:rPr>
            </w:pPr>
          </w:p>
          <w:p w:rsidR="00350829" w:rsidRPr="00332324" w:rsidRDefault="00350829" w:rsidP="00A615A6">
            <w:pPr>
              <w:pStyle w:val="Hlavika"/>
              <w:numPr>
                <w:ilvl w:val="0"/>
                <w:numId w:val="13"/>
              </w:numPr>
              <w:tabs>
                <w:tab w:val="clear" w:pos="4536"/>
                <w:tab w:val="clear" w:pos="9072"/>
                <w:tab w:val="center" w:pos="178"/>
                <w:tab w:val="right" w:pos="9569"/>
              </w:tabs>
              <w:spacing w:line="276" w:lineRule="auto"/>
              <w:ind w:left="0" w:firstLine="0"/>
              <w:jc w:val="both"/>
              <w:rPr>
                <w:rFonts w:asciiTheme="minorHAnsi" w:hAnsiTheme="minorHAnsi"/>
                <w:sz w:val="22"/>
                <w:szCs w:val="22"/>
                <w:lang w:val="sk-SK"/>
              </w:rPr>
            </w:pPr>
            <w:r w:rsidRPr="00332324">
              <w:rPr>
                <w:rFonts w:asciiTheme="minorHAnsi" w:hAnsiTheme="minorHAnsi"/>
                <w:sz w:val="22"/>
                <w:szCs w:val="22"/>
                <w:lang w:val="sk-SK"/>
              </w:rPr>
              <w:t xml:space="preserve">Členovia </w:t>
            </w:r>
            <w:r w:rsidR="000451E5">
              <w:rPr>
                <w:rFonts w:asciiTheme="minorHAnsi" w:hAnsiTheme="minorHAnsi"/>
                <w:sz w:val="22"/>
                <w:szCs w:val="22"/>
                <w:lang w:val="sk-SK"/>
              </w:rPr>
              <w:t>LS</w:t>
            </w:r>
            <w:r w:rsidRPr="00332324">
              <w:rPr>
                <w:rFonts w:asciiTheme="minorHAnsi" w:hAnsiTheme="minorHAnsi"/>
                <w:sz w:val="22"/>
                <w:szCs w:val="22"/>
                <w:lang w:val="sk-SK"/>
              </w:rPr>
              <w:t xml:space="preserve"> boli informovaní o aktuálnom stave </w:t>
            </w:r>
            <w:r w:rsidR="00BC3E10">
              <w:rPr>
                <w:rFonts w:asciiTheme="minorHAnsi" w:hAnsiTheme="minorHAnsi"/>
                <w:sz w:val="22"/>
                <w:szCs w:val="22"/>
                <w:lang w:val="sk-SK"/>
              </w:rPr>
              <w:t>prípravy nového zákona o poisťovníctve, v</w:t>
            </w:r>
            <w:r w:rsidR="00423C49">
              <w:rPr>
                <w:rFonts w:asciiTheme="minorHAnsi" w:hAnsiTheme="minorHAnsi"/>
                <w:sz w:val="22"/>
                <w:szCs w:val="22"/>
                <w:lang w:val="sk-SK"/>
              </w:rPr>
              <w:t> </w:t>
            </w:r>
            <w:r w:rsidR="00BC3E10">
              <w:rPr>
                <w:rFonts w:asciiTheme="minorHAnsi" w:hAnsiTheme="minorHAnsi"/>
                <w:sz w:val="22"/>
                <w:szCs w:val="22"/>
                <w:lang w:val="sk-SK"/>
              </w:rPr>
              <w:t>1</w:t>
            </w:r>
            <w:r w:rsidR="00423C49">
              <w:rPr>
                <w:rFonts w:asciiTheme="minorHAnsi" w:hAnsiTheme="minorHAnsi"/>
                <w:sz w:val="22"/>
                <w:szCs w:val="22"/>
                <w:lang w:val="sk-SK"/>
              </w:rPr>
              <w:t xml:space="preserve">. </w:t>
            </w:r>
            <w:r w:rsidR="00BC3E10">
              <w:rPr>
                <w:rFonts w:asciiTheme="minorHAnsi" w:hAnsiTheme="minorHAnsi"/>
                <w:sz w:val="22"/>
                <w:szCs w:val="22"/>
                <w:lang w:val="sk-SK"/>
              </w:rPr>
              <w:t xml:space="preserve">Q 2012 by malo MF SR predložiť kompletný návrh </w:t>
            </w:r>
            <w:proofErr w:type="spellStart"/>
            <w:r w:rsidR="00BC3E10">
              <w:rPr>
                <w:rFonts w:asciiTheme="minorHAnsi" w:hAnsiTheme="minorHAnsi"/>
                <w:sz w:val="22"/>
                <w:szCs w:val="22"/>
                <w:lang w:val="sk-SK"/>
              </w:rPr>
              <w:t>SLASPu</w:t>
            </w:r>
            <w:proofErr w:type="spellEnd"/>
            <w:r w:rsidR="00BC3E10">
              <w:rPr>
                <w:rFonts w:asciiTheme="minorHAnsi" w:hAnsiTheme="minorHAnsi"/>
                <w:sz w:val="22"/>
                <w:szCs w:val="22"/>
                <w:lang w:val="sk-SK"/>
              </w:rPr>
              <w:t xml:space="preserve"> a</w:t>
            </w:r>
            <w:r w:rsidR="0036165F">
              <w:rPr>
                <w:rFonts w:asciiTheme="minorHAnsi" w:hAnsiTheme="minorHAnsi"/>
                <w:sz w:val="22"/>
                <w:szCs w:val="22"/>
                <w:lang w:val="sk-SK"/>
              </w:rPr>
              <w:t> </w:t>
            </w:r>
            <w:r w:rsidR="00FB7555">
              <w:rPr>
                <w:rFonts w:asciiTheme="minorHAnsi" w:hAnsiTheme="minorHAnsi"/>
                <w:sz w:val="22"/>
                <w:szCs w:val="22"/>
                <w:lang w:val="sk-SK"/>
              </w:rPr>
              <w:t>neskôr</w:t>
            </w:r>
            <w:r w:rsidR="0036165F">
              <w:rPr>
                <w:rFonts w:asciiTheme="minorHAnsi" w:hAnsiTheme="minorHAnsi"/>
                <w:sz w:val="22"/>
                <w:szCs w:val="22"/>
                <w:lang w:val="sk-SK"/>
              </w:rPr>
              <w:t>,</w:t>
            </w:r>
            <w:r w:rsidR="00FB7555">
              <w:rPr>
                <w:rFonts w:asciiTheme="minorHAnsi" w:hAnsiTheme="minorHAnsi"/>
                <w:sz w:val="22"/>
                <w:szCs w:val="22"/>
                <w:lang w:val="sk-SK"/>
              </w:rPr>
              <w:t xml:space="preserve"> </w:t>
            </w:r>
            <w:r w:rsidR="00BC3E10">
              <w:rPr>
                <w:rFonts w:asciiTheme="minorHAnsi" w:hAnsiTheme="minorHAnsi"/>
                <w:sz w:val="22"/>
                <w:szCs w:val="22"/>
                <w:lang w:val="sk-SK"/>
              </w:rPr>
              <w:t>po našom pripomienkovaní</w:t>
            </w:r>
            <w:r w:rsidR="0036165F">
              <w:rPr>
                <w:rFonts w:asciiTheme="minorHAnsi" w:hAnsiTheme="minorHAnsi"/>
                <w:sz w:val="22"/>
                <w:szCs w:val="22"/>
                <w:lang w:val="sk-SK"/>
              </w:rPr>
              <w:t xml:space="preserve">, </w:t>
            </w:r>
            <w:r w:rsidR="00FB7555">
              <w:rPr>
                <w:rFonts w:asciiTheme="minorHAnsi" w:hAnsiTheme="minorHAnsi"/>
                <w:sz w:val="22"/>
                <w:szCs w:val="22"/>
                <w:lang w:val="sk-SK"/>
              </w:rPr>
              <w:t>bude návrh odovzdaný</w:t>
            </w:r>
            <w:r w:rsidR="00BC3E10">
              <w:rPr>
                <w:rFonts w:asciiTheme="minorHAnsi" w:hAnsiTheme="minorHAnsi"/>
                <w:sz w:val="22"/>
                <w:szCs w:val="22"/>
                <w:lang w:val="sk-SK"/>
              </w:rPr>
              <w:t xml:space="preserve"> na úpravu oddeleniu ministerskej legislatívy.</w:t>
            </w:r>
            <w:r w:rsidRPr="00332324">
              <w:rPr>
                <w:rFonts w:asciiTheme="minorHAnsi" w:hAnsiTheme="minorHAnsi"/>
                <w:sz w:val="22"/>
                <w:szCs w:val="22"/>
                <w:lang w:val="sk-SK"/>
              </w:rPr>
              <w:t xml:space="preserve"> </w:t>
            </w:r>
            <w:r w:rsidR="0065306E">
              <w:rPr>
                <w:rFonts w:asciiTheme="minorHAnsi" w:hAnsiTheme="minorHAnsi"/>
                <w:sz w:val="22"/>
                <w:szCs w:val="22"/>
                <w:lang w:val="sk-SK"/>
              </w:rPr>
              <w:t xml:space="preserve">Riešila sa </w:t>
            </w:r>
            <w:r w:rsidR="0036165F">
              <w:rPr>
                <w:rFonts w:asciiTheme="minorHAnsi" w:hAnsiTheme="minorHAnsi"/>
                <w:sz w:val="22"/>
                <w:szCs w:val="22"/>
                <w:lang w:val="sk-SK"/>
              </w:rPr>
              <w:t xml:space="preserve">aj </w:t>
            </w:r>
            <w:r w:rsidR="0065306E">
              <w:rPr>
                <w:rFonts w:asciiTheme="minorHAnsi" w:hAnsiTheme="minorHAnsi"/>
                <w:sz w:val="22"/>
                <w:szCs w:val="22"/>
                <w:lang w:val="sk-SK"/>
              </w:rPr>
              <w:t>otázka novej úpravy ustanovenia o CEPU v návrhu zákona. Členo</w:t>
            </w:r>
            <w:r w:rsidR="00FB7555">
              <w:rPr>
                <w:rFonts w:asciiTheme="minorHAnsi" w:hAnsiTheme="minorHAnsi"/>
                <w:sz w:val="22"/>
                <w:szCs w:val="22"/>
                <w:lang w:val="sk-SK"/>
              </w:rPr>
              <w:t>m</w:t>
            </w:r>
            <w:r w:rsidR="0065306E">
              <w:rPr>
                <w:rFonts w:asciiTheme="minorHAnsi" w:hAnsiTheme="minorHAnsi"/>
                <w:sz w:val="22"/>
                <w:szCs w:val="22"/>
                <w:lang w:val="sk-SK"/>
              </w:rPr>
              <w:t xml:space="preserve"> </w:t>
            </w:r>
            <w:r w:rsidR="00FE4998">
              <w:rPr>
                <w:rFonts w:asciiTheme="minorHAnsi" w:hAnsiTheme="minorHAnsi"/>
                <w:sz w:val="22"/>
                <w:szCs w:val="22"/>
                <w:lang w:val="sk-SK"/>
              </w:rPr>
              <w:t xml:space="preserve">LS </w:t>
            </w:r>
            <w:r w:rsidR="00FB7555">
              <w:rPr>
                <w:rFonts w:asciiTheme="minorHAnsi" w:hAnsiTheme="minorHAnsi"/>
                <w:sz w:val="22"/>
                <w:szCs w:val="22"/>
                <w:lang w:val="sk-SK"/>
              </w:rPr>
              <w:t>bola rozdaná</w:t>
            </w:r>
            <w:r w:rsidR="0065306E">
              <w:rPr>
                <w:rFonts w:asciiTheme="minorHAnsi" w:hAnsiTheme="minorHAnsi"/>
                <w:sz w:val="22"/>
                <w:szCs w:val="22"/>
                <w:lang w:val="sk-SK"/>
              </w:rPr>
              <w:t xml:space="preserve"> analýz</w:t>
            </w:r>
            <w:r w:rsidR="00FB7555">
              <w:rPr>
                <w:rFonts w:asciiTheme="minorHAnsi" w:hAnsiTheme="minorHAnsi"/>
                <w:sz w:val="22"/>
                <w:szCs w:val="22"/>
                <w:lang w:val="sk-SK"/>
              </w:rPr>
              <w:t>a</w:t>
            </w:r>
            <w:r w:rsidR="0065306E">
              <w:rPr>
                <w:rFonts w:asciiTheme="minorHAnsi" w:hAnsiTheme="minorHAnsi"/>
                <w:sz w:val="22"/>
                <w:szCs w:val="22"/>
                <w:lang w:val="sk-SK"/>
              </w:rPr>
              <w:t xml:space="preserve"> k CEPU.</w:t>
            </w:r>
          </w:p>
          <w:p w:rsidR="00350829" w:rsidRPr="00332324" w:rsidRDefault="00350829" w:rsidP="00A615A6">
            <w:pPr>
              <w:pStyle w:val="Hlavika"/>
              <w:tabs>
                <w:tab w:val="clear" w:pos="9072"/>
                <w:tab w:val="right" w:pos="9569"/>
              </w:tabs>
              <w:spacing w:line="276" w:lineRule="auto"/>
              <w:jc w:val="both"/>
              <w:rPr>
                <w:rFonts w:asciiTheme="minorHAnsi" w:hAnsiTheme="minorHAnsi"/>
                <w:sz w:val="22"/>
                <w:szCs w:val="22"/>
                <w:lang w:val="sk-SK"/>
              </w:rPr>
            </w:pPr>
            <w:r w:rsidRPr="00332324">
              <w:rPr>
                <w:rFonts w:asciiTheme="minorHAnsi" w:hAnsiTheme="minorHAnsi"/>
                <w:i/>
                <w:sz w:val="22"/>
                <w:szCs w:val="22"/>
                <w:u w:val="single"/>
                <w:lang w:val="sk-SK"/>
              </w:rPr>
              <w:t>Záver:</w:t>
            </w:r>
            <w:r w:rsidRPr="00332324">
              <w:rPr>
                <w:rFonts w:asciiTheme="minorHAnsi" w:hAnsiTheme="minorHAnsi"/>
                <w:sz w:val="22"/>
                <w:szCs w:val="22"/>
                <w:lang w:val="sk-SK"/>
              </w:rPr>
              <w:t xml:space="preserve"> </w:t>
            </w:r>
            <w:r w:rsidR="00BC3E10">
              <w:rPr>
                <w:rFonts w:asciiTheme="minorHAnsi" w:hAnsiTheme="minorHAnsi"/>
                <w:sz w:val="22"/>
                <w:szCs w:val="22"/>
                <w:lang w:val="sk-SK"/>
              </w:rPr>
              <w:t>aktívna účasť členov sekcie na finalizácii návrhu zákona</w:t>
            </w:r>
            <w:r w:rsidR="005F4143">
              <w:rPr>
                <w:rFonts w:asciiTheme="minorHAnsi" w:hAnsiTheme="minorHAnsi"/>
                <w:sz w:val="22"/>
                <w:szCs w:val="22"/>
                <w:lang w:val="sk-SK"/>
              </w:rPr>
              <w:t>;</w:t>
            </w:r>
            <w:r w:rsidR="0065306E">
              <w:rPr>
                <w:rFonts w:asciiTheme="minorHAnsi" w:hAnsiTheme="minorHAnsi"/>
                <w:sz w:val="22"/>
                <w:szCs w:val="22"/>
                <w:lang w:val="sk-SK"/>
              </w:rPr>
              <w:t xml:space="preserve"> rozmýšľať o znení nového ustanovenia CEPU</w:t>
            </w:r>
            <w:r w:rsidR="005F4143">
              <w:rPr>
                <w:rFonts w:asciiTheme="minorHAnsi" w:hAnsiTheme="minorHAnsi"/>
                <w:sz w:val="22"/>
                <w:szCs w:val="22"/>
                <w:lang w:val="sk-SK"/>
              </w:rPr>
              <w:t xml:space="preserve"> tak</w:t>
            </w:r>
            <w:r w:rsidR="0065306E">
              <w:rPr>
                <w:rFonts w:asciiTheme="minorHAnsi" w:hAnsiTheme="minorHAnsi"/>
                <w:sz w:val="22"/>
                <w:szCs w:val="22"/>
                <w:lang w:val="sk-SK"/>
              </w:rPr>
              <w:t xml:space="preserve">, aby pokryl požiadavky </w:t>
            </w:r>
            <w:r w:rsidR="005F4143">
              <w:rPr>
                <w:rFonts w:asciiTheme="minorHAnsi" w:hAnsiTheme="minorHAnsi"/>
                <w:sz w:val="22"/>
                <w:szCs w:val="22"/>
                <w:lang w:val="sk-SK"/>
              </w:rPr>
              <w:t xml:space="preserve">na </w:t>
            </w:r>
            <w:r w:rsidR="0065306E">
              <w:rPr>
                <w:rFonts w:asciiTheme="minorHAnsi" w:hAnsiTheme="minorHAnsi"/>
                <w:sz w:val="22"/>
                <w:szCs w:val="22"/>
                <w:lang w:val="sk-SK"/>
              </w:rPr>
              <w:t>CEPU a zároveň bol</w:t>
            </w:r>
            <w:r w:rsidR="00FE4998">
              <w:rPr>
                <w:rFonts w:asciiTheme="minorHAnsi" w:hAnsiTheme="minorHAnsi"/>
                <w:sz w:val="22"/>
                <w:szCs w:val="22"/>
                <w:lang w:val="sk-SK"/>
              </w:rPr>
              <w:t xml:space="preserve"> v súlad</w:t>
            </w:r>
            <w:r w:rsidR="004937F2">
              <w:rPr>
                <w:rFonts w:asciiTheme="minorHAnsi" w:hAnsiTheme="minorHAnsi"/>
                <w:sz w:val="22"/>
                <w:szCs w:val="22"/>
                <w:lang w:val="sk-SK"/>
              </w:rPr>
              <w:t>e</w:t>
            </w:r>
            <w:r w:rsidR="00FE4998">
              <w:rPr>
                <w:rFonts w:asciiTheme="minorHAnsi" w:hAnsiTheme="minorHAnsi"/>
                <w:sz w:val="22"/>
                <w:szCs w:val="22"/>
                <w:lang w:val="sk-SK"/>
              </w:rPr>
              <w:t> s legislatívou o ochrane osobných údajov.</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Textpoznmkypodiarou"/>
              <w:spacing w:line="276" w:lineRule="auto"/>
              <w:ind w:firstLine="60"/>
              <w:rPr>
                <w:rFonts w:asciiTheme="minorHAnsi" w:hAnsiTheme="minorHAnsi"/>
                <w:sz w:val="22"/>
                <w:szCs w:val="22"/>
                <w:lang w:val="sk-SK"/>
              </w:rPr>
            </w:pPr>
            <w:r w:rsidRPr="00332324">
              <w:rPr>
                <w:rFonts w:asciiTheme="minorHAnsi" w:hAnsiTheme="minorHAnsi"/>
                <w:sz w:val="22"/>
                <w:szCs w:val="22"/>
                <w:lang w:val="sk-SK"/>
              </w:rPr>
              <w:t>Lehotská</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Pta"/>
              <w:tabs>
                <w:tab w:val="clear" w:pos="4320"/>
                <w:tab w:val="clear" w:pos="8640"/>
              </w:tabs>
              <w:spacing w:line="276" w:lineRule="auto"/>
              <w:rPr>
                <w:rFonts w:asciiTheme="minorHAnsi" w:hAnsiTheme="minorHAnsi"/>
                <w:sz w:val="22"/>
                <w:szCs w:val="22"/>
                <w:lang w:val="sk-SK"/>
              </w:rPr>
            </w:pPr>
            <w:r w:rsidRPr="00332324">
              <w:rPr>
                <w:rFonts w:asciiTheme="minorHAnsi" w:hAnsiTheme="minorHAnsi"/>
                <w:sz w:val="22"/>
                <w:szCs w:val="22"/>
                <w:lang w:val="sk-SK"/>
              </w:rPr>
              <w:t>priebežne</w:t>
            </w:r>
          </w:p>
        </w:tc>
      </w:tr>
      <w:tr w:rsidR="00350829" w:rsidRPr="00332324" w:rsidTr="00255DC0">
        <w:trPr>
          <w:cantSplit/>
          <w:trHeight w:val="420"/>
        </w:trPr>
        <w:tc>
          <w:tcPr>
            <w:tcW w:w="708"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spacing w:after="0"/>
              <w:ind w:left="11"/>
              <w:jc w:val="both"/>
              <w:rPr>
                <w:b/>
              </w:rPr>
            </w:pPr>
            <w:r w:rsidRPr="00332324">
              <w:rPr>
                <w:b/>
              </w:rPr>
              <w:lastRenderedPageBreak/>
              <w:t>I/2</w:t>
            </w:r>
          </w:p>
        </w:tc>
        <w:tc>
          <w:tcPr>
            <w:tcW w:w="6309" w:type="dxa"/>
            <w:tcBorders>
              <w:top w:val="single" w:sz="4" w:space="0" w:color="auto"/>
              <w:left w:val="single" w:sz="4" w:space="0" w:color="auto"/>
              <w:bottom w:val="single" w:sz="4" w:space="0" w:color="auto"/>
              <w:right w:val="single" w:sz="4" w:space="0" w:color="auto"/>
            </w:tcBorders>
          </w:tcPr>
          <w:p w:rsidR="00350829" w:rsidRPr="00332324" w:rsidRDefault="00350829" w:rsidP="00A615A6">
            <w:pPr>
              <w:pStyle w:val="Textpoznmkypodiarou"/>
              <w:spacing w:line="276" w:lineRule="auto"/>
              <w:jc w:val="both"/>
              <w:rPr>
                <w:rFonts w:asciiTheme="minorHAnsi" w:hAnsiTheme="minorHAnsi"/>
                <w:color w:val="000000"/>
                <w:sz w:val="22"/>
                <w:szCs w:val="22"/>
                <w:lang w:val="sk-SK"/>
              </w:rPr>
            </w:pPr>
            <w:r w:rsidRPr="00332324">
              <w:rPr>
                <w:rFonts w:asciiTheme="minorHAnsi" w:hAnsiTheme="minorHAnsi"/>
                <w:color w:val="000000"/>
                <w:sz w:val="22"/>
                <w:szCs w:val="22"/>
                <w:lang w:val="sk-SK"/>
              </w:rPr>
              <w:t>K druhému bodu programu stretnutia:</w:t>
            </w:r>
          </w:p>
          <w:p w:rsidR="00350829" w:rsidRPr="00332324" w:rsidRDefault="00350829" w:rsidP="00A615A6">
            <w:pPr>
              <w:pStyle w:val="Textpoznmkypodiarou"/>
              <w:spacing w:line="276" w:lineRule="auto"/>
              <w:jc w:val="both"/>
              <w:rPr>
                <w:rFonts w:asciiTheme="minorHAnsi" w:hAnsiTheme="minorHAnsi"/>
                <w:color w:val="000000"/>
                <w:sz w:val="22"/>
                <w:szCs w:val="22"/>
                <w:lang w:val="sk-SK"/>
              </w:rPr>
            </w:pPr>
          </w:p>
          <w:p w:rsidR="00350829" w:rsidRPr="00332324" w:rsidRDefault="00350829" w:rsidP="000451E5">
            <w:pPr>
              <w:spacing w:after="0"/>
              <w:jc w:val="both"/>
              <w:rPr>
                <w:color w:val="000000"/>
              </w:rPr>
            </w:pPr>
            <w:r w:rsidRPr="00332324">
              <w:rPr>
                <w:color w:val="000000"/>
              </w:rPr>
              <w:t xml:space="preserve">- Členovia </w:t>
            </w:r>
            <w:r w:rsidR="000451E5">
              <w:rPr>
                <w:color w:val="000000"/>
              </w:rPr>
              <w:t>LS</w:t>
            </w:r>
            <w:r w:rsidRPr="00332324">
              <w:rPr>
                <w:color w:val="000000"/>
              </w:rPr>
              <w:t xml:space="preserve"> </w:t>
            </w:r>
            <w:r w:rsidR="00E02BD8">
              <w:rPr>
                <w:color w:val="000000"/>
              </w:rPr>
              <w:t xml:space="preserve">diskutovali o pripravovanej novelizácii OZ, či sa zamerať iba na nevyhnutnú novelizáciu vyplývajúcu zo smernice </w:t>
            </w:r>
            <w:proofErr w:type="spellStart"/>
            <w:r w:rsidR="00E02BD8">
              <w:rPr>
                <w:color w:val="000000"/>
              </w:rPr>
              <w:t>Solvency</w:t>
            </w:r>
            <w:proofErr w:type="spellEnd"/>
            <w:r w:rsidR="00E02BD8">
              <w:rPr>
                <w:color w:val="000000"/>
              </w:rPr>
              <w:t xml:space="preserve"> II alebo ísť nad rámec a riešiť ňou existujúce právne aplikačné problémy. MS SR súhlasí iba s nevyhnutnou novelizáciou OZ.</w:t>
            </w:r>
            <w:r w:rsidR="00FB7555">
              <w:rPr>
                <w:color w:val="000000"/>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350829" w:rsidRPr="00332324" w:rsidRDefault="00350829" w:rsidP="00A615A6">
            <w:pPr>
              <w:pStyle w:val="Textpoznmkypodiarou"/>
              <w:spacing w:line="276" w:lineRule="auto"/>
              <w:ind w:firstLine="60"/>
              <w:rPr>
                <w:rFonts w:asciiTheme="minorHAnsi" w:hAnsiTheme="minorHAnsi"/>
                <w:sz w:val="22"/>
                <w:szCs w:val="22"/>
                <w:lang w:val="sk-SK"/>
              </w:rPr>
            </w:pPr>
          </w:p>
        </w:tc>
        <w:tc>
          <w:tcPr>
            <w:tcW w:w="1264" w:type="dxa"/>
            <w:gridSpan w:val="2"/>
            <w:tcBorders>
              <w:top w:val="single" w:sz="4" w:space="0" w:color="auto"/>
              <w:left w:val="single" w:sz="4" w:space="0" w:color="auto"/>
              <w:bottom w:val="single" w:sz="4" w:space="0" w:color="auto"/>
              <w:right w:val="single" w:sz="4" w:space="0" w:color="auto"/>
            </w:tcBorders>
            <w:vAlign w:val="bottom"/>
          </w:tcPr>
          <w:p w:rsidR="00350829" w:rsidRPr="00332324" w:rsidRDefault="00350829" w:rsidP="00A615A6">
            <w:pPr>
              <w:pStyle w:val="Pta"/>
              <w:tabs>
                <w:tab w:val="clear" w:pos="4320"/>
                <w:tab w:val="clear" w:pos="8640"/>
              </w:tabs>
              <w:spacing w:line="276" w:lineRule="auto"/>
              <w:rPr>
                <w:rFonts w:asciiTheme="minorHAnsi" w:hAnsiTheme="minorHAnsi"/>
                <w:sz w:val="22"/>
                <w:szCs w:val="22"/>
                <w:lang w:val="sk-SK"/>
              </w:rPr>
            </w:pPr>
          </w:p>
        </w:tc>
      </w:tr>
      <w:tr w:rsidR="00350829" w:rsidRPr="00332324" w:rsidTr="00255DC0">
        <w:trPr>
          <w:cantSplit/>
          <w:trHeight w:val="217"/>
        </w:trPr>
        <w:tc>
          <w:tcPr>
            <w:tcW w:w="708"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spacing w:after="0"/>
              <w:ind w:left="11"/>
              <w:jc w:val="center"/>
              <w:rPr>
                <w:b/>
              </w:rPr>
            </w:pPr>
            <w:r w:rsidRPr="00332324">
              <w:rPr>
                <w:b/>
              </w:rPr>
              <w:t>I/3</w:t>
            </w:r>
          </w:p>
        </w:tc>
        <w:tc>
          <w:tcPr>
            <w:tcW w:w="6309"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Textpoznmkypodiarou"/>
              <w:spacing w:line="276" w:lineRule="auto"/>
              <w:jc w:val="both"/>
              <w:rPr>
                <w:rFonts w:asciiTheme="minorHAnsi" w:hAnsiTheme="minorHAnsi"/>
                <w:b/>
                <w:sz w:val="22"/>
                <w:szCs w:val="22"/>
                <w:lang w:val="sk-SK"/>
              </w:rPr>
            </w:pPr>
            <w:r w:rsidRPr="00332324">
              <w:rPr>
                <w:rFonts w:asciiTheme="minorHAnsi" w:hAnsiTheme="minorHAnsi"/>
                <w:sz w:val="22"/>
                <w:szCs w:val="22"/>
                <w:lang w:val="sk-SK"/>
              </w:rPr>
              <w:t>K tretiemu bodu programu stretnutia:</w:t>
            </w:r>
          </w:p>
          <w:p w:rsidR="00350829" w:rsidRPr="00332324" w:rsidRDefault="00350829" w:rsidP="00A615A6">
            <w:pPr>
              <w:pStyle w:val="Textpoznmkypodiarou"/>
              <w:spacing w:line="276" w:lineRule="auto"/>
              <w:jc w:val="both"/>
              <w:rPr>
                <w:rFonts w:asciiTheme="minorHAnsi" w:hAnsiTheme="minorHAnsi"/>
                <w:b/>
                <w:sz w:val="22"/>
                <w:szCs w:val="22"/>
                <w:lang w:val="sk-SK"/>
              </w:rPr>
            </w:pPr>
          </w:p>
          <w:p w:rsidR="00350829" w:rsidRPr="00332324" w:rsidRDefault="00350829" w:rsidP="00A615A6">
            <w:pPr>
              <w:pStyle w:val="Textpoznmkypodiarou"/>
              <w:spacing w:line="276" w:lineRule="auto"/>
              <w:jc w:val="both"/>
              <w:rPr>
                <w:rFonts w:asciiTheme="minorHAnsi" w:hAnsiTheme="minorHAnsi"/>
                <w:sz w:val="22"/>
                <w:szCs w:val="22"/>
                <w:lang w:val="sk-SK"/>
              </w:rPr>
            </w:pPr>
            <w:r w:rsidRPr="00332324">
              <w:rPr>
                <w:rFonts w:asciiTheme="minorHAnsi" w:hAnsiTheme="minorHAnsi"/>
                <w:b/>
                <w:sz w:val="22"/>
                <w:szCs w:val="22"/>
                <w:lang w:val="sk-SK"/>
              </w:rPr>
              <w:t xml:space="preserve">-  </w:t>
            </w:r>
            <w:r w:rsidRPr="00190A45">
              <w:rPr>
                <w:rFonts w:asciiTheme="minorHAnsi" w:hAnsiTheme="minorHAnsi"/>
                <w:sz w:val="22"/>
                <w:szCs w:val="22"/>
                <w:lang w:val="sk-SK"/>
              </w:rPr>
              <w:t>Č</w:t>
            </w:r>
            <w:r w:rsidRPr="00332324">
              <w:rPr>
                <w:rFonts w:asciiTheme="minorHAnsi" w:hAnsiTheme="minorHAnsi"/>
                <w:sz w:val="22"/>
                <w:szCs w:val="22"/>
                <w:lang w:val="sk-SK"/>
              </w:rPr>
              <w:t xml:space="preserve">lenovia </w:t>
            </w:r>
            <w:r w:rsidR="000451E5">
              <w:rPr>
                <w:rFonts w:asciiTheme="minorHAnsi" w:hAnsiTheme="minorHAnsi"/>
                <w:sz w:val="22"/>
                <w:szCs w:val="22"/>
                <w:lang w:val="sk-SK"/>
              </w:rPr>
              <w:t>LS</w:t>
            </w:r>
            <w:r w:rsidRPr="00332324">
              <w:rPr>
                <w:rFonts w:asciiTheme="minorHAnsi" w:hAnsiTheme="minorHAnsi"/>
                <w:sz w:val="22"/>
                <w:szCs w:val="22"/>
                <w:lang w:val="sk-SK"/>
              </w:rPr>
              <w:t xml:space="preserve"> diskutovali o </w:t>
            </w:r>
            <w:proofErr w:type="spellStart"/>
            <w:r w:rsidR="00FB7555">
              <w:rPr>
                <w:rFonts w:asciiTheme="minorHAnsi" w:hAnsiTheme="minorHAnsi"/>
                <w:sz w:val="22"/>
                <w:szCs w:val="22"/>
                <w:lang w:val="sk-SK"/>
              </w:rPr>
              <w:t>guidelines</w:t>
            </w:r>
            <w:proofErr w:type="spellEnd"/>
            <w:r w:rsidR="00FB7555">
              <w:rPr>
                <w:rFonts w:asciiTheme="minorHAnsi" w:hAnsiTheme="minorHAnsi"/>
                <w:sz w:val="22"/>
                <w:szCs w:val="22"/>
                <w:lang w:val="sk-SK"/>
              </w:rPr>
              <w:t xml:space="preserve"> EK</w:t>
            </w:r>
            <w:r w:rsidR="00FB7555" w:rsidRPr="00332324">
              <w:rPr>
                <w:rFonts w:asciiTheme="minorHAnsi" w:hAnsiTheme="minorHAnsi"/>
                <w:sz w:val="22"/>
                <w:szCs w:val="22"/>
                <w:lang w:val="sk-SK"/>
              </w:rPr>
              <w:t xml:space="preserve"> </w:t>
            </w:r>
            <w:r w:rsidR="00FB7555">
              <w:rPr>
                <w:rFonts w:asciiTheme="minorHAnsi" w:hAnsiTheme="minorHAnsi"/>
                <w:sz w:val="22"/>
                <w:szCs w:val="22"/>
                <w:lang w:val="sk-SK"/>
              </w:rPr>
              <w:t xml:space="preserve">k </w:t>
            </w:r>
            <w:r w:rsidRPr="00332324">
              <w:rPr>
                <w:rFonts w:asciiTheme="minorHAnsi" w:hAnsiTheme="minorHAnsi"/>
                <w:sz w:val="22"/>
                <w:szCs w:val="22"/>
                <w:lang w:val="sk-SK"/>
              </w:rPr>
              <w:t>rozsudku Súdneho dvora Európskej únie vo veci zákazu uplatňovania výnimky,</w:t>
            </w:r>
            <w:r w:rsidRPr="00332324">
              <w:rPr>
                <w:rFonts w:asciiTheme="minorHAnsi" w:hAnsiTheme="minorHAnsi"/>
                <w:color w:val="000000"/>
                <w:sz w:val="22"/>
                <w:szCs w:val="22"/>
                <w:lang w:val="sk-SK"/>
              </w:rPr>
              <w:t xml:space="preserve"> ktorá umožňuje zohľadňovať špecifiká pohlaví ako určujúci rizikový faktor pri výške poistného a ďalších podmienkach</w:t>
            </w:r>
            <w:r w:rsidRPr="00332324">
              <w:rPr>
                <w:rFonts w:asciiTheme="minorHAnsi" w:hAnsiTheme="minorHAnsi"/>
                <w:sz w:val="22"/>
                <w:szCs w:val="22"/>
                <w:lang w:val="sk-SK"/>
              </w:rPr>
              <w:t xml:space="preserve">. </w:t>
            </w:r>
            <w:r w:rsidR="00FB7555">
              <w:rPr>
                <w:rFonts w:asciiTheme="minorHAnsi" w:hAnsiTheme="minorHAnsi"/>
                <w:sz w:val="22"/>
                <w:szCs w:val="22"/>
                <w:lang w:val="sk-SK"/>
              </w:rPr>
              <w:t>Z</w:t>
            </w:r>
            <w:r w:rsidRPr="00332324">
              <w:rPr>
                <w:rFonts w:asciiTheme="minorHAnsi" w:hAnsiTheme="minorHAnsi"/>
                <w:sz w:val="22"/>
                <w:szCs w:val="22"/>
                <w:lang w:val="sk-SK"/>
              </w:rPr>
              <w:t xml:space="preserve">ákaz uplatňovania výnimky platí pre poistky uzavreté po 21.12.2012. </w:t>
            </w:r>
            <w:r w:rsidR="00FB7555">
              <w:rPr>
                <w:rFonts w:asciiTheme="minorHAnsi" w:hAnsiTheme="minorHAnsi"/>
                <w:sz w:val="22"/>
                <w:szCs w:val="22"/>
                <w:lang w:val="sk-SK"/>
              </w:rPr>
              <w:t>Členovia LS diskutovali o konkrétnych prípadoch (napr. navýšenie, zníženie cieľovej sumy), ktoré rozsudok ESD ovplyvní.</w:t>
            </w:r>
          </w:p>
          <w:p w:rsidR="00350829" w:rsidRPr="00332324" w:rsidRDefault="00350829" w:rsidP="00A615A6">
            <w:pPr>
              <w:pStyle w:val="Textpoznmkypodiarou"/>
              <w:spacing w:line="276" w:lineRule="auto"/>
              <w:jc w:val="both"/>
              <w:rPr>
                <w:rFonts w:asciiTheme="minorHAnsi" w:hAnsiTheme="minorHAnsi"/>
                <w:sz w:val="22"/>
                <w:szCs w:val="22"/>
                <w:lang w:val="sk-SK"/>
              </w:rPr>
            </w:pPr>
            <w:r w:rsidRPr="00332324">
              <w:rPr>
                <w:rFonts w:asciiTheme="minorHAnsi" w:hAnsiTheme="minorHAnsi"/>
                <w:i/>
                <w:sz w:val="22"/>
                <w:szCs w:val="22"/>
                <w:u w:val="single"/>
                <w:lang w:val="sk-SK"/>
              </w:rPr>
              <w:t>Záver:</w:t>
            </w:r>
            <w:r w:rsidRPr="00332324">
              <w:rPr>
                <w:rFonts w:asciiTheme="minorHAnsi" w:hAnsiTheme="minorHAnsi"/>
                <w:sz w:val="22"/>
                <w:szCs w:val="22"/>
                <w:lang w:val="sk-SK"/>
              </w:rPr>
              <w:t xml:space="preserve"> </w:t>
            </w:r>
            <w:r w:rsidR="00FB7555">
              <w:rPr>
                <w:rFonts w:asciiTheme="minorHAnsi" w:hAnsiTheme="minorHAnsi"/>
                <w:sz w:val="22"/>
                <w:szCs w:val="22"/>
                <w:lang w:val="sk-SK"/>
              </w:rPr>
              <w:t>Zbierať konkrétne vstupy pre prístup regulátora.</w:t>
            </w:r>
          </w:p>
          <w:p w:rsidR="00350829" w:rsidRPr="00332324" w:rsidRDefault="00350829" w:rsidP="00A615A6">
            <w:pPr>
              <w:pStyle w:val="Textpoznmkypodiarou"/>
              <w:spacing w:line="276" w:lineRule="auto"/>
              <w:jc w:val="both"/>
              <w:rPr>
                <w:rFonts w:asciiTheme="minorHAnsi" w:hAnsiTheme="minorHAnsi"/>
                <w:b/>
                <w:sz w:val="22"/>
                <w:szCs w:val="22"/>
                <w:lang w:val="sk-SK"/>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Textpoznmkypodiarou"/>
              <w:spacing w:line="276" w:lineRule="auto"/>
              <w:ind w:firstLine="60"/>
              <w:rPr>
                <w:rFonts w:asciiTheme="minorHAnsi" w:hAnsiTheme="minorHAnsi"/>
                <w:sz w:val="22"/>
                <w:szCs w:val="22"/>
                <w:lang w:val="sk-SK"/>
              </w:rPr>
            </w:pPr>
            <w:r w:rsidRPr="00332324">
              <w:rPr>
                <w:rFonts w:asciiTheme="minorHAnsi" w:hAnsiTheme="minorHAnsi"/>
                <w:sz w:val="22"/>
                <w:szCs w:val="22"/>
                <w:lang w:val="sk-SK"/>
              </w:rPr>
              <w:t>Lehotská</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Pta"/>
              <w:tabs>
                <w:tab w:val="clear" w:pos="4320"/>
                <w:tab w:val="clear" w:pos="8640"/>
              </w:tabs>
              <w:spacing w:line="276" w:lineRule="auto"/>
              <w:rPr>
                <w:rFonts w:asciiTheme="minorHAnsi" w:hAnsiTheme="minorHAnsi"/>
                <w:sz w:val="22"/>
                <w:szCs w:val="22"/>
                <w:lang w:val="sk-SK"/>
              </w:rPr>
            </w:pPr>
            <w:r w:rsidRPr="00332324">
              <w:rPr>
                <w:rFonts w:asciiTheme="minorHAnsi" w:hAnsiTheme="minorHAnsi"/>
                <w:sz w:val="22"/>
                <w:szCs w:val="22"/>
                <w:lang w:val="sk-SK"/>
              </w:rPr>
              <w:t>aktuálne</w:t>
            </w:r>
          </w:p>
        </w:tc>
      </w:tr>
      <w:tr w:rsidR="00350829" w:rsidRPr="00332324" w:rsidTr="00255DC0">
        <w:trPr>
          <w:cantSplit/>
          <w:trHeight w:val="217"/>
        </w:trPr>
        <w:tc>
          <w:tcPr>
            <w:tcW w:w="708"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spacing w:after="0"/>
              <w:ind w:left="11"/>
              <w:jc w:val="center"/>
              <w:rPr>
                <w:b/>
              </w:rPr>
            </w:pPr>
            <w:r w:rsidRPr="00332324">
              <w:rPr>
                <w:b/>
              </w:rPr>
              <w:t xml:space="preserve">I/4   </w:t>
            </w:r>
          </w:p>
        </w:tc>
        <w:tc>
          <w:tcPr>
            <w:tcW w:w="6309"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Textpoznmkypodiarou"/>
              <w:spacing w:line="276" w:lineRule="auto"/>
              <w:jc w:val="both"/>
              <w:rPr>
                <w:rFonts w:asciiTheme="minorHAnsi" w:hAnsiTheme="minorHAnsi"/>
                <w:color w:val="000000"/>
                <w:sz w:val="22"/>
                <w:szCs w:val="22"/>
                <w:lang w:val="sk-SK"/>
              </w:rPr>
            </w:pPr>
            <w:r w:rsidRPr="00332324">
              <w:rPr>
                <w:rFonts w:asciiTheme="minorHAnsi" w:hAnsiTheme="minorHAnsi"/>
                <w:color w:val="000000"/>
                <w:sz w:val="22"/>
                <w:szCs w:val="22"/>
                <w:lang w:val="sk-SK"/>
              </w:rPr>
              <w:t>K štvrtému bodu programu stretnutia:</w:t>
            </w:r>
          </w:p>
          <w:p w:rsidR="00350829" w:rsidRPr="00332324" w:rsidRDefault="00350829" w:rsidP="00A615A6">
            <w:pPr>
              <w:pStyle w:val="Textpoznmkypodiarou"/>
              <w:spacing w:line="276" w:lineRule="auto"/>
              <w:jc w:val="both"/>
              <w:rPr>
                <w:rFonts w:asciiTheme="minorHAnsi" w:hAnsiTheme="minorHAnsi"/>
                <w:color w:val="000000"/>
                <w:sz w:val="22"/>
                <w:szCs w:val="22"/>
                <w:lang w:val="sk-SK"/>
              </w:rPr>
            </w:pPr>
          </w:p>
          <w:p w:rsidR="00350829" w:rsidRDefault="00350829" w:rsidP="00A615A6">
            <w:pPr>
              <w:autoSpaceDE w:val="0"/>
              <w:autoSpaceDN w:val="0"/>
              <w:adjustRightInd w:val="0"/>
              <w:spacing w:after="0"/>
              <w:jc w:val="both"/>
              <w:rPr>
                <w:color w:val="000000"/>
              </w:rPr>
            </w:pPr>
            <w:r w:rsidRPr="00332324">
              <w:rPr>
                <w:color w:val="000000"/>
              </w:rPr>
              <w:t xml:space="preserve">-  Členovia </w:t>
            </w:r>
            <w:r w:rsidR="000451E5">
              <w:rPr>
                <w:color w:val="000000"/>
              </w:rPr>
              <w:t>LS</w:t>
            </w:r>
            <w:r w:rsidRPr="00332324">
              <w:rPr>
                <w:color w:val="000000"/>
              </w:rPr>
              <w:t xml:space="preserve"> diskutovali o</w:t>
            </w:r>
            <w:r w:rsidR="00C81620">
              <w:rPr>
                <w:color w:val="000000"/>
              </w:rPr>
              <w:t> o ďalšom postupe vo veci jednotného vinkulačného tlačiva. Očakáva sa zaslanie návrhu vinkulačného tlačiva od SBA so zapracovanými pripomienkami zástupcov bánk.</w:t>
            </w:r>
          </w:p>
          <w:p w:rsidR="00C81620" w:rsidRPr="00C81620" w:rsidRDefault="00C81620" w:rsidP="00A615A6">
            <w:pPr>
              <w:autoSpaceDE w:val="0"/>
              <w:autoSpaceDN w:val="0"/>
              <w:adjustRightInd w:val="0"/>
              <w:spacing w:after="0"/>
              <w:jc w:val="both"/>
              <w:rPr>
                <w:bCs/>
                <w:color w:val="231F20"/>
              </w:rPr>
            </w:pPr>
            <w:r w:rsidRPr="00C81620">
              <w:rPr>
                <w:i/>
                <w:color w:val="000000"/>
                <w:u w:val="single"/>
              </w:rPr>
              <w:t>Záver:</w:t>
            </w:r>
            <w:r>
              <w:rPr>
                <w:color w:val="000000"/>
              </w:rPr>
              <w:t xml:space="preserve"> Po doručení návrhu tlačiva dohodneme stretnutie členov LS na pôde SLASPO a potom na pôde SBA.</w:t>
            </w:r>
          </w:p>
          <w:p w:rsidR="00350829" w:rsidRPr="00332324" w:rsidRDefault="00350829" w:rsidP="00A615A6">
            <w:pPr>
              <w:pStyle w:val="Textpoznmkypodiarou"/>
              <w:spacing w:line="276" w:lineRule="auto"/>
              <w:jc w:val="both"/>
              <w:rPr>
                <w:rFonts w:asciiTheme="minorHAnsi" w:hAnsiTheme="minorHAnsi"/>
                <w:color w:val="000000"/>
                <w:sz w:val="22"/>
                <w:szCs w:val="22"/>
                <w:lang w:val="sk-SK"/>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190A45" w:rsidP="00A615A6">
            <w:pPr>
              <w:pStyle w:val="Textpoznmkypodiarou"/>
              <w:spacing w:line="276" w:lineRule="auto"/>
              <w:ind w:firstLine="60"/>
              <w:rPr>
                <w:rFonts w:asciiTheme="minorHAnsi" w:hAnsiTheme="minorHAnsi"/>
                <w:b/>
                <w:i/>
                <w:color w:val="000000"/>
                <w:sz w:val="22"/>
                <w:szCs w:val="22"/>
                <w:lang w:val="sk-SK"/>
              </w:rPr>
            </w:pPr>
            <w:r w:rsidRPr="00332324">
              <w:rPr>
                <w:rFonts w:asciiTheme="minorHAnsi" w:hAnsiTheme="minorHAnsi"/>
                <w:sz w:val="22"/>
                <w:szCs w:val="22"/>
                <w:lang w:val="sk-SK"/>
              </w:rPr>
              <w:t>Lehotská</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190A45" w:rsidP="00A615A6">
            <w:pPr>
              <w:pStyle w:val="Pta"/>
              <w:tabs>
                <w:tab w:val="clear" w:pos="4320"/>
                <w:tab w:val="clear" w:pos="8640"/>
              </w:tabs>
              <w:spacing w:line="276" w:lineRule="auto"/>
              <w:rPr>
                <w:rFonts w:asciiTheme="minorHAnsi" w:hAnsiTheme="minorHAnsi"/>
                <w:b/>
                <w:i/>
                <w:color w:val="000000"/>
                <w:sz w:val="22"/>
                <w:szCs w:val="22"/>
                <w:lang w:val="sk-SK"/>
              </w:rPr>
            </w:pPr>
            <w:r w:rsidRPr="00332324">
              <w:rPr>
                <w:rFonts w:asciiTheme="minorHAnsi" w:hAnsiTheme="minorHAnsi"/>
                <w:sz w:val="22"/>
                <w:szCs w:val="22"/>
                <w:lang w:val="sk-SK"/>
              </w:rPr>
              <w:t>aktuálne</w:t>
            </w:r>
          </w:p>
        </w:tc>
      </w:tr>
      <w:tr w:rsidR="00350829" w:rsidRPr="00332324" w:rsidTr="00255DC0">
        <w:trPr>
          <w:cantSplit/>
          <w:trHeight w:val="217"/>
        </w:trPr>
        <w:tc>
          <w:tcPr>
            <w:tcW w:w="708"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spacing w:after="0"/>
              <w:ind w:left="11"/>
              <w:jc w:val="center"/>
              <w:rPr>
                <w:b/>
              </w:rPr>
            </w:pPr>
            <w:r w:rsidRPr="00332324">
              <w:rPr>
                <w:b/>
              </w:rPr>
              <w:t>I/5</w:t>
            </w:r>
          </w:p>
        </w:tc>
        <w:tc>
          <w:tcPr>
            <w:tcW w:w="6309"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Hlavika"/>
              <w:tabs>
                <w:tab w:val="clear" w:pos="9072"/>
                <w:tab w:val="right" w:pos="9569"/>
              </w:tabs>
              <w:spacing w:line="276" w:lineRule="auto"/>
              <w:jc w:val="both"/>
              <w:rPr>
                <w:rFonts w:asciiTheme="minorHAnsi" w:hAnsiTheme="minorHAnsi"/>
                <w:color w:val="000000"/>
                <w:sz w:val="22"/>
                <w:szCs w:val="22"/>
                <w:lang w:val="sk-SK"/>
              </w:rPr>
            </w:pPr>
            <w:r w:rsidRPr="00332324">
              <w:rPr>
                <w:rFonts w:asciiTheme="minorHAnsi" w:hAnsiTheme="minorHAnsi"/>
                <w:color w:val="000000"/>
                <w:sz w:val="22"/>
                <w:szCs w:val="22"/>
                <w:lang w:val="sk-SK"/>
              </w:rPr>
              <w:t xml:space="preserve">K piatemu bodu programu stretnutia: </w:t>
            </w:r>
          </w:p>
          <w:p w:rsidR="00350829" w:rsidRPr="00332324" w:rsidRDefault="00350829" w:rsidP="00A615A6">
            <w:pPr>
              <w:pStyle w:val="Hlavika"/>
              <w:tabs>
                <w:tab w:val="clear" w:pos="9072"/>
                <w:tab w:val="right" w:pos="9569"/>
              </w:tabs>
              <w:spacing w:line="276" w:lineRule="auto"/>
              <w:jc w:val="both"/>
              <w:rPr>
                <w:rFonts w:asciiTheme="minorHAnsi" w:hAnsiTheme="minorHAnsi"/>
                <w:color w:val="000000"/>
                <w:sz w:val="22"/>
                <w:szCs w:val="22"/>
                <w:lang w:val="sk-SK"/>
              </w:rPr>
            </w:pPr>
          </w:p>
          <w:p w:rsidR="00350829" w:rsidRPr="00332324" w:rsidRDefault="00350829" w:rsidP="00A615A6">
            <w:pPr>
              <w:pStyle w:val="Hlavika"/>
              <w:numPr>
                <w:ilvl w:val="0"/>
                <w:numId w:val="12"/>
              </w:numPr>
              <w:tabs>
                <w:tab w:val="clear" w:pos="4536"/>
                <w:tab w:val="clear" w:pos="9072"/>
                <w:tab w:val="center" w:pos="178"/>
                <w:tab w:val="right" w:pos="9569"/>
              </w:tabs>
              <w:spacing w:line="276" w:lineRule="auto"/>
              <w:ind w:left="36" w:firstLine="0"/>
              <w:jc w:val="both"/>
              <w:rPr>
                <w:rFonts w:asciiTheme="minorHAnsi" w:hAnsiTheme="minorHAnsi"/>
                <w:sz w:val="22"/>
                <w:szCs w:val="22"/>
                <w:lang w:val="sk-SK"/>
              </w:rPr>
            </w:pPr>
            <w:r w:rsidRPr="00332324">
              <w:rPr>
                <w:rFonts w:asciiTheme="minorHAnsi" w:hAnsiTheme="minorHAnsi"/>
                <w:sz w:val="22"/>
                <w:szCs w:val="22"/>
                <w:lang w:val="sk-SK"/>
              </w:rPr>
              <w:t xml:space="preserve">Členovia </w:t>
            </w:r>
            <w:r w:rsidR="000451E5">
              <w:rPr>
                <w:rFonts w:asciiTheme="minorHAnsi" w:hAnsiTheme="minorHAnsi"/>
                <w:sz w:val="22"/>
                <w:szCs w:val="22"/>
                <w:lang w:val="sk-SK"/>
              </w:rPr>
              <w:t>LS</w:t>
            </w:r>
            <w:r w:rsidRPr="00332324">
              <w:rPr>
                <w:rFonts w:asciiTheme="minorHAnsi" w:hAnsiTheme="minorHAnsi"/>
                <w:sz w:val="22"/>
                <w:szCs w:val="22"/>
                <w:lang w:val="sk-SK"/>
              </w:rPr>
              <w:t xml:space="preserve"> </w:t>
            </w:r>
            <w:r w:rsidR="007F4237">
              <w:rPr>
                <w:rFonts w:asciiTheme="minorHAnsi" w:hAnsiTheme="minorHAnsi"/>
                <w:sz w:val="22"/>
                <w:szCs w:val="22"/>
                <w:lang w:val="sk-SK"/>
              </w:rPr>
              <w:t>diskutovali o balíku ADR a zhodli sa, že vytvorenie ADR mechanizmu pre poisťovníctvo je podľa návrhu smernice v rukách relevantného ministerstva.</w:t>
            </w:r>
          </w:p>
          <w:p w:rsidR="00350829" w:rsidRPr="00332324" w:rsidRDefault="00350829" w:rsidP="00A615A6">
            <w:pPr>
              <w:pStyle w:val="Hlavika"/>
              <w:tabs>
                <w:tab w:val="clear" w:pos="9072"/>
                <w:tab w:val="right" w:pos="9569"/>
              </w:tabs>
              <w:spacing w:line="276" w:lineRule="auto"/>
              <w:jc w:val="both"/>
              <w:rPr>
                <w:rFonts w:asciiTheme="minorHAnsi" w:hAnsiTheme="minorHAnsi"/>
                <w:sz w:val="22"/>
                <w:szCs w:val="22"/>
                <w:lang w:val="sk-SK"/>
              </w:rPr>
            </w:pPr>
            <w:r w:rsidRPr="00332324">
              <w:rPr>
                <w:rFonts w:asciiTheme="minorHAnsi" w:hAnsiTheme="minorHAnsi"/>
                <w:i/>
                <w:sz w:val="22"/>
                <w:szCs w:val="22"/>
                <w:u w:val="single"/>
                <w:lang w:val="sk-SK"/>
              </w:rPr>
              <w:t>Záver:</w:t>
            </w:r>
            <w:r w:rsidRPr="00332324">
              <w:rPr>
                <w:rFonts w:asciiTheme="minorHAnsi" w:hAnsiTheme="minorHAnsi"/>
                <w:sz w:val="22"/>
                <w:szCs w:val="22"/>
                <w:lang w:val="sk-SK"/>
              </w:rPr>
              <w:t xml:space="preserve"> </w:t>
            </w:r>
            <w:r w:rsidR="007F4237">
              <w:rPr>
                <w:rFonts w:asciiTheme="minorHAnsi" w:hAnsiTheme="minorHAnsi"/>
                <w:sz w:val="22"/>
                <w:szCs w:val="22"/>
                <w:lang w:val="sk-SK"/>
              </w:rPr>
              <w:t>Osloviť bankového ombudsmana (Eva Černá), pokúsiť sa získať negatívne rozhodnutia, ktoré ním boli vydané</w:t>
            </w:r>
            <w:r w:rsidRPr="00332324">
              <w:rPr>
                <w:rFonts w:asciiTheme="minorHAnsi" w:hAnsiTheme="minorHAnsi"/>
                <w:sz w:val="22"/>
                <w:szCs w:val="22"/>
                <w:lang w:val="sk-SK"/>
              </w:rPr>
              <w:t>.</w:t>
            </w:r>
          </w:p>
          <w:p w:rsidR="00350829" w:rsidRPr="00332324" w:rsidRDefault="00350829" w:rsidP="00A615A6">
            <w:pPr>
              <w:pStyle w:val="Textpoznmkypodiarou"/>
              <w:spacing w:line="276" w:lineRule="auto"/>
              <w:jc w:val="both"/>
              <w:rPr>
                <w:rFonts w:asciiTheme="minorHAnsi" w:hAnsiTheme="minorHAnsi"/>
                <w:sz w:val="22"/>
                <w:szCs w:val="22"/>
                <w:lang w:val="sk-SK"/>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Textpoznmkypodiarou"/>
              <w:spacing w:line="276" w:lineRule="auto"/>
              <w:ind w:firstLine="60"/>
              <w:rPr>
                <w:rFonts w:asciiTheme="minorHAnsi" w:hAnsiTheme="minorHAnsi"/>
                <w:sz w:val="22"/>
                <w:szCs w:val="22"/>
                <w:lang w:val="sk-SK"/>
              </w:rPr>
            </w:pPr>
            <w:r w:rsidRPr="00332324">
              <w:rPr>
                <w:rFonts w:asciiTheme="minorHAnsi" w:hAnsiTheme="minorHAnsi"/>
                <w:sz w:val="22"/>
                <w:szCs w:val="22"/>
                <w:lang w:val="sk-SK"/>
              </w:rPr>
              <w:t>Lehotská</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Pta"/>
              <w:tabs>
                <w:tab w:val="clear" w:pos="4320"/>
                <w:tab w:val="clear" w:pos="8640"/>
              </w:tabs>
              <w:spacing w:line="276" w:lineRule="auto"/>
              <w:rPr>
                <w:rFonts w:asciiTheme="minorHAnsi" w:hAnsiTheme="minorHAnsi"/>
                <w:sz w:val="22"/>
                <w:szCs w:val="22"/>
                <w:lang w:val="sk-SK"/>
              </w:rPr>
            </w:pPr>
            <w:r w:rsidRPr="00332324">
              <w:rPr>
                <w:rFonts w:asciiTheme="minorHAnsi" w:hAnsiTheme="minorHAnsi"/>
                <w:sz w:val="22"/>
                <w:szCs w:val="22"/>
                <w:lang w:val="sk-SK"/>
              </w:rPr>
              <w:t>priebežne</w:t>
            </w:r>
          </w:p>
        </w:tc>
      </w:tr>
      <w:tr w:rsidR="00350829" w:rsidRPr="00332324" w:rsidTr="00255DC0">
        <w:trPr>
          <w:cantSplit/>
          <w:trHeight w:val="217"/>
        </w:trPr>
        <w:tc>
          <w:tcPr>
            <w:tcW w:w="708" w:type="dxa"/>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spacing w:after="0"/>
              <w:jc w:val="center"/>
              <w:rPr>
                <w:b/>
              </w:rPr>
            </w:pPr>
            <w:r w:rsidRPr="00332324">
              <w:rPr>
                <w:b/>
              </w:rPr>
              <w:t>I/6</w:t>
            </w:r>
          </w:p>
        </w:tc>
        <w:tc>
          <w:tcPr>
            <w:tcW w:w="6309" w:type="dxa"/>
            <w:tcBorders>
              <w:top w:val="single" w:sz="4" w:space="0" w:color="auto"/>
              <w:left w:val="single" w:sz="4" w:space="0" w:color="auto"/>
              <w:bottom w:val="single" w:sz="4" w:space="0" w:color="auto"/>
              <w:right w:val="single" w:sz="4" w:space="0" w:color="auto"/>
            </w:tcBorders>
          </w:tcPr>
          <w:p w:rsidR="00350829" w:rsidRPr="00332324" w:rsidRDefault="00350829" w:rsidP="00A615A6">
            <w:pPr>
              <w:pStyle w:val="Hlavika"/>
              <w:tabs>
                <w:tab w:val="clear" w:pos="9072"/>
                <w:tab w:val="right" w:pos="9569"/>
              </w:tabs>
              <w:spacing w:line="276" w:lineRule="auto"/>
              <w:jc w:val="both"/>
              <w:rPr>
                <w:rFonts w:asciiTheme="minorHAnsi" w:hAnsiTheme="minorHAnsi"/>
                <w:color w:val="000000"/>
                <w:sz w:val="22"/>
                <w:szCs w:val="22"/>
                <w:lang w:val="sk-SK"/>
              </w:rPr>
            </w:pPr>
            <w:r w:rsidRPr="00332324">
              <w:rPr>
                <w:rFonts w:asciiTheme="minorHAnsi" w:hAnsiTheme="minorHAnsi"/>
                <w:color w:val="000000"/>
                <w:sz w:val="22"/>
                <w:szCs w:val="22"/>
                <w:lang w:val="sk-SK"/>
              </w:rPr>
              <w:t xml:space="preserve">K šiestemu bodu programu stretnutia: </w:t>
            </w:r>
          </w:p>
          <w:p w:rsidR="00350829" w:rsidRPr="00332324" w:rsidRDefault="00350829" w:rsidP="00A615A6">
            <w:pPr>
              <w:pStyle w:val="Textpoznmkypodiarou"/>
              <w:spacing w:line="276" w:lineRule="auto"/>
              <w:jc w:val="both"/>
              <w:rPr>
                <w:rFonts w:asciiTheme="minorHAnsi" w:hAnsiTheme="minorHAnsi"/>
                <w:sz w:val="22"/>
                <w:szCs w:val="22"/>
                <w:lang w:val="sk-SK"/>
              </w:rPr>
            </w:pPr>
          </w:p>
          <w:p w:rsidR="00350829" w:rsidRDefault="00350829" w:rsidP="00A615A6">
            <w:pPr>
              <w:pStyle w:val="Textpoznmkypodiarou"/>
              <w:spacing w:line="276" w:lineRule="auto"/>
              <w:jc w:val="both"/>
              <w:rPr>
                <w:rFonts w:asciiTheme="minorHAnsi" w:hAnsiTheme="minorHAnsi"/>
                <w:sz w:val="22"/>
                <w:szCs w:val="22"/>
                <w:lang w:val="sk-SK"/>
              </w:rPr>
            </w:pPr>
            <w:r w:rsidRPr="00332324">
              <w:rPr>
                <w:rFonts w:asciiTheme="minorHAnsi" w:hAnsiTheme="minorHAnsi"/>
                <w:sz w:val="22"/>
                <w:szCs w:val="22"/>
                <w:lang w:val="sk-SK"/>
              </w:rPr>
              <w:t xml:space="preserve">- Členovia </w:t>
            </w:r>
            <w:r w:rsidR="008E0067">
              <w:rPr>
                <w:rFonts w:asciiTheme="minorHAnsi" w:hAnsiTheme="minorHAnsi"/>
                <w:sz w:val="22"/>
                <w:szCs w:val="22"/>
                <w:lang w:val="sk-SK"/>
              </w:rPr>
              <w:t xml:space="preserve">LS </w:t>
            </w:r>
            <w:r w:rsidR="00436AC2">
              <w:rPr>
                <w:rFonts w:asciiTheme="minorHAnsi" w:hAnsiTheme="minorHAnsi"/>
                <w:sz w:val="22"/>
                <w:szCs w:val="22"/>
                <w:lang w:val="sk-SK"/>
              </w:rPr>
              <w:t xml:space="preserve">diskutovali o problematike </w:t>
            </w:r>
            <w:r w:rsidR="00727671">
              <w:rPr>
                <w:rFonts w:asciiTheme="minorHAnsi" w:hAnsiTheme="minorHAnsi"/>
                <w:sz w:val="22"/>
                <w:szCs w:val="22"/>
                <w:lang w:val="sk-SK"/>
              </w:rPr>
              <w:t xml:space="preserve">novely PZP a </w:t>
            </w:r>
            <w:r w:rsidR="00436AC2">
              <w:rPr>
                <w:rFonts w:asciiTheme="minorHAnsi" w:hAnsiTheme="minorHAnsi"/>
                <w:sz w:val="22"/>
                <w:szCs w:val="22"/>
                <w:lang w:val="sk-SK"/>
              </w:rPr>
              <w:t>podania výpovede „aspoň šesť týždňov pred koncom poistného obdobia“.</w:t>
            </w:r>
            <w:r w:rsidRPr="00332324">
              <w:rPr>
                <w:rFonts w:asciiTheme="minorHAnsi" w:hAnsiTheme="minorHAnsi"/>
                <w:sz w:val="22"/>
                <w:szCs w:val="22"/>
                <w:lang w:val="sk-SK"/>
              </w:rPr>
              <w:t xml:space="preserve"> </w:t>
            </w:r>
          </w:p>
          <w:p w:rsidR="00436AC2" w:rsidRPr="00332324" w:rsidRDefault="00436AC2" w:rsidP="00A615A6">
            <w:pPr>
              <w:pStyle w:val="Textpoznmkypodiarou"/>
              <w:spacing w:line="276" w:lineRule="auto"/>
              <w:jc w:val="both"/>
              <w:rPr>
                <w:rFonts w:asciiTheme="minorHAnsi" w:hAnsiTheme="minorHAnsi"/>
                <w:sz w:val="22"/>
                <w:szCs w:val="22"/>
                <w:lang w:val="sk-SK"/>
              </w:rPr>
            </w:pPr>
            <w:r>
              <w:rPr>
                <w:rFonts w:asciiTheme="minorHAnsi" w:hAnsiTheme="minorHAnsi"/>
                <w:sz w:val="22"/>
                <w:szCs w:val="22"/>
                <w:lang w:val="sk-SK"/>
              </w:rPr>
              <w:t xml:space="preserve">Záver: Zápis z tohto bodu je zaznamenaný samostatne </w:t>
            </w:r>
            <w:r w:rsidR="008C2DD7">
              <w:rPr>
                <w:rFonts w:asciiTheme="minorHAnsi" w:hAnsiTheme="minorHAnsi"/>
                <w:sz w:val="22"/>
                <w:szCs w:val="22"/>
                <w:lang w:val="sk-SK"/>
              </w:rPr>
              <w:t>na konci tohto zápisu</w:t>
            </w:r>
            <w:r>
              <w:rPr>
                <w:rFonts w:asciiTheme="minorHAnsi" w:hAnsiTheme="minorHAnsi"/>
                <w:sz w:val="22"/>
                <w:szCs w:val="22"/>
                <w:lang w:val="sk-SK"/>
              </w:rPr>
              <w:t>.</w:t>
            </w:r>
          </w:p>
          <w:p w:rsidR="00350829" w:rsidRPr="00332324" w:rsidRDefault="00350829" w:rsidP="00A615A6">
            <w:pPr>
              <w:pStyle w:val="Textpoznmkypodiarou"/>
              <w:spacing w:line="276" w:lineRule="auto"/>
              <w:jc w:val="both"/>
              <w:rPr>
                <w:rFonts w:asciiTheme="minorHAnsi" w:hAnsiTheme="minorHAnsi"/>
                <w:sz w:val="22"/>
                <w:szCs w:val="22"/>
                <w:lang w:val="sk-SK"/>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Textpoznmkypodiarou"/>
              <w:spacing w:line="276" w:lineRule="auto"/>
              <w:ind w:firstLine="60"/>
              <w:jc w:val="center"/>
              <w:rPr>
                <w:rFonts w:asciiTheme="minorHAnsi" w:hAnsiTheme="minorHAnsi"/>
                <w:i/>
                <w:sz w:val="22"/>
                <w:szCs w:val="22"/>
                <w:lang w:val="sk-SK"/>
              </w:rPr>
            </w:pP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350829" w:rsidRPr="00332324" w:rsidRDefault="00350829" w:rsidP="00A615A6">
            <w:pPr>
              <w:pStyle w:val="Pta"/>
              <w:tabs>
                <w:tab w:val="clear" w:pos="4320"/>
                <w:tab w:val="clear" w:pos="8640"/>
              </w:tabs>
              <w:spacing w:line="276" w:lineRule="auto"/>
              <w:jc w:val="center"/>
              <w:rPr>
                <w:rFonts w:asciiTheme="minorHAnsi" w:hAnsiTheme="minorHAnsi"/>
                <w:i/>
                <w:sz w:val="22"/>
                <w:szCs w:val="22"/>
                <w:lang w:val="sk-SK"/>
              </w:rPr>
            </w:pPr>
          </w:p>
        </w:tc>
      </w:tr>
      <w:tr w:rsidR="00350829" w:rsidRPr="00332324" w:rsidTr="00255DC0">
        <w:tblPrEx>
          <w:tblCellMar>
            <w:left w:w="70" w:type="dxa"/>
            <w:right w:w="70" w:type="dxa"/>
          </w:tblCellMar>
        </w:tblPrEx>
        <w:trPr>
          <w:trHeight w:val="540"/>
        </w:trPr>
        <w:tc>
          <w:tcPr>
            <w:tcW w:w="708" w:type="dxa"/>
          </w:tcPr>
          <w:p w:rsidR="00350829" w:rsidRPr="00332324" w:rsidRDefault="00350829" w:rsidP="00A615A6">
            <w:pPr>
              <w:spacing w:after="0"/>
              <w:jc w:val="center"/>
              <w:rPr>
                <w:b/>
              </w:rPr>
            </w:pPr>
            <w:r w:rsidRPr="00332324">
              <w:rPr>
                <w:b/>
              </w:rPr>
              <w:t>I/7</w:t>
            </w:r>
          </w:p>
        </w:tc>
        <w:tc>
          <w:tcPr>
            <w:tcW w:w="6315" w:type="dxa"/>
            <w:gridSpan w:val="2"/>
          </w:tcPr>
          <w:p w:rsidR="00350829" w:rsidRPr="00332324" w:rsidRDefault="00350829" w:rsidP="00A615A6">
            <w:pPr>
              <w:pStyle w:val="Hlavika"/>
              <w:tabs>
                <w:tab w:val="clear" w:pos="9072"/>
                <w:tab w:val="right" w:pos="9569"/>
              </w:tabs>
              <w:spacing w:line="276" w:lineRule="auto"/>
              <w:jc w:val="both"/>
              <w:rPr>
                <w:rFonts w:asciiTheme="minorHAnsi" w:hAnsiTheme="minorHAnsi"/>
                <w:color w:val="000000"/>
                <w:sz w:val="22"/>
                <w:szCs w:val="22"/>
                <w:lang w:val="sk-SK"/>
              </w:rPr>
            </w:pPr>
            <w:r w:rsidRPr="00332324">
              <w:rPr>
                <w:rFonts w:asciiTheme="minorHAnsi" w:hAnsiTheme="minorHAnsi"/>
                <w:color w:val="000000"/>
                <w:sz w:val="22"/>
                <w:szCs w:val="22"/>
                <w:lang w:val="sk-SK"/>
              </w:rPr>
              <w:t xml:space="preserve">K siedmemu bodu programu stretnutia: </w:t>
            </w:r>
          </w:p>
          <w:p w:rsidR="00350829" w:rsidRPr="00332324" w:rsidRDefault="00350829" w:rsidP="00A615A6">
            <w:pPr>
              <w:pStyle w:val="Hlavika"/>
              <w:tabs>
                <w:tab w:val="clear" w:pos="9072"/>
                <w:tab w:val="right" w:pos="9569"/>
              </w:tabs>
              <w:spacing w:line="276" w:lineRule="auto"/>
              <w:jc w:val="both"/>
              <w:rPr>
                <w:rFonts w:asciiTheme="minorHAnsi" w:hAnsiTheme="minorHAnsi"/>
                <w:color w:val="000000"/>
                <w:sz w:val="22"/>
                <w:szCs w:val="22"/>
                <w:lang w:val="sk-SK"/>
              </w:rPr>
            </w:pPr>
          </w:p>
          <w:p w:rsidR="00350829" w:rsidRPr="00332324" w:rsidRDefault="00BB221E" w:rsidP="0088305A">
            <w:pPr>
              <w:pStyle w:val="Hlavika"/>
              <w:tabs>
                <w:tab w:val="clear" w:pos="9072"/>
                <w:tab w:val="right" w:pos="9569"/>
              </w:tabs>
              <w:spacing w:line="276" w:lineRule="auto"/>
              <w:ind w:left="-68" w:firstLine="68"/>
              <w:jc w:val="both"/>
              <w:rPr>
                <w:rFonts w:asciiTheme="minorHAnsi" w:hAnsiTheme="minorHAnsi"/>
                <w:color w:val="000000"/>
                <w:sz w:val="22"/>
                <w:szCs w:val="22"/>
                <w:lang w:val="sk-SK"/>
              </w:rPr>
            </w:pPr>
            <w:r>
              <w:rPr>
                <w:rFonts w:asciiTheme="minorHAnsi" w:hAnsiTheme="minorHAnsi"/>
                <w:color w:val="000000"/>
                <w:sz w:val="22"/>
                <w:szCs w:val="22"/>
                <w:lang w:val="sk-SK"/>
              </w:rPr>
              <w:t>-</w:t>
            </w:r>
            <w:r w:rsidR="00C07D00">
              <w:rPr>
                <w:rFonts w:asciiTheme="minorHAnsi" w:hAnsiTheme="minorHAnsi"/>
                <w:color w:val="000000"/>
                <w:sz w:val="22"/>
                <w:szCs w:val="22"/>
                <w:lang w:val="sk-SK"/>
              </w:rPr>
              <w:t xml:space="preserve"> </w:t>
            </w:r>
            <w:r w:rsidR="008E0067">
              <w:rPr>
                <w:rFonts w:asciiTheme="minorHAnsi" w:hAnsiTheme="minorHAnsi"/>
                <w:color w:val="000000"/>
                <w:sz w:val="22"/>
                <w:szCs w:val="22"/>
                <w:lang w:val="sk-SK"/>
              </w:rPr>
              <w:t>P</w:t>
            </w:r>
            <w:r w:rsidR="0048777C">
              <w:rPr>
                <w:rFonts w:asciiTheme="minorHAnsi" w:hAnsiTheme="minorHAnsi"/>
                <w:color w:val="000000"/>
                <w:sz w:val="22"/>
                <w:szCs w:val="22"/>
                <w:lang w:val="sk-SK"/>
              </w:rPr>
              <w:t xml:space="preserve">roblematikou sprostredkovateľov sa intenzívne zaoberá NBS (v roku 2011 mali zámer skontrolovať 10 najväčších </w:t>
            </w:r>
            <w:r w:rsidR="0048777C">
              <w:rPr>
                <w:rFonts w:asciiTheme="minorHAnsi" w:hAnsiTheme="minorHAnsi"/>
                <w:color w:val="000000"/>
                <w:sz w:val="22"/>
                <w:szCs w:val="22"/>
                <w:lang w:val="sk-SK"/>
              </w:rPr>
              <w:lastRenderedPageBreak/>
              <w:t>sprostredkovateľov) a preto sa v rámci SLASPO touto otázkou nebudeme zaoberať a nebude vytvorená osobitná pracovná skupina pre túto problematiku.</w:t>
            </w:r>
          </w:p>
          <w:p w:rsidR="00350829" w:rsidRPr="00332324" w:rsidRDefault="00350829" w:rsidP="0048777C">
            <w:pPr>
              <w:pStyle w:val="Hlavika"/>
              <w:tabs>
                <w:tab w:val="clear" w:pos="9072"/>
                <w:tab w:val="right" w:pos="9569"/>
              </w:tabs>
              <w:spacing w:line="276" w:lineRule="auto"/>
              <w:ind w:left="216"/>
              <w:jc w:val="both"/>
              <w:rPr>
                <w:rFonts w:asciiTheme="minorHAnsi" w:hAnsiTheme="minorHAnsi"/>
                <w:sz w:val="22"/>
                <w:szCs w:val="22"/>
              </w:rPr>
            </w:pPr>
          </w:p>
        </w:tc>
        <w:tc>
          <w:tcPr>
            <w:tcW w:w="1440" w:type="dxa"/>
            <w:gridSpan w:val="2"/>
          </w:tcPr>
          <w:p w:rsidR="00350829" w:rsidRPr="00332324" w:rsidRDefault="00350829" w:rsidP="00A615A6">
            <w:pPr>
              <w:spacing w:after="0"/>
            </w:pPr>
          </w:p>
        </w:tc>
        <w:tc>
          <w:tcPr>
            <w:tcW w:w="1258" w:type="dxa"/>
          </w:tcPr>
          <w:p w:rsidR="00350829" w:rsidRPr="00332324" w:rsidRDefault="00350829" w:rsidP="00A615A6">
            <w:pPr>
              <w:spacing w:after="0"/>
            </w:pPr>
          </w:p>
        </w:tc>
      </w:tr>
      <w:tr w:rsidR="00350829" w:rsidRPr="00332324" w:rsidTr="00255DC0">
        <w:tblPrEx>
          <w:tblCellMar>
            <w:left w:w="70" w:type="dxa"/>
            <w:right w:w="70" w:type="dxa"/>
          </w:tblCellMar>
        </w:tblPrEx>
        <w:trPr>
          <w:trHeight w:val="540"/>
        </w:trPr>
        <w:tc>
          <w:tcPr>
            <w:tcW w:w="708" w:type="dxa"/>
          </w:tcPr>
          <w:p w:rsidR="00350829" w:rsidRPr="00332324" w:rsidRDefault="00350829" w:rsidP="00A615A6">
            <w:pPr>
              <w:spacing w:after="0"/>
              <w:jc w:val="center"/>
              <w:rPr>
                <w:b/>
              </w:rPr>
            </w:pPr>
          </w:p>
        </w:tc>
        <w:tc>
          <w:tcPr>
            <w:tcW w:w="6315" w:type="dxa"/>
            <w:gridSpan w:val="2"/>
          </w:tcPr>
          <w:p w:rsidR="00350829" w:rsidRPr="00332324" w:rsidRDefault="00350829" w:rsidP="00A615A6">
            <w:pPr>
              <w:spacing w:after="0"/>
              <w:jc w:val="both"/>
            </w:pPr>
            <w:r w:rsidRPr="00332324">
              <w:t xml:space="preserve">Nasledujúce stretnutie </w:t>
            </w:r>
            <w:r w:rsidR="00C52CFE">
              <w:t>LS</w:t>
            </w:r>
            <w:r w:rsidRPr="00332324">
              <w:t xml:space="preserve">: </w:t>
            </w:r>
          </w:p>
          <w:p w:rsidR="00350829" w:rsidRPr="00332324" w:rsidRDefault="00350829" w:rsidP="00A615A6">
            <w:pPr>
              <w:spacing w:after="0"/>
              <w:jc w:val="both"/>
            </w:pPr>
          </w:p>
          <w:p w:rsidR="00350829" w:rsidRPr="00332324" w:rsidRDefault="00350829" w:rsidP="00A615A6">
            <w:pPr>
              <w:spacing w:after="0"/>
              <w:jc w:val="both"/>
            </w:pPr>
            <w:r w:rsidRPr="00332324">
              <w:t xml:space="preserve">-  </w:t>
            </w:r>
            <w:r w:rsidR="008E0067">
              <w:t>Č</w:t>
            </w:r>
            <w:r w:rsidRPr="00332324">
              <w:t xml:space="preserve">lenovia sekcie sa </w:t>
            </w:r>
            <w:r w:rsidRPr="00332324">
              <w:rPr>
                <w:i/>
              </w:rPr>
              <w:t>nedohodli</w:t>
            </w:r>
            <w:r w:rsidRPr="00332324">
              <w:t xml:space="preserve"> na pevnom termíne nasledujúceho stretnutia. Stretnutie sa uskutoční podľa potreby. O termíne konania stretnutia budú členovia včas informovaní.</w:t>
            </w:r>
          </w:p>
          <w:p w:rsidR="00350829" w:rsidRPr="00332324" w:rsidRDefault="00350829" w:rsidP="00A615A6">
            <w:pPr>
              <w:spacing w:after="0"/>
            </w:pPr>
          </w:p>
        </w:tc>
        <w:tc>
          <w:tcPr>
            <w:tcW w:w="1440" w:type="dxa"/>
            <w:gridSpan w:val="2"/>
          </w:tcPr>
          <w:p w:rsidR="00350829" w:rsidRPr="00332324" w:rsidRDefault="00350829" w:rsidP="00A615A6">
            <w:pPr>
              <w:spacing w:after="0"/>
            </w:pPr>
          </w:p>
          <w:p w:rsidR="00350829" w:rsidRPr="00332324" w:rsidRDefault="00350829" w:rsidP="00A615A6">
            <w:pPr>
              <w:spacing w:after="0"/>
            </w:pPr>
          </w:p>
        </w:tc>
        <w:tc>
          <w:tcPr>
            <w:tcW w:w="1258" w:type="dxa"/>
          </w:tcPr>
          <w:p w:rsidR="00350829" w:rsidRPr="00332324" w:rsidRDefault="00350829" w:rsidP="00A615A6">
            <w:pPr>
              <w:spacing w:after="0"/>
            </w:pPr>
          </w:p>
          <w:p w:rsidR="00350829" w:rsidRPr="00332324" w:rsidRDefault="00350829" w:rsidP="00A615A6">
            <w:pPr>
              <w:spacing w:after="0"/>
            </w:pPr>
          </w:p>
        </w:tc>
      </w:tr>
    </w:tbl>
    <w:p w:rsidR="00350829" w:rsidRPr="00332324" w:rsidRDefault="00350829" w:rsidP="00A615A6">
      <w:pPr>
        <w:spacing w:after="0"/>
      </w:pPr>
    </w:p>
    <w:p w:rsidR="00350829" w:rsidRPr="00332324" w:rsidRDefault="00350829" w:rsidP="00A615A6">
      <w:pPr>
        <w:spacing w:after="0"/>
      </w:pPr>
    </w:p>
    <w:p w:rsidR="00350829" w:rsidRPr="00332324" w:rsidRDefault="00350829" w:rsidP="00A615A6">
      <w:pPr>
        <w:spacing w:after="0"/>
      </w:pPr>
    </w:p>
    <w:p w:rsidR="00350829" w:rsidRPr="00332324" w:rsidRDefault="00350829" w:rsidP="00A615A6">
      <w:pPr>
        <w:spacing w:after="0"/>
      </w:pPr>
      <w:r w:rsidRPr="00332324">
        <w:t>Predseda sekcie:   Mgr. Martin Petruľák</w:t>
      </w:r>
      <w:r w:rsidRPr="00332324">
        <w:tab/>
      </w:r>
      <w:r w:rsidRPr="00332324">
        <w:tab/>
      </w:r>
    </w:p>
    <w:p w:rsidR="00350829" w:rsidRPr="00332324" w:rsidRDefault="00350829" w:rsidP="00A615A6">
      <w:pPr>
        <w:spacing w:after="0"/>
      </w:pPr>
    </w:p>
    <w:p w:rsidR="00350829" w:rsidRPr="00332324" w:rsidRDefault="00350829" w:rsidP="00A615A6">
      <w:pPr>
        <w:spacing w:after="0"/>
      </w:pPr>
      <w:r w:rsidRPr="00332324">
        <w:t>Tajomník legislatívnej sekcie: Mgr. Mária Lehotská</w:t>
      </w:r>
    </w:p>
    <w:p w:rsidR="00350829" w:rsidRPr="00332324" w:rsidRDefault="00350829" w:rsidP="00A615A6">
      <w:pPr>
        <w:spacing w:after="0"/>
        <w:rPr>
          <w:color w:val="365F91"/>
        </w:rPr>
      </w:pPr>
    </w:p>
    <w:p w:rsidR="00A44289" w:rsidRPr="00332324" w:rsidRDefault="00A44289" w:rsidP="00A615A6">
      <w:pPr>
        <w:spacing w:after="0"/>
        <w:rPr>
          <w:color w:val="365F91"/>
        </w:rPr>
      </w:pPr>
    </w:p>
    <w:p w:rsidR="008C2DD7" w:rsidRPr="008C2DD7" w:rsidRDefault="008C2DD7" w:rsidP="008C2DD7">
      <w:pPr>
        <w:spacing w:after="0" w:line="240" w:lineRule="auto"/>
        <w:jc w:val="both"/>
        <w:rPr>
          <w:b/>
        </w:rPr>
      </w:pPr>
      <w:r w:rsidRPr="008C2DD7">
        <w:rPr>
          <w:b/>
        </w:rPr>
        <w:t>Aplikačné problémy zák. č. 520/2011 Z. z., ktorým bol novelizovaný zák. č. 381/2001 Z. z.</w:t>
      </w:r>
    </w:p>
    <w:p w:rsidR="008C2DD7" w:rsidRPr="008C2DD7" w:rsidRDefault="008C2DD7" w:rsidP="008C2DD7">
      <w:pPr>
        <w:spacing w:after="0" w:line="240" w:lineRule="auto"/>
        <w:jc w:val="both"/>
      </w:pPr>
    </w:p>
    <w:p w:rsidR="008C2DD7" w:rsidRPr="008C2DD7" w:rsidRDefault="008C2DD7" w:rsidP="008C2DD7">
      <w:pPr>
        <w:spacing w:after="0" w:line="240" w:lineRule="auto"/>
        <w:jc w:val="both"/>
      </w:pPr>
      <w:r w:rsidRPr="008C2DD7">
        <w:t xml:space="preserve">Na ostatnom stretnutí legislatívnej sekcie (LS) 24.1.2012 </w:t>
      </w:r>
      <w:r w:rsidRPr="008C2DD7">
        <w:rPr>
          <w:rFonts w:cs="Arial"/>
        </w:rPr>
        <w:t xml:space="preserve">zástupcovia poisťovní diskutovali o novej právnej úprave </w:t>
      </w:r>
      <w:r w:rsidRPr="008C2DD7">
        <w:t xml:space="preserve">§ 11 ods. 14 písm. c) zákona č. 381/2001 Z. z. o PZP, ktorá poisťovniam ukladá povinnosť </w:t>
      </w:r>
      <w:r w:rsidRPr="008C2DD7">
        <w:rPr>
          <w:rStyle w:val="new"/>
          <w:rFonts w:cs="Tahoma"/>
        </w:rPr>
        <w:t>poistníkovi písomne oznámiť najneskôr desať týždňov pred uplynutím poistného obdobia</w:t>
      </w:r>
      <w:r w:rsidRPr="008C2DD7">
        <w:t xml:space="preserve"> termín, do ktorého je možné podať výpoveď príslušnej poistnej zmluvy (ustanovenie s účinnosťou od 1. júla 2012). </w:t>
      </w:r>
    </w:p>
    <w:p w:rsidR="008C2DD7" w:rsidRPr="008C2DD7" w:rsidRDefault="008C2DD7" w:rsidP="008C2DD7">
      <w:pPr>
        <w:spacing w:after="0" w:line="240" w:lineRule="auto"/>
        <w:jc w:val="both"/>
        <w:rPr>
          <w:b/>
        </w:rPr>
      </w:pPr>
      <w:r w:rsidRPr="008C2DD7">
        <w:rPr>
          <w:b/>
        </w:rPr>
        <w:t>Legislatívne pozadie:</w:t>
      </w:r>
    </w:p>
    <w:p w:rsidR="008C2DD7" w:rsidRPr="008C2DD7" w:rsidRDefault="008C2DD7" w:rsidP="008C2DD7">
      <w:pPr>
        <w:pStyle w:val="Odsekzoznamu"/>
        <w:numPr>
          <w:ilvl w:val="0"/>
          <w:numId w:val="14"/>
        </w:numPr>
        <w:contextualSpacing/>
        <w:jc w:val="both"/>
        <w:rPr>
          <w:rFonts w:asciiTheme="minorHAnsi" w:hAnsiTheme="minorHAnsi"/>
        </w:rPr>
      </w:pPr>
      <w:r w:rsidRPr="008C2DD7">
        <w:rPr>
          <w:rFonts w:asciiTheme="minorHAnsi" w:hAnsiTheme="minorHAnsi"/>
        </w:rPr>
        <w:t>Aktuálne znenie §11 ods. 14 písm. c) z. č. 381/2001 Z. z. o PZP :</w:t>
      </w:r>
    </w:p>
    <w:p w:rsidR="008C2DD7" w:rsidRPr="008C2DD7" w:rsidRDefault="008C2DD7" w:rsidP="008C2DD7">
      <w:pPr>
        <w:spacing w:after="0" w:line="240" w:lineRule="auto"/>
        <w:jc w:val="both"/>
      </w:pPr>
    </w:p>
    <w:p w:rsidR="008C2DD7" w:rsidRPr="008C2DD7" w:rsidRDefault="008C2DD7" w:rsidP="008C2DD7">
      <w:pPr>
        <w:spacing w:after="0" w:line="240" w:lineRule="auto"/>
        <w:ind w:left="708"/>
        <w:rPr>
          <w:rFonts w:eastAsia="Times New Roman" w:cs="Tahoma"/>
          <w:i/>
          <w:lang w:eastAsia="sk-SK"/>
        </w:rPr>
      </w:pPr>
      <w:r w:rsidRPr="008C2DD7">
        <w:rPr>
          <w:rFonts w:eastAsia="Times New Roman" w:cs="Tahoma"/>
          <w:i/>
          <w:lang w:eastAsia="sk-SK"/>
        </w:rPr>
        <w:t>(14) Poisťovateľ je povinný poistníkovi písomne oznámiť najneskôr desať týždňov pred uplynutím poistného obdobia</w:t>
      </w:r>
    </w:p>
    <w:p w:rsidR="008C2DD7" w:rsidRPr="008C2DD7" w:rsidRDefault="008C2DD7" w:rsidP="008C2DD7">
      <w:pPr>
        <w:tabs>
          <w:tab w:val="left" w:pos="284"/>
        </w:tabs>
        <w:spacing w:after="0" w:line="240" w:lineRule="auto"/>
        <w:ind w:left="708"/>
        <w:rPr>
          <w:i/>
        </w:rPr>
      </w:pPr>
      <w:bookmarkStart w:id="0" w:name="f_5633646"/>
      <w:bookmarkEnd w:id="0"/>
      <w:r w:rsidRPr="008C2DD7">
        <w:rPr>
          <w:rFonts w:eastAsia="Times New Roman" w:cs="Tahoma"/>
          <w:i/>
          <w:lang w:eastAsia="sk-SK"/>
        </w:rPr>
        <w:t xml:space="preserve"> a) výšku poistného podľa </w:t>
      </w:r>
      <w:hyperlink r:id="rId5" w:history="1">
        <w:r w:rsidRPr="008C2DD7">
          <w:rPr>
            <w:rFonts w:eastAsia="Times New Roman" w:cs="Tahoma"/>
            <w:b/>
            <w:bCs/>
            <w:i/>
            <w:lang w:eastAsia="sk-SK"/>
          </w:rPr>
          <w:t>§ 8</w:t>
        </w:r>
      </w:hyperlink>
      <w:r w:rsidRPr="008C2DD7">
        <w:rPr>
          <w:rFonts w:eastAsia="Times New Roman" w:cs="Tahoma"/>
          <w:i/>
          <w:lang w:eastAsia="sk-SK"/>
        </w:rPr>
        <w:t xml:space="preserve"> na nasledujúce poistné obdobie,</w:t>
      </w:r>
      <w:bookmarkStart w:id="1" w:name="f_5633647"/>
      <w:bookmarkEnd w:id="1"/>
      <w:r w:rsidRPr="008C2DD7">
        <w:rPr>
          <w:rFonts w:eastAsia="Times New Roman" w:cs="Tahoma"/>
          <w:i/>
          <w:lang w:eastAsia="sk-SK"/>
        </w:rPr>
        <w:br/>
        <w:t>b) dátum skončenia poistného obdobia,</w:t>
      </w:r>
      <w:bookmarkStart w:id="2" w:name="f_5633648"/>
      <w:bookmarkEnd w:id="2"/>
      <w:r w:rsidRPr="008C2DD7">
        <w:rPr>
          <w:rFonts w:eastAsia="Times New Roman" w:cs="Tahoma"/>
          <w:i/>
          <w:lang w:eastAsia="sk-SK"/>
        </w:rPr>
        <w:br/>
        <w:t xml:space="preserve">c) </w:t>
      </w:r>
      <w:r w:rsidRPr="008C2DD7">
        <w:rPr>
          <w:rFonts w:eastAsia="Times New Roman" w:cs="Tahoma"/>
          <w:b/>
          <w:i/>
          <w:lang w:eastAsia="sk-SK"/>
        </w:rPr>
        <w:t>termín</w:t>
      </w:r>
      <w:r w:rsidRPr="008C2DD7">
        <w:rPr>
          <w:rFonts w:eastAsia="Times New Roman" w:cs="Tahoma"/>
          <w:i/>
          <w:lang w:eastAsia="sk-SK"/>
        </w:rPr>
        <w:t>, do ktorého je možné podať výpoveď príslušnej poistnej zmluvy podľa osobitného predpisu.</w:t>
      </w:r>
      <w:hyperlink r:id="rId6" w:history="1">
        <w:r w:rsidRPr="008C2DD7">
          <w:rPr>
            <w:rFonts w:eastAsia="Times New Roman" w:cs="Tahoma"/>
            <w:b/>
            <w:bCs/>
            <w:i/>
            <w:vertAlign w:val="superscript"/>
            <w:lang w:eastAsia="sk-SK"/>
          </w:rPr>
          <w:t>15ca</w:t>
        </w:r>
        <w:r w:rsidRPr="008C2DD7">
          <w:rPr>
            <w:rFonts w:eastAsia="Times New Roman" w:cs="Tahoma"/>
            <w:b/>
            <w:bCs/>
            <w:i/>
            <w:lang w:eastAsia="sk-SK"/>
          </w:rPr>
          <w:t>)</w:t>
        </w:r>
      </w:hyperlink>
    </w:p>
    <w:p w:rsidR="008C2DD7" w:rsidRPr="008C2DD7" w:rsidRDefault="008C2DD7" w:rsidP="008C2DD7">
      <w:pPr>
        <w:tabs>
          <w:tab w:val="left" w:pos="284"/>
        </w:tabs>
        <w:spacing w:after="0" w:line="240" w:lineRule="auto"/>
        <w:ind w:left="708"/>
        <w:rPr>
          <w:rFonts w:eastAsia="Times New Roman" w:cs="Tahoma"/>
          <w:i/>
          <w:lang w:eastAsia="sk-SK"/>
        </w:rPr>
      </w:pPr>
    </w:p>
    <w:p w:rsidR="008C2DD7" w:rsidRPr="008C2DD7" w:rsidRDefault="008C2DD7" w:rsidP="008C2DD7">
      <w:pPr>
        <w:pStyle w:val="Odsekzoznamu"/>
        <w:numPr>
          <w:ilvl w:val="0"/>
          <w:numId w:val="14"/>
        </w:numPr>
        <w:contextualSpacing/>
        <w:jc w:val="both"/>
        <w:rPr>
          <w:rFonts w:asciiTheme="minorHAnsi" w:hAnsiTheme="minorHAnsi" w:cs="Arial"/>
        </w:rPr>
      </w:pPr>
      <w:r w:rsidRPr="008C2DD7">
        <w:rPr>
          <w:rFonts w:asciiTheme="minorHAnsi" w:hAnsiTheme="minorHAnsi" w:cs="Arial"/>
        </w:rPr>
        <w:t>Štandardné  ustanovenie OZ o zániku poistenia výpoveďou - §800 ods. 1 OZ</w:t>
      </w:r>
    </w:p>
    <w:p w:rsidR="008C2DD7" w:rsidRPr="008C2DD7" w:rsidRDefault="008C2DD7" w:rsidP="008C2DD7">
      <w:pPr>
        <w:pStyle w:val="Odsekzoznamu"/>
        <w:rPr>
          <w:rFonts w:asciiTheme="minorHAnsi" w:eastAsia="Times New Roman" w:hAnsiTheme="minorHAnsi" w:cs="Tahoma"/>
          <w:i/>
        </w:rPr>
      </w:pPr>
    </w:p>
    <w:p w:rsidR="008C2DD7" w:rsidRPr="008C2DD7" w:rsidRDefault="008C2DD7" w:rsidP="008C2DD7">
      <w:pPr>
        <w:pStyle w:val="Odsekzoznamu"/>
        <w:rPr>
          <w:rFonts w:asciiTheme="minorHAnsi" w:eastAsia="Times New Roman" w:hAnsiTheme="minorHAnsi" w:cs="Tahoma"/>
          <w:i/>
        </w:rPr>
      </w:pPr>
      <w:r w:rsidRPr="008C2DD7">
        <w:rPr>
          <w:rFonts w:asciiTheme="minorHAnsi" w:eastAsia="Times New Roman" w:hAnsiTheme="minorHAnsi" w:cs="Tahoma"/>
          <w:i/>
        </w:rPr>
        <w:t>„Zánik poistenia</w:t>
      </w:r>
      <w:bookmarkStart w:id="3" w:name="f_3979216"/>
      <w:bookmarkEnd w:id="3"/>
      <w:r w:rsidRPr="008C2DD7">
        <w:rPr>
          <w:rFonts w:asciiTheme="minorHAnsi" w:eastAsia="Times New Roman" w:hAnsiTheme="minorHAnsi" w:cs="Tahoma"/>
          <w:i/>
        </w:rPr>
        <w:br/>
      </w:r>
      <w:bookmarkStart w:id="4" w:name="f_3979217"/>
      <w:bookmarkEnd w:id="4"/>
      <w:r w:rsidRPr="008C2DD7">
        <w:rPr>
          <w:rFonts w:asciiTheme="minorHAnsi" w:eastAsia="Times New Roman" w:hAnsiTheme="minorHAnsi" w:cs="Tahoma"/>
          <w:i/>
        </w:rPr>
        <w:t xml:space="preserve"> (1) Poistenie, pri ktorom je dojednané bežné poistné, zanikne výpoveďou ku koncu poistného obdobia; výpoveď sa musí dať aspoň šesť týždňov pred jeho uplynutím.“.</w:t>
      </w:r>
    </w:p>
    <w:p w:rsidR="008C2DD7" w:rsidRPr="008C2DD7" w:rsidRDefault="008C2DD7" w:rsidP="008C2DD7">
      <w:pPr>
        <w:pStyle w:val="Odsekzoznamu"/>
        <w:jc w:val="both"/>
        <w:rPr>
          <w:rFonts w:asciiTheme="minorHAnsi" w:hAnsiTheme="minorHAnsi"/>
        </w:rPr>
      </w:pPr>
    </w:p>
    <w:p w:rsidR="008C2DD7" w:rsidRPr="008C2DD7" w:rsidRDefault="008C2DD7" w:rsidP="008C2DD7">
      <w:pPr>
        <w:spacing w:after="0" w:line="240" w:lineRule="auto"/>
        <w:jc w:val="both"/>
        <w:rPr>
          <w:b/>
        </w:rPr>
      </w:pPr>
      <w:r w:rsidRPr="008C2DD7">
        <w:rPr>
          <w:b/>
        </w:rPr>
        <w:t>Názory , ktoré odzneli v diskusii:</w:t>
      </w:r>
    </w:p>
    <w:p w:rsidR="008C2DD7" w:rsidRPr="008C2DD7" w:rsidRDefault="008C2DD7" w:rsidP="008C2DD7">
      <w:pPr>
        <w:spacing w:after="0" w:line="240" w:lineRule="auto"/>
        <w:jc w:val="both"/>
        <w:rPr>
          <w:b/>
        </w:rPr>
      </w:pPr>
    </w:p>
    <w:p w:rsidR="008C2DD7" w:rsidRPr="008C2DD7" w:rsidRDefault="008C2DD7" w:rsidP="008C2DD7">
      <w:pPr>
        <w:pStyle w:val="Odsekzoznamu"/>
        <w:numPr>
          <w:ilvl w:val="0"/>
          <w:numId w:val="14"/>
        </w:numPr>
        <w:contextualSpacing/>
        <w:jc w:val="both"/>
        <w:rPr>
          <w:rFonts w:asciiTheme="minorHAnsi" w:hAnsiTheme="minorHAnsi" w:cs="Arial"/>
          <w:b/>
        </w:rPr>
      </w:pPr>
      <w:r w:rsidRPr="008C2DD7">
        <w:rPr>
          <w:rFonts w:asciiTheme="minorHAnsi" w:hAnsiTheme="minorHAnsi" w:cs="Arial"/>
          <w:b/>
        </w:rPr>
        <w:t xml:space="preserve">Nesúlad ustanovení OZ </w:t>
      </w:r>
    </w:p>
    <w:p w:rsidR="008C2DD7" w:rsidRPr="008C2DD7" w:rsidRDefault="008C2DD7" w:rsidP="008C2DD7">
      <w:pPr>
        <w:pStyle w:val="Odsekzoznamu"/>
        <w:jc w:val="both"/>
        <w:rPr>
          <w:rFonts w:asciiTheme="minorHAnsi" w:hAnsiTheme="minorHAnsi" w:cs="Arial"/>
        </w:rPr>
      </w:pPr>
      <w:r w:rsidRPr="008C2DD7">
        <w:rPr>
          <w:rFonts w:asciiTheme="minorHAnsi" w:hAnsiTheme="minorHAnsi" w:cs="Arial"/>
        </w:rPr>
        <w:t>Úprava výpovede poistenia ku koncu poistného obdobia podľa § 800 ods. 1 OZ  nekonvenuje celkom jednoznačne s úpravou  počítania času podľa § 122 ods. 3 OZ. Názory členov LS sa líšili a ako ukazuje aj aplikačná prax toto ustanovenie sa v jednotlivých poisťovniach vykladá nejednotne.</w:t>
      </w:r>
    </w:p>
    <w:p w:rsidR="008C2DD7" w:rsidRPr="008C2DD7" w:rsidRDefault="008C2DD7" w:rsidP="008C2DD7">
      <w:pPr>
        <w:pStyle w:val="Odsekzoznamu"/>
        <w:jc w:val="both"/>
        <w:rPr>
          <w:rFonts w:asciiTheme="minorHAnsi" w:hAnsiTheme="minorHAnsi" w:cs="Arial"/>
        </w:rPr>
      </w:pPr>
    </w:p>
    <w:p w:rsidR="008C2DD7" w:rsidRPr="008C2DD7" w:rsidRDefault="008C2DD7" w:rsidP="008C2DD7">
      <w:pPr>
        <w:pStyle w:val="Odsekzoznamu"/>
        <w:numPr>
          <w:ilvl w:val="0"/>
          <w:numId w:val="14"/>
        </w:numPr>
        <w:contextualSpacing/>
        <w:jc w:val="both"/>
        <w:rPr>
          <w:rFonts w:asciiTheme="minorHAnsi" w:hAnsiTheme="minorHAnsi"/>
          <w:b/>
        </w:rPr>
      </w:pPr>
      <w:r w:rsidRPr="008C2DD7">
        <w:rPr>
          <w:rFonts w:asciiTheme="minorHAnsi" w:hAnsiTheme="minorHAnsi"/>
          <w:b/>
        </w:rPr>
        <w:lastRenderedPageBreak/>
        <w:t>Pojem termín je nejednoznačný</w:t>
      </w:r>
    </w:p>
    <w:p w:rsidR="008C2DD7" w:rsidRPr="008C2DD7" w:rsidRDefault="008C2DD7" w:rsidP="008C2DD7">
      <w:pPr>
        <w:pStyle w:val="Odsekzoznamu"/>
        <w:jc w:val="both"/>
        <w:rPr>
          <w:rFonts w:asciiTheme="minorHAnsi" w:hAnsiTheme="minorHAnsi"/>
        </w:rPr>
      </w:pPr>
      <w:r w:rsidRPr="008C2DD7">
        <w:rPr>
          <w:rFonts w:asciiTheme="minorHAnsi" w:hAnsiTheme="minorHAnsi"/>
        </w:rPr>
        <w:t>novoprijaté ustanovenie § 11 ods.14) písm. c) zák. č. 381/2001 Z. z.  používa pojem „termín“ a nie „dátum“ . Z toho vyplýva otázka, či v oznámení klientovi podľa písm. c)</w:t>
      </w:r>
    </w:p>
    <w:p w:rsidR="008C2DD7" w:rsidRPr="008C2DD7" w:rsidRDefault="008C2DD7" w:rsidP="008C2DD7">
      <w:pPr>
        <w:pStyle w:val="Odsekzoznamu"/>
        <w:numPr>
          <w:ilvl w:val="1"/>
          <w:numId w:val="14"/>
        </w:numPr>
        <w:contextualSpacing/>
        <w:jc w:val="both"/>
        <w:rPr>
          <w:rFonts w:asciiTheme="minorHAnsi" w:hAnsiTheme="minorHAnsi"/>
        </w:rPr>
      </w:pPr>
      <w:r w:rsidRPr="008C2DD7">
        <w:rPr>
          <w:rFonts w:asciiTheme="minorHAnsi" w:hAnsiTheme="minorHAnsi"/>
        </w:rPr>
        <w:t xml:space="preserve">je možné použiť opisne "termín" podľa § 800 ods. 1 OZ t.j. uviesť v ňom formuláciu : „poistník môže dať výpoveď poistnej zmluvy ku koncu existujúceho poistného obdobia v termíne aspoň 6 týždňov pred dátumom uvedeným v odseku b)", </w:t>
      </w:r>
      <w:r w:rsidRPr="008C2DD7">
        <w:rPr>
          <w:rFonts w:asciiTheme="minorHAnsi" w:hAnsiTheme="minorHAnsi"/>
          <w:b/>
        </w:rPr>
        <w:t>alebo</w:t>
      </w:r>
    </w:p>
    <w:p w:rsidR="008C2DD7" w:rsidRPr="008C2DD7" w:rsidRDefault="008C2DD7" w:rsidP="008C2DD7">
      <w:pPr>
        <w:pStyle w:val="Odsekzoznamu"/>
        <w:numPr>
          <w:ilvl w:val="1"/>
          <w:numId w:val="14"/>
        </w:numPr>
        <w:contextualSpacing/>
        <w:jc w:val="both"/>
        <w:rPr>
          <w:rFonts w:asciiTheme="minorHAnsi" w:hAnsiTheme="minorHAnsi"/>
        </w:rPr>
      </w:pPr>
      <w:r w:rsidRPr="008C2DD7">
        <w:rPr>
          <w:rFonts w:asciiTheme="minorHAnsi" w:hAnsiTheme="minorHAnsi"/>
        </w:rPr>
        <w:t xml:space="preserve">je potrebné uvádzať konkrétny dátum označujúci najneskorší platný deň podania výpovede (uvedením dňa, mesiaca a roku). </w:t>
      </w:r>
    </w:p>
    <w:p w:rsidR="008C2DD7" w:rsidRPr="008C2DD7" w:rsidRDefault="008C2DD7" w:rsidP="008C2DD7">
      <w:pPr>
        <w:spacing w:after="0" w:line="240" w:lineRule="auto"/>
        <w:ind w:left="708"/>
        <w:jc w:val="both"/>
        <w:rPr>
          <w:rFonts w:cs="Arial"/>
          <w:b/>
        </w:rPr>
      </w:pPr>
      <w:r w:rsidRPr="008C2DD7">
        <w:t xml:space="preserve">Zhoda účastníkov zasadnutia je v názore, že úmyslom zákonodarcu bolo, aby poisťovne klientovi v písomnom oznámení uvádzali konkrétny dátum. </w:t>
      </w:r>
    </w:p>
    <w:p w:rsidR="008C2DD7" w:rsidRPr="008C2DD7" w:rsidRDefault="008C2DD7" w:rsidP="008C2DD7">
      <w:pPr>
        <w:pStyle w:val="Odsekzoznamu"/>
        <w:jc w:val="both"/>
        <w:rPr>
          <w:rFonts w:asciiTheme="minorHAnsi" w:hAnsiTheme="minorHAnsi" w:cs="Arial"/>
          <w:b/>
        </w:rPr>
      </w:pPr>
    </w:p>
    <w:p w:rsidR="008C2DD7" w:rsidRPr="008C2DD7" w:rsidRDefault="008C2DD7" w:rsidP="008C2DD7">
      <w:pPr>
        <w:pStyle w:val="Odsekzoznamu"/>
        <w:numPr>
          <w:ilvl w:val="0"/>
          <w:numId w:val="15"/>
        </w:numPr>
        <w:contextualSpacing/>
        <w:jc w:val="both"/>
        <w:rPr>
          <w:rFonts w:asciiTheme="minorHAnsi" w:hAnsiTheme="minorHAnsi" w:cs="Arial"/>
          <w:b/>
        </w:rPr>
      </w:pPr>
      <w:r w:rsidRPr="008C2DD7">
        <w:rPr>
          <w:rFonts w:asciiTheme="minorHAnsi" w:hAnsiTheme="minorHAnsi" w:cs="Arial"/>
          <w:b/>
        </w:rPr>
        <w:t>Ak termín znamená dátum</w:t>
      </w:r>
    </w:p>
    <w:p w:rsidR="008C2DD7" w:rsidRPr="008C2DD7" w:rsidRDefault="008C2DD7" w:rsidP="008C2DD7">
      <w:pPr>
        <w:pStyle w:val="Odsekzoznamu"/>
        <w:jc w:val="both"/>
        <w:rPr>
          <w:rFonts w:asciiTheme="minorHAnsi" w:hAnsiTheme="minorHAnsi" w:cs="Arial"/>
          <w:b/>
        </w:rPr>
      </w:pPr>
      <w:r w:rsidRPr="008C2DD7">
        <w:rPr>
          <w:rFonts w:asciiTheme="minorHAnsi" w:hAnsiTheme="minorHAnsi"/>
        </w:rPr>
        <w:t>Ak zákon má pod pojmom „termín“ na mysli konkrétny dátum -  je otázkou  výkladu ustanovenie, že „</w:t>
      </w:r>
      <w:r w:rsidRPr="008C2DD7">
        <w:rPr>
          <w:rFonts w:asciiTheme="minorHAnsi" w:eastAsia="Times New Roman" w:hAnsiTheme="minorHAnsi" w:cs="Tahoma"/>
          <w:i/>
        </w:rPr>
        <w:t>výpoveď sa musí dať aspoň šesť týždňov pred jeho uplynutím“.</w:t>
      </w:r>
      <w:r w:rsidRPr="008C2DD7">
        <w:rPr>
          <w:rFonts w:asciiTheme="minorHAnsi" w:eastAsia="Times New Roman" w:hAnsiTheme="minorHAnsi" w:cs="Tahoma"/>
        </w:rPr>
        <w:t xml:space="preserve"> Keďže </w:t>
      </w:r>
      <w:r w:rsidRPr="008C2DD7">
        <w:rPr>
          <w:rFonts w:asciiTheme="minorHAnsi" w:hAnsiTheme="minorHAnsi"/>
        </w:rPr>
        <w:t>právna prax nie je dostatočne jednotná vo výklade o aký typ vymedzenia časového úseku ide (lehota, doba, hmotnoprávna, procesnoprávna, iné určenie časového úseku), nejednotná ja aj aplikácia tohto ustanovenia v praxi poisťovňami pri stanovení posledného dňa, kedy je výpoveď možné podať.</w:t>
      </w:r>
    </w:p>
    <w:p w:rsidR="008C2DD7" w:rsidRPr="008C2DD7" w:rsidRDefault="008C2DD7" w:rsidP="008C2DD7">
      <w:pPr>
        <w:pStyle w:val="Odsekzoznamu"/>
        <w:rPr>
          <w:rFonts w:asciiTheme="minorHAnsi" w:hAnsiTheme="minorHAnsi" w:cs="Arial"/>
          <w:b/>
        </w:rPr>
      </w:pPr>
    </w:p>
    <w:p w:rsidR="008C2DD7" w:rsidRPr="008C2DD7" w:rsidRDefault="008C2DD7" w:rsidP="008C2DD7">
      <w:pPr>
        <w:pStyle w:val="Odsekzoznamu"/>
        <w:numPr>
          <w:ilvl w:val="0"/>
          <w:numId w:val="15"/>
        </w:numPr>
        <w:contextualSpacing/>
        <w:jc w:val="both"/>
        <w:rPr>
          <w:rFonts w:asciiTheme="minorHAnsi" w:hAnsiTheme="minorHAnsi" w:cs="Arial"/>
          <w:b/>
        </w:rPr>
      </w:pPr>
      <w:r w:rsidRPr="008C2DD7">
        <w:rPr>
          <w:rFonts w:asciiTheme="minorHAnsi" w:hAnsiTheme="minorHAnsi"/>
          <w:b/>
        </w:rPr>
        <w:t>Ide alebo nejde o hmotnoprávnu lehotu?</w:t>
      </w:r>
    </w:p>
    <w:p w:rsidR="008C2DD7" w:rsidRPr="008C2DD7" w:rsidRDefault="008C2DD7" w:rsidP="008C2DD7">
      <w:pPr>
        <w:pStyle w:val="Odsekzoznamu"/>
        <w:numPr>
          <w:ilvl w:val="1"/>
          <w:numId w:val="15"/>
        </w:numPr>
        <w:contextualSpacing/>
        <w:jc w:val="both"/>
        <w:rPr>
          <w:rFonts w:asciiTheme="minorHAnsi" w:eastAsia="Times New Roman" w:hAnsiTheme="minorHAnsi" w:cs="Tahoma"/>
        </w:rPr>
      </w:pPr>
      <w:r w:rsidRPr="008C2DD7">
        <w:rPr>
          <w:rFonts w:asciiTheme="minorHAnsi" w:eastAsia="Times New Roman" w:hAnsiTheme="minorHAnsi" w:cs="Tahoma"/>
        </w:rPr>
        <w:t> Z komentára k OZ JUDr. Imricha Feketeho CSc.:</w:t>
      </w:r>
    </w:p>
    <w:p w:rsidR="008C2DD7" w:rsidRPr="008C2DD7" w:rsidRDefault="008C2DD7" w:rsidP="008C2DD7">
      <w:pPr>
        <w:spacing w:after="0" w:line="240" w:lineRule="auto"/>
        <w:ind w:left="1416"/>
        <w:jc w:val="both"/>
        <w:rPr>
          <w:rFonts w:eastAsia="Times New Roman" w:cs="Tahoma"/>
          <w:lang w:eastAsia="sk-SK"/>
        </w:rPr>
      </w:pPr>
      <w:r w:rsidRPr="008C2DD7">
        <w:rPr>
          <w:rFonts w:eastAsia="Times New Roman" w:cs="Tahoma"/>
          <w:lang w:eastAsia="sk-SK"/>
        </w:rPr>
        <w:t xml:space="preserve">„Výpovedná lehota sa počíta tak, aby do konca poistného obdobia, ku ktorému sa poistenie vypovedáva, bola dĺžka tejto lehoty dodržaná. To znamená, že výpoveď musí byť najneskoršie v posledný deň </w:t>
      </w:r>
      <w:r w:rsidRPr="008C2DD7">
        <w:rPr>
          <w:rFonts w:eastAsia="Times New Roman" w:cs="Tahoma"/>
          <w:b/>
          <w:lang w:eastAsia="sk-SK"/>
        </w:rPr>
        <w:t xml:space="preserve">pred </w:t>
      </w:r>
      <w:r w:rsidRPr="008C2DD7">
        <w:rPr>
          <w:rFonts w:eastAsia="Times New Roman" w:cs="Tahoma"/>
          <w:lang w:eastAsia="sk-SK"/>
        </w:rPr>
        <w:t>začatím plynutia 6-týždňovej lehoty......</w:t>
      </w:r>
      <w:r w:rsidRPr="008C2DD7">
        <w:rPr>
          <w:rFonts w:eastAsia="Times New Roman" w:cs="Tahoma"/>
          <w:b/>
          <w:i/>
          <w:lang w:eastAsia="sk-SK"/>
        </w:rPr>
        <w:t>ide o hmotnoprávnu lehotu</w:t>
      </w:r>
      <w:r w:rsidRPr="008C2DD7">
        <w:rPr>
          <w:rFonts w:eastAsia="Times New Roman" w:cs="Tahoma"/>
          <w:lang w:eastAsia="sk-SK"/>
        </w:rPr>
        <w:t>.“ Výpoveď musí byť doručená najneskôr 6 týždňov (42 dní) pred koncom poistného obdobia,</w:t>
      </w:r>
    </w:p>
    <w:p w:rsidR="008C2DD7" w:rsidRPr="008C2DD7" w:rsidRDefault="008C2DD7" w:rsidP="008C2DD7">
      <w:pPr>
        <w:pStyle w:val="Odsekzoznamu"/>
        <w:numPr>
          <w:ilvl w:val="1"/>
          <w:numId w:val="15"/>
        </w:numPr>
        <w:contextualSpacing/>
        <w:jc w:val="both"/>
        <w:rPr>
          <w:rFonts w:asciiTheme="minorHAnsi" w:hAnsiTheme="minorHAnsi"/>
        </w:rPr>
      </w:pPr>
      <w:r w:rsidRPr="008C2DD7">
        <w:rPr>
          <w:rFonts w:asciiTheme="minorHAnsi" w:eastAsia="Times New Roman" w:hAnsiTheme="minorHAnsi" w:cs="Tahoma"/>
        </w:rPr>
        <w:t xml:space="preserve">ALLIANZ prezentoval názor, že výpoveď je možné podať v posledný deň šesťtýždňovej „lehoty“ </w:t>
      </w:r>
      <w:r w:rsidRPr="008C2DD7">
        <w:rPr>
          <w:rFonts w:asciiTheme="minorHAnsi" w:hAnsiTheme="minorHAnsi"/>
        </w:rPr>
        <w:t>do polnoci,</w:t>
      </w:r>
    </w:p>
    <w:p w:rsidR="008C2DD7" w:rsidRPr="008C2DD7" w:rsidRDefault="008C2DD7" w:rsidP="008C2DD7">
      <w:pPr>
        <w:pStyle w:val="Odsekzoznamu"/>
        <w:numPr>
          <w:ilvl w:val="1"/>
          <w:numId w:val="15"/>
        </w:numPr>
        <w:contextualSpacing/>
        <w:jc w:val="both"/>
        <w:rPr>
          <w:rFonts w:asciiTheme="minorHAnsi" w:hAnsiTheme="minorHAnsi"/>
        </w:rPr>
      </w:pPr>
      <w:r w:rsidRPr="008C2DD7">
        <w:rPr>
          <w:rFonts w:asciiTheme="minorHAnsi" w:eastAsia="Times New Roman" w:hAnsiTheme="minorHAnsi" w:cs="Tahoma"/>
        </w:rPr>
        <w:t>ďalší účastníci sa prikláňali k výkladu, že výpoveď je možné doručiť naposledy 43. deň pred koncom poistného obdobia.</w:t>
      </w:r>
    </w:p>
    <w:p w:rsidR="008C2DD7" w:rsidRPr="008C2DD7" w:rsidRDefault="008C2DD7" w:rsidP="008C2DD7">
      <w:pPr>
        <w:pStyle w:val="Odsekzoznamu"/>
        <w:ind w:left="1440"/>
        <w:jc w:val="both"/>
        <w:rPr>
          <w:rFonts w:asciiTheme="minorHAnsi" w:hAnsiTheme="minorHAnsi"/>
        </w:rPr>
      </w:pPr>
    </w:p>
    <w:p w:rsidR="008C2DD7" w:rsidRPr="008C2DD7" w:rsidRDefault="008C2DD7" w:rsidP="008C2DD7">
      <w:pPr>
        <w:pStyle w:val="Odsekzoznamu"/>
        <w:numPr>
          <w:ilvl w:val="0"/>
          <w:numId w:val="15"/>
        </w:numPr>
        <w:contextualSpacing/>
        <w:jc w:val="both"/>
        <w:rPr>
          <w:rFonts w:asciiTheme="minorHAnsi" w:hAnsiTheme="minorHAnsi"/>
          <w:b/>
        </w:rPr>
      </w:pPr>
      <w:r w:rsidRPr="008C2DD7">
        <w:rPr>
          <w:rFonts w:asciiTheme="minorHAnsi" w:hAnsiTheme="minorHAnsi"/>
          <w:b/>
        </w:rPr>
        <w:t>Posun lehoty</w:t>
      </w:r>
    </w:p>
    <w:p w:rsidR="008C2DD7" w:rsidRPr="008C2DD7" w:rsidRDefault="008C2DD7" w:rsidP="008C2DD7">
      <w:pPr>
        <w:pStyle w:val="Odsekzoznamu"/>
        <w:jc w:val="both"/>
        <w:rPr>
          <w:rFonts w:asciiTheme="minorHAnsi" w:hAnsiTheme="minorHAnsi"/>
        </w:rPr>
      </w:pPr>
      <w:r w:rsidRPr="008C2DD7">
        <w:rPr>
          <w:rFonts w:asciiTheme="minorHAnsi" w:hAnsiTheme="minorHAnsi"/>
        </w:rPr>
        <w:t>Čo v prípade ak posledný deň, kedy je ešte možné výpoveď podať, pripadne na sobotu, nedeľu alebo sviatok? Uplatní sa úprava § 122 ods. 3 a posledný deň sa takto posunie na najbližší pracovný deň?</w:t>
      </w:r>
    </w:p>
    <w:p w:rsidR="008C2DD7" w:rsidRPr="008C2DD7" w:rsidRDefault="008C2DD7" w:rsidP="008C2DD7">
      <w:pPr>
        <w:pStyle w:val="Odsekzoznamu"/>
        <w:numPr>
          <w:ilvl w:val="1"/>
          <w:numId w:val="15"/>
        </w:numPr>
        <w:contextualSpacing/>
        <w:jc w:val="both"/>
        <w:rPr>
          <w:rFonts w:asciiTheme="minorHAnsi" w:hAnsiTheme="minorHAnsi"/>
        </w:rPr>
      </w:pPr>
      <w:r w:rsidRPr="008C2DD7">
        <w:rPr>
          <w:rFonts w:asciiTheme="minorHAnsi" w:hAnsiTheme="minorHAnsi"/>
        </w:rPr>
        <w:t>Prvý názor, ktorý zastávala aj NBS v roku 2005 , je že v takom prípade sa táto "lehota" (určenie časového úseku) posúva na najbližší pracovný deň.</w:t>
      </w:r>
    </w:p>
    <w:p w:rsidR="008C2DD7" w:rsidRPr="008C2DD7" w:rsidRDefault="008C2DD7" w:rsidP="008C2DD7">
      <w:pPr>
        <w:pStyle w:val="Odsekzoznamu"/>
        <w:numPr>
          <w:ilvl w:val="1"/>
          <w:numId w:val="15"/>
        </w:numPr>
        <w:contextualSpacing/>
        <w:jc w:val="both"/>
        <w:rPr>
          <w:rFonts w:asciiTheme="minorHAnsi" w:hAnsiTheme="minorHAnsi"/>
        </w:rPr>
      </w:pPr>
      <w:r w:rsidRPr="008C2DD7">
        <w:rPr>
          <w:rFonts w:asciiTheme="minorHAnsi" w:hAnsiTheme="minorHAnsi"/>
        </w:rPr>
        <w:t xml:space="preserve">Druhý názor je, že takýto posun (v zmysle počítania času podľa § 122 ods.3 OZ) nemá zákonnú oporu a výpoveď je tak možné dať najneskôr v posledný deň pred začatím plynutia šesťtýždňovej „lehoty“.  Ak takýto posledný deň pripadne na sobotu, nedeľu, sviatok, a poisťovne nemajú v tento deň otvorenú pobočku, bude mať klient reálnu možnosť dať výpoveď iba v posledný pracovný deň predchádzajúci sobote, nedeli, sviatku („lehota“ aspoň 6 týždňov musí byť zachovaná).  </w:t>
      </w:r>
    </w:p>
    <w:p w:rsidR="008C2DD7" w:rsidRPr="008C2DD7" w:rsidRDefault="008C2DD7" w:rsidP="008C2DD7">
      <w:pPr>
        <w:pStyle w:val="Obyajntext"/>
        <w:ind w:left="284"/>
        <w:jc w:val="both"/>
        <w:rPr>
          <w:rFonts w:asciiTheme="minorHAnsi" w:hAnsiTheme="minorHAnsi"/>
          <w:sz w:val="22"/>
          <w:szCs w:val="22"/>
        </w:rPr>
      </w:pPr>
    </w:p>
    <w:p w:rsidR="008C2DD7" w:rsidRPr="008C2DD7" w:rsidRDefault="008C2DD7" w:rsidP="008C2DD7">
      <w:pPr>
        <w:pStyle w:val="Obyajntext"/>
        <w:numPr>
          <w:ilvl w:val="0"/>
          <w:numId w:val="16"/>
        </w:numPr>
        <w:jc w:val="both"/>
        <w:rPr>
          <w:rFonts w:asciiTheme="minorHAnsi" w:hAnsiTheme="minorHAnsi"/>
          <w:b/>
          <w:sz w:val="22"/>
          <w:szCs w:val="22"/>
        </w:rPr>
      </w:pPr>
      <w:proofErr w:type="spellStart"/>
      <w:r w:rsidRPr="008C2DD7">
        <w:rPr>
          <w:rFonts w:asciiTheme="minorHAnsi" w:hAnsiTheme="minorHAnsi"/>
          <w:b/>
          <w:sz w:val="22"/>
          <w:szCs w:val="22"/>
        </w:rPr>
        <w:t>Proklientsky</w:t>
      </w:r>
      <w:proofErr w:type="spellEnd"/>
      <w:r w:rsidRPr="008C2DD7">
        <w:rPr>
          <w:rFonts w:asciiTheme="minorHAnsi" w:hAnsiTheme="minorHAnsi"/>
          <w:b/>
          <w:sz w:val="22"/>
          <w:szCs w:val="22"/>
        </w:rPr>
        <w:t xml:space="preserve"> prístup ?</w:t>
      </w:r>
    </w:p>
    <w:p w:rsidR="008C2DD7" w:rsidRPr="008C2DD7" w:rsidRDefault="008C2DD7" w:rsidP="008C2DD7">
      <w:pPr>
        <w:pStyle w:val="Obyajntext"/>
        <w:ind w:left="720"/>
        <w:jc w:val="both"/>
        <w:rPr>
          <w:rFonts w:asciiTheme="minorHAnsi" w:hAnsiTheme="minorHAnsi"/>
          <w:sz w:val="22"/>
          <w:szCs w:val="22"/>
        </w:rPr>
      </w:pPr>
      <w:r w:rsidRPr="008C2DD7">
        <w:rPr>
          <w:rFonts w:asciiTheme="minorHAnsi" w:hAnsiTheme="minorHAnsi"/>
          <w:sz w:val="22"/>
          <w:szCs w:val="22"/>
        </w:rPr>
        <w:t>Odzneli názory:</w:t>
      </w:r>
    </w:p>
    <w:p w:rsidR="008C2DD7" w:rsidRPr="008C2DD7" w:rsidRDefault="008C2DD7" w:rsidP="008C2DD7">
      <w:pPr>
        <w:pStyle w:val="Obyajntext"/>
        <w:numPr>
          <w:ilvl w:val="1"/>
          <w:numId w:val="16"/>
        </w:numPr>
        <w:jc w:val="both"/>
        <w:rPr>
          <w:rFonts w:asciiTheme="minorHAnsi" w:hAnsiTheme="minorHAnsi"/>
          <w:sz w:val="22"/>
          <w:szCs w:val="22"/>
        </w:rPr>
      </w:pPr>
      <w:proofErr w:type="spellStart"/>
      <w:r w:rsidRPr="008C2DD7">
        <w:rPr>
          <w:rFonts w:asciiTheme="minorHAnsi" w:hAnsiTheme="minorHAnsi"/>
          <w:sz w:val="22"/>
          <w:szCs w:val="22"/>
        </w:rPr>
        <w:t>proklientský</w:t>
      </w:r>
      <w:proofErr w:type="spellEnd"/>
      <w:r w:rsidRPr="008C2DD7">
        <w:rPr>
          <w:rFonts w:asciiTheme="minorHAnsi" w:hAnsiTheme="minorHAnsi"/>
          <w:sz w:val="22"/>
          <w:szCs w:val="22"/>
        </w:rPr>
        <w:t xml:space="preserve"> prístup (t.j. posunúť lehotu na podanie výpovede na najbližší pracovný deň ak je posledný deň pripadol na sobotu, nedeľu, či sviatok) umožní klientovi, aby podal výpoveď aj po uplynutí zákonom stanoveného času,</w:t>
      </w:r>
    </w:p>
    <w:p w:rsidR="008C2DD7" w:rsidRPr="008C2DD7" w:rsidRDefault="008C2DD7" w:rsidP="008C2DD7">
      <w:pPr>
        <w:pStyle w:val="Obyajntext"/>
        <w:numPr>
          <w:ilvl w:val="1"/>
          <w:numId w:val="16"/>
        </w:numPr>
        <w:jc w:val="both"/>
        <w:rPr>
          <w:rFonts w:asciiTheme="minorHAnsi" w:hAnsiTheme="minorHAnsi"/>
          <w:sz w:val="22"/>
          <w:szCs w:val="22"/>
        </w:rPr>
      </w:pPr>
      <w:r w:rsidRPr="008C2DD7">
        <w:rPr>
          <w:rFonts w:asciiTheme="minorHAnsi" w:hAnsiTheme="minorHAnsi"/>
          <w:sz w:val="22"/>
          <w:szCs w:val="22"/>
        </w:rPr>
        <w:t xml:space="preserve">posun „lehoty“ na najbližší pracovný deň sa môže vnímať </w:t>
      </w:r>
      <w:proofErr w:type="spellStart"/>
      <w:r w:rsidRPr="008C2DD7">
        <w:rPr>
          <w:rFonts w:asciiTheme="minorHAnsi" w:hAnsiTheme="minorHAnsi"/>
          <w:sz w:val="22"/>
          <w:szCs w:val="22"/>
        </w:rPr>
        <w:t>protiklientsky</w:t>
      </w:r>
      <w:proofErr w:type="spellEnd"/>
      <w:r w:rsidRPr="008C2DD7">
        <w:rPr>
          <w:rFonts w:asciiTheme="minorHAnsi" w:hAnsiTheme="minorHAnsi"/>
          <w:sz w:val="22"/>
          <w:szCs w:val="22"/>
        </w:rPr>
        <w:t xml:space="preserve"> v prípade, že výpoveď bude podávať poisťovňa,</w:t>
      </w:r>
    </w:p>
    <w:p w:rsidR="008C2DD7" w:rsidRPr="008C2DD7" w:rsidRDefault="008C2DD7" w:rsidP="008C2DD7">
      <w:pPr>
        <w:pStyle w:val="Obyajntext"/>
        <w:numPr>
          <w:ilvl w:val="1"/>
          <w:numId w:val="16"/>
        </w:numPr>
        <w:jc w:val="both"/>
        <w:rPr>
          <w:rFonts w:asciiTheme="minorHAnsi" w:hAnsiTheme="minorHAnsi"/>
          <w:sz w:val="22"/>
          <w:szCs w:val="22"/>
        </w:rPr>
      </w:pPr>
      <w:r w:rsidRPr="008C2DD7">
        <w:rPr>
          <w:rFonts w:asciiTheme="minorHAnsi" w:hAnsiTheme="minorHAnsi"/>
          <w:sz w:val="22"/>
          <w:szCs w:val="22"/>
        </w:rPr>
        <w:lastRenderedPageBreak/>
        <w:t xml:space="preserve">„lehota“ 6 týždňov pred koncom poistného obdobia má charakter ochrany obidvoch zmluvných strán pred náhlym ukončením právneho vzťahu, preto sa musí exaktne dodržať a nemožno ju vykladať ani klientsky ani </w:t>
      </w:r>
      <w:proofErr w:type="spellStart"/>
      <w:r w:rsidRPr="008C2DD7">
        <w:rPr>
          <w:rFonts w:asciiTheme="minorHAnsi" w:hAnsiTheme="minorHAnsi"/>
          <w:sz w:val="22"/>
          <w:szCs w:val="22"/>
        </w:rPr>
        <w:t>protiklientsky</w:t>
      </w:r>
      <w:proofErr w:type="spellEnd"/>
      <w:r w:rsidRPr="008C2DD7">
        <w:rPr>
          <w:rFonts w:asciiTheme="minorHAnsi" w:hAnsiTheme="minorHAnsi"/>
          <w:sz w:val="22"/>
          <w:szCs w:val="22"/>
        </w:rPr>
        <w:t xml:space="preserve"> ale iba logicky,</w:t>
      </w:r>
    </w:p>
    <w:p w:rsidR="008C2DD7" w:rsidRPr="008C2DD7" w:rsidRDefault="008C2DD7" w:rsidP="008C2DD7">
      <w:pPr>
        <w:pStyle w:val="Obyajntext"/>
        <w:numPr>
          <w:ilvl w:val="1"/>
          <w:numId w:val="16"/>
        </w:numPr>
        <w:jc w:val="both"/>
        <w:rPr>
          <w:rFonts w:asciiTheme="minorHAnsi" w:hAnsiTheme="minorHAnsi"/>
          <w:sz w:val="22"/>
          <w:szCs w:val="22"/>
        </w:rPr>
      </w:pPr>
      <w:r w:rsidRPr="008C2DD7">
        <w:rPr>
          <w:rFonts w:asciiTheme="minorHAnsi" w:hAnsiTheme="minorHAnsi"/>
          <w:sz w:val="22"/>
          <w:szCs w:val="22"/>
        </w:rPr>
        <w:t xml:space="preserve">je nebezpečné robiť účelový výklad iba pre PZP, pretože ustanovenie § 800 ods. 1 je všeobecným ustanovením a platí pre všetky poistné zmluvy a nie iba pre PZP. </w:t>
      </w:r>
    </w:p>
    <w:p w:rsidR="008C2DD7" w:rsidRPr="008C2DD7" w:rsidRDefault="008C2DD7" w:rsidP="008C2DD7">
      <w:pPr>
        <w:pStyle w:val="Obyajntext"/>
        <w:jc w:val="both"/>
        <w:rPr>
          <w:rFonts w:asciiTheme="minorHAnsi" w:hAnsiTheme="minorHAnsi"/>
          <w:sz w:val="22"/>
          <w:szCs w:val="22"/>
        </w:rPr>
      </w:pPr>
    </w:p>
    <w:p w:rsidR="008C2DD7" w:rsidRPr="008C2DD7" w:rsidRDefault="008C2DD7" w:rsidP="008C2DD7">
      <w:pPr>
        <w:pStyle w:val="Obyajntext"/>
        <w:jc w:val="both"/>
        <w:rPr>
          <w:rFonts w:asciiTheme="minorHAnsi" w:hAnsiTheme="minorHAnsi"/>
          <w:b/>
          <w:sz w:val="22"/>
          <w:szCs w:val="22"/>
        </w:rPr>
      </w:pPr>
      <w:r w:rsidRPr="008C2DD7">
        <w:rPr>
          <w:rFonts w:asciiTheme="minorHAnsi" w:hAnsiTheme="minorHAnsi"/>
          <w:b/>
          <w:sz w:val="22"/>
          <w:szCs w:val="22"/>
        </w:rPr>
        <w:t>Záver</w:t>
      </w:r>
    </w:p>
    <w:p w:rsidR="008C2DD7" w:rsidRPr="008C2DD7" w:rsidRDefault="008C2DD7" w:rsidP="008C2DD7">
      <w:pPr>
        <w:pStyle w:val="Obyajntext"/>
        <w:jc w:val="both"/>
        <w:rPr>
          <w:rFonts w:asciiTheme="minorHAnsi" w:hAnsiTheme="minorHAnsi"/>
          <w:sz w:val="22"/>
          <w:szCs w:val="22"/>
        </w:rPr>
      </w:pPr>
    </w:p>
    <w:p w:rsidR="008C2DD7" w:rsidRPr="008C2DD7" w:rsidRDefault="008C2DD7" w:rsidP="008C2DD7">
      <w:pPr>
        <w:pStyle w:val="Obyajntext"/>
        <w:jc w:val="both"/>
        <w:rPr>
          <w:rFonts w:asciiTheme="minorHAnsi" w:hAnsiTheme="minorHAnsi"/>
          <w:sz w:val="22"/>
          <w:szCs w:val="22"/>
        </w:rPr>
      </w:pPr>
      <w:r w:rsidRPr="008C2DD7">
        <w:rPr>
          <w:rFonts w:asciiTheme="minorHAnsi" w:hAnsiTheme="minorHAnsi"/>
          <w:sz w:val="22"/>
          <w:szCs w:val="22"/>
        </w:rPr>
        <w:t>Účastníci sa zhodli, že o probléme by bolo užitočné diskutovať, aby bolo možné dôjsť k riešeniu, ktoré bude akceptované nielen všetkými účastníkmi poistenia, ale  aj súdmi a inými orgánmi. Preto SLASPO ponúka členom legislatívnej sekcie platformu na ďalšie stretnutie, ktorého záverom by mohlo byť:</w:t>
      </w:r>
    </w:p>
    <w:p w:rsidR="008C2DD7" w:rsidRPr="008C2DD7" w:rsidRDefault="008C2DD7" w:rsidP="008C2DD7">
      <w:pPr>
        <w:pStyle w:val="Obyajntext"/>
        <w:numPr>
          <w:ilvl w:val="0"/>
          <w:numId w:val="16"/>
        </w:numPr>
        <w:jc w:val="both"/>
        <w:rPr>
          <w:rFonts w:asciiTheme="minorHAnsi" w:hAnsiTheme="minorHAnsi"/>
          <w:sz w:val="22"/>
          <w:szCs w:val="22"/>
        </w:rPr>
      </w:pPr>
      <w:r w:rsidRPr="008C2DD7">
        <w:rPr>
          <w:rFonts w:asciiTheme="minorHAnsi" w:hAnsiTheme="minorHAnsi"/>
          <w:sz w:val="22"/>
          <w:szCs w:val="22"/>
        </w:rPr>
        <w:t>dosiahnutie jednotného , nesporného výkladu zákona, alebo</w:t>
      </w:r>
    </w:p>
    <w:p w:rsidR="008C2DD7" w:rsidRPr="008C2DD7" w:rsidRDefault="008C2DD7" w:rsidP="008C2DD7">
      <w:pPr>
        <w:pStyle w:val="Obyajntext"/>
        <w:numPr>
          <w:ilvl w:val="0"/>
          <w:numId w:val="16"/>
        </w:numPr>
        <w:jc w:val="both"/>
        <w:rPr>
          <w:rFonts w:asciiTheme="minorHAnsi" w:hAnsiTheme="minorHAnsi"/>
          <w:sz w:val="22"/>
          <w:szCs w:val="22"/>
        </w:rPr>
      </w:pPr>
      <w:r w:rsidRPr="008C2DD7">
        <w:rPr>
          <w:rFonts w:asciiTheme="minorHAnsi" w:hAnsiTheme="minorHAnsi"/>
          <w:sz w:val="22"/>
          <w:szCs w:val="22"/>
        </w:rPr>
        <w:t>podanie podnetu na výklad gestorovi zákona o PZP (MFSR), alebo</w:t>
      </w:r>
    </w:p>
    <w:p w:rsidR="008C2DD7" w:rsidRPr="008C2DD7" w:rsidRDefault="008C2DD7" w:rsidP="008C2DD7">
      <w:pPr>
        <w:pStyle w:val="Obyajntext"/>
        <w:numPr>
          <w:ilvl w:val="0"/>
          <w:numId w:val="16"/>
        </w:numPr>
        <w:jc w:val="both"/>
        <w:rPr>
          <w:rFonts w:asciiTheme="minorHAnsi" w:hAnsiTheme="minorHAnsi"/>
          <w:sz w:val="22"/>
          <w:szCs w:val="22"/>
        </w:rPr>
      </w:pPr>
      <w:r w:rsidRPr="008C2DD7">
        <w:rPr>
          <w:rFonts w:asciiTheme="minorHAnsi" w:hAnsiTheme="minorHAnsi"/>
          <w:sz w:val="22"/>
          <w:szCs w:val="22"/>
        </w:rPr>
        <w:t>podanie podnetu na výklad gestorovi OZ ( MSSR), alebo</w:t>
      </w:r>
    </w:p>
    <w:p w:rsidR="008C2DD7" w:rsidRPr="008C2DD7" w:rsidRDefault="008C2DD7" w:rsidP="008C2DD7">
      <w:pPr>
        <w:pStyle w:val="Obyajntext"/>
        <w:numPr>
          <w:ilvl w:val="0"/>
          <w:numId w:val="16"/>
        </w:numPr>
        <w:jc w:val="both"/>
        <w:rPr>
          <w:rFonts w:asciiTheme="minorHAnsi" w:hAnsiTheme="minorHAnsi"/>
          <w:sz w:val="22"/>
          <w:szCs w:val="22"/>
        </w:rPr>
      </w:pPr>
      <w:r w:rsidRPr="008C2DD7">
        <w:rPr>
          <w:rFonts w:asciiTheme="minorHAnsi" w:hAnsiTheme="minorHAnsi"/>
          <w:sz w:val="22"/>
          <w:szCs w:val="22"/>
        </w:rPr>
        <w:t>iné riešenie.</w:t>
      </w:r>
    </w:p>
    <w:p w:rsidR="004B71B1" w:rsidRPr="00332324" w:rsidRDefault="004B71B1" w:rsidP="00A615A6">
      <w:pPr>
        <w:spacing w:after="0"/>
      </w:pPr>
    </w:p>
    <w:sectPr w:rsidR="004B71B1" w:rsidRPr="00332324" w:rsidSect="004B71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E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w:altName w:val="Century Gothic"/>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B03"/>
    <w:multiLevelType w:val="hybridMultilevel"/>
    <w:tmpl w:val="D5E4024A"/>
    <w:lvl w:ilvl="0" w:tplc="F710CCF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3E138C"/>
    <w:multiLevelType w:val="hybridMultilevel"/>
    <w:tmpl w:val="4934A67E"/>
    <w:lvl w:ilvl="0" w:tplc="3AF2BAF8">
      <w:start w:val="13"/>
      <w:numFmt w:val="bullet"/>
      <w:lvlText w:val="-"/>
      <w:lvlJc w:val="left"/>
      <w:pPr>
        <w:ind w:left="720" w:hanging="360"/>
      </w:pPr>
      <w:rPr>
        <w:rFonts w:ascii="Arial" w:eastAsia="Calibri"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nsid w:val="335B6046"/>
    <w:multiLevelType w:val="hybridMultilevel"/>
    <w:tmpl w:val="9C6C7B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ED1F95"/>
    <w:multiLevelType w:val="hybridMultilevel"/>
    <w:tmpl w:val="53F68078"/>
    <w:lvl w:ilvl="0" w:tplc="BC1E5B70">
      <w:numFmt w:val="bullet"/>
      <w:lvlText w:val="-"/>
      <w:lvlJc w:val="left"/>
      <w:pPr>
        <w:ind w:left="786" w:hanging="360"/>
      </w:pPr>
      <w:rPr>
        <w:rFonts w:ascii="Calibri" w:eastAsiaTheme="minorHAnsi" w:hAnsi="Calibri"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nsid w:val="4D0158A2"/>
    <w:multiLevelType w:val="hybridMultilevel"/>
    <w:tmpl w:val="5538AC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DAE4DE6"/>
    <w:multiLevelType w:val="hybridMultilevel"/>
    <w:tmpl w:val="64C409CC"/>
    <w:lvl w:ilvl="0" w:tplc="041B0005">
      <w:start w:val="1"/>
      <w:numFmt w:val="bullet"/>
      <w:lvlText w:val=""/>
      <w:lvlJc w:val="left"/>
      <w:pPr>
        <w:tabs>
          <w:tab w:val="num" w:pos="1068"/>
        </w:tabs>
        <w:ind w:left="1068" w:hanging="360"/>
      </w:pPr>
      <w:rPr>
        <w:rFonts w:ascii="Wingdings" w:hAnsi="Wingdings" w:hint="default"/>
      </w:rPr>
    </w:lvl>
    <w:lvl w:ilvl="1" w:tplc="041B0003">
      <w:start w:val="1"/>
      <w:numFmt w:val="decimal"/>
      <w:lvlText w:val="%2."/>
      <w:lvlJc w:val="left"/>
      <w:pPr>
        <w:tabs>
          <w:tab w:val="num" w:pos="1788"/>
        </w:tabs>
        <w:ind w:left="1788" w:hanging="360"/>
      </w:pPr>
    </w:lvl>
    <w:lvl w:ilvl="2" w:tplc="041B0001">
      <w:start w:val="1"/>
      <w:numFmt w:val="bullet"/>
      <w:lvlText w:val=""/>
      <w:lvlJc w:val="left"/>
      <w:pPr>
        <w:tabs>
          <w:tab w:val="num" w:pos="2551"/>
        </w:tabs>
        <w:ind w:left="2551" w:hanging="360"/>
      </w:pPr>
      <w:rPr>
        <w:rFonts w:ascii="Symbol" w:hAnsi="Symbol" w:hint="default"/>
      </w:rPr>
    </w:lvl>
    <w:lvl w:ilvl="3" w:tplc="041B0001">
      <w:start w:val="1"/>
      <w:numFmt w:val="decimal"/>
      <w:lvlText w:val="%4."/>
      <w:lvlJc w:val="left"/>
      <w:pPr>
        <w:tabs>
          <w:tab w:val="num" w:pos="3228"/>
        </w:tabs>
        <w:ind w:left="3228" w:hanging="360"/>
      </w:pPr>
    </w:lvl>
    <w:lvl w:ilvl="4" w:tplc="041B0003">
      <w:start w:val="1"/>
      <w:numFmt w:val="decimal"/>
      <w:lvlText w:val="%5."/>
      <w:lvlJc w:val="left"/>
      <w:pPr>
        <w:tabs>
          <w:tab w:val="num" w:pos="3948"/>
        </w:tabs>
        <w:ind w:left="3948" w:hanging="360"/>
      </w:pPr>
    </w:lvl>
    <w:lvl w:ilvl="5" w:tplc="041B0005">
      <w:start w:val="1"/>
      <w:numFmt w:val="decimal"/>
      <w:lvlText w:val="%6."/>
      <w:lvlJc w:val="left"/>
      <w:pPr>
        <w:tabs>
          <w:tab w:val="num" w:pos="4668"/>
        </w:tabs>
        <w:ind w:left="4668" w:hanging="360"/>
      </w:pPr>
    </w:lvl>
    <w:lvl w:ilvl="6" w:tplc="041B0001">
      <w:start w:val="1"/>
      <w:numFmt w:val="decimal"/>
      <w:lvlText w:val="%7."/>
      <w:lvlJc w:val="left"/>
      <w:pPr>
        <w:tabs>
          <w:tab w:val="num" w:pos="5388"/>
        </w:tabs>
        <w:ind w:left="5388" w:hanging="360"/>
      </w:pPr>
    </w:lvl>
    <w:lvl w:ilvl="7" w:tplc="041B0003">
      <w:start w:val="1"/>
      <w:numFmt w:val="decimal"/>
      <w:lvlText w:val="%8."/>
      <w:lvlJc w:val="left"/>
      <w:pPr>
        <w:tabs>
          <w:tab w:val="num" w:pos="6108"/>
        </w:tabs>
        <w:ind w:left="6108" w:hanging="360"/>
      </w:pPr>
    </w:lvl>
    <w:lvl w:ilvl="8" w:tplc="041B0005">
      <w:start w:val="1"/>
      <w:numFmt w:val="decimal"/>
      <w:lvlText w:val="%9."/>
      <w:lvlJc w:val="left"/>
      <w:pPr>
        <w:tabs>
          <w:tab w:val="num" w:pos="6828"/>
        </w:tabs>
        <w:ind w:left="6828" w:hanging="360"/>
      </w:pPr>
    </w:lvl>
  </w:abstractNum>
  <w:abstractNum w:abstractNumId="6">
    <w:nsid w:val="54272D75"/>
    <w:multiLevelType w:val="hybridMultilevel"/>
    <w:tmpl w:val="2B408298"/>
    <w:lvl w:ilvl="0" w:tplc="041B0005">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nsid w:val="58C835FE"/>
    <w:multiLevelType w:val="hybridMultilevel"/>
    <w:tmpl w:val="34E49C44"/>
    <w:lvl w:ilvl="0" w:tplc="041B000F">
      <w:start w:val="1"/>
      <w:numFmt w:val="decimal"/>
      <w:lvlText w:val="%1."/>
      <w:lvlJc w:val="left"/>
      <w:pPr>
        <w:ind w:left="720" w:hanging="360"/>
      </w:pPr>
      <w:rPr>
        <w:rFont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nsid w:val="5AAB08B3"/>
    <w:multiLevelType w:val="hybridMultilevel"/>
    <w:tmpl w:val="D8BAEB76"/>
    <w:lvl w:ilvl="0" w:tplc="DBDAF3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058496D"/>
    <w:multiLevelType w:val="hybridMultilevel"/>
    <w:tmpl w:val="3C481A64"/>
    <w:lvl w:ilvl="0" w:tplc="041B0005">
      <w:start w:val="1"/>
      <w:numFmt w:val="bullet"/>
      <w:lvlText w:val=""/>
      <w:lvlJc w:val="left"/>
      <w:pPr>
        <w:tabs>
          <w:tab w:val="num" w:pos="1068"/>
        </w:tabs>
        <w:ind w:left="1068" w:hanging="360"/>
      </w:pPr>
      <w:rPr>
        <w:rFonts w:ascii="Wingdings" w:hAnsi="Wingdings" w:hint="default"/>
      </w:rPr>
    </w:lvl>
    <w:lvl w:ilvl="1" w:tplc="041B0003">
      <w:start w:val="1"/>
      <w:numFmt w:val="decimal"/>
      <w:lvlText w:val="%2."/>
      <w:lvlJc w:val="left"/>
      <w:pPr>
        <w:tabs>
          <w:tab w:val="num" w:pos="1788"/>
        </w:tabs>
        <w:ind w:left="1788" w:hanging="360"/>
      </w:pPr>
    </w:lvl>
    <w:lvl w:ilvl="2" w:tplc="041B0001">
      <w:start w:val="1"/>
      <w:numFmt w:val="bullet"/>
      <w:lvlText w:val=""/>
      <w:lvlJc w:val="left"/>
      <w:pPr>
        <w:tabs>
          <w:tab w:val="num" w:pos="2551"/>
        </w:tabs>
        <w:ind w:left="2551" w:hanging="360"/>
      </w:pPr>
      <w:rPr>
        <w:rFonts w:ascii="Symbol" w:hAnsi="Symbol" w:hint="default"/>
      </w:rPr>
    </w:lvl>
    <w:lvl w:ilvl="3" w:tplc="041B0001">
      <w:start w:val="1"/>
      <w:numFmt w:val="decimal"/>
      <w:lvlText w:val="%4."/>
      <w:lvlJc w:val="left"/>
      <w:pPr>
        <w:tabs>
          <w:tab w:val="num" w:pos="3228"/>
        </w:tabs>
        <w:ind w:left="3228" w:hanging="360"/>
      </w:pPr>
    </w:lvl>
    <w:lvl w:ilvl="4" w:tplc="041B0003">
      <w:start w:val="1"/>
      <w:numFmt w:val="decimal"/>
      <w:lvlText w:val="%5."/>
      <w:lvlJc w:val="left"/>
      <w:pPr>
        <w:tabs>
          <w:tab w:val="num" w:pos="3948"/>
        </w:tabs>
        <w:ind w:left="3948" w:hanging="360"/>
      </w:pPr>
    </w:lvl>
    <w:lvl w:ilvl="5" w:tplc="041B0005">
      <w:start w:val="1"/>
      <w:numFmt w:val="decimal"/>
      <w:lvlText w:val="%6."/>
      <w:lvlJc w:val="left"/>
      <w:pPr>
        <w:tabs>
          <w:tab w:val="num" w:pos="4668"/>
        </w:tabs>
        <w:ind w:left="4668" w:hanging="360"/>
      </w:pPr>
    </w:lvl>
    <w:lvl w:ilvl="6" w:tplc="041B0001">
      <w:start w:val="1"/>
      <w:numFmt w:val="decimal"/>
      <w:lvlText w:val="%7."/>
      <w:lvlJc w:val="left"/>
      <w:pPr>
        <w:tabs>
          <w:tab w:val="num" w:pos="5388"/>
        </w:tabs>
        <w:ind w:left="5388" w:hanging="360"/>
      </w:pPr>
    </w:lvl>
    <w:lvl w:ilvl="7" w:tplc="041B0003">
      <w:start w:val="1"/>
      <w:numFmt w:val="decimal"/>
      <w:lvlText w:val="%8."/>
      <w:lvlJc w:val="left"/>
      <w:pPr>
        <w:tabs>
          <w:tab w:val="num" w:pos="6108"/>
        </w:tabs>
        <w:ind w:left="6108" w:hanging="360"/>
      </w:pPr>
    </w:lvl>
    <w:lvl w:ilvl="8" w:tplc="041B0005">
      <w:start w:val="1"/>
      <w:numFmt w:val="decimal"/>
      <w:lvlText w:val="%9."/>
      <w:lvlJc w:val="left"/>
      <w:pPr>
        <w:tabs>
          <w:tab w:val="num" w:pos="6828"/>
        </w:tabs>
        <w:ind w:left="6828" w:hanging="360"/>
      </w:pPr>
    </w:lvl>
  </w:abstractNum>
  <w:abstractNum w:abstractNumId="10">
    <w:nsid w:val="60EE435B"/>
    <w:multiLevelType w:val="hybridMultilevel"/>
    <w:tmpl w:val="7AD0DF6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1D02BE2"/>
    <w:multiLevelType w:val="hybridMultilevel"/>
    <w:tmpl w:val="85F6C64A"/>
    <w:lvl w:ilvl="0" w:tplc="041B000B">
      <w:start w:val="1"/>
      <w:numFmt w:val="bullet"/>
      <w:lvlText w:val=""/>
      <w:lvlJc w:val="left"/>
      <w:pPr>
        <w:ind w:left="778" w:hanging="360"/>
      </w:pPr>
      <w:rPr>
        <w:rFonts w:ascii="Wingdings" w:hAnsi="Wingdings"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12">
    <w:nsid w:val="67B6775D"/>
    <w:multiLevelType w:val="hybridMultilevel"/>
    <w:tmpl w:val="811CA140"/>
    <w:lvl w:ilvl="0" w:tplc="9580E7C0">
      <w:start w:val="1"/>
      <w:numFmt w:val="decimal"/>
      <w:lvlText w:val="%1."/>
      <w:lvlJc w:val="left"/>
      <w:pPr>
        <w:tabs>
          <w:tab w:val="num" w:pos="720"/>
        </w:tabs>
        <w:ind w:left="720" w:hanging="360"/>
      </w:pPr>
      <w:rPr>
        <w:rFonts w:hint="default"/>
        <w:color w:val="auto"/>
      </w:rPr>
    </w:lvl>
    <w:lvl w:ilvl="1" w:tplc="041B0003">
      <w:start w:val="1"/>
      <w:numFmt w:val="decimal"/>
      <w:lvlText w:val="%2."/>
      <w:lvlJc w:val="left"/>
      <w:pPr>
        <w:tabs>
          <w:tab w:val="num" w:pos="1440"/>
        </w:tabs>
        <w:ind w:left="1440" w:hanging="360"/>
      </w:pPr>
    </w:lvl>
    <w:lvl w:ilvl="2" w:tplc="041B0001">
      <w:start w:val="1"/>
      <w:numFmt w:val="bullet"/>
      <w:lvlText w:val=""/>
      <w:lvlJc w:val="left"/>
      <w:pPr>
        <w:tabs>
          <w:tab w:val="num" w:pos="2203"/>
        </w:tabs>
        <w:ind w:left="2203" w:hanging="360"/>
      </w:pPr>
      <w:rPr>
        <w:rFonts w:ascii="Symbol" w:hAnsi="Symbol" w:hint="default"/>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nsid w:val="70F24D21"/>
    <w:multiLevelType w:val="hybridMultilevel"/>
    <w:tmpl w:val="992A530C"/>
    <w:lvl w:ilvl="0" w:tplc="D1EE517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FC50267"/>
    <w:multiLevelType w:val="hybridMultilevel"/>
    <w:tmpl w:val="B52E45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3"/>
  </w:num>
  <w:num w:numId="5">
    <w:abstractNumId w:val="6"/>
  </w:num>
  <w:num w:numId="6">
    <w:abstractNumId w:val="9"/>
  </w:num>
  <w:num w:numId="7">
    <w:abstractNumId w:val="5"/>
  </w:num>
  <w:num w:numId="8">
    <w:abstractNumId w:val="12"/>
  </w:num>
  <w:num w:numId="9">
    <w:abstractNumId w:val="13"/>
  </w:num>
  <w:num w:numId="10">
    <w:abstractNumId w:val="10"/>
  </w:num>
  <w:num w:numId="11">
    <w:abstractNumId w:val="11"/>
  </w:num>
  <w:num w:numId="12">
    <w:abstractNumId w:val="8"/>
  </w:num>
  <w:num w:numId="13">
    <w:abstractNumId w:val="0"/>
  </w:num>
  <w:num w:numId="14">
    <w:abstractNumId w:val="2"/>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EFE"/>
    <w:rsid w:val="000451E5"/>
    <w:rsid w:val="000E4721"/>
    <w:rsid w:val="000F4613"/>
    <w:rsid w:val="00190A45"/>
    <w:rsid w:val="00332324"/>
    <w:rsid w:val="00350829"/>
    <w:rsid w:val="0036165F"/>
    <w:rsid w:val="00361B56"/>
    <w:rsid w:val="0037668A"/>
    <w:rsid w:val="00385EFE"/>
    <w:rsid w:val="003D7135"/>
    <w:rsid w:val="00423C49"/>
    <w:rsid w:val="00436AC2"/>
    <w:rsid w:val="0048777C"/>
    <w:rsid w:val="004937F2"/>
    <w:rsid w:val="004B71B1"/>
    <w:rsid w:val="00524F8D"/>
    <w:rsid w:val="005F4143"/>
    <w:rsid w:val="0065306E"/>
    <w:rsid w:val="00721DE0"/>
    <w:rsid w:val="00727671"/>
    <w:rsid w:val="007F4237"/>
    <w:rsid w:val="0080230B"/>
    <w:rsid w:val="0088305A"/>
    <w:rsid w:val="008C2DD7"/>
    <w:rsid w:val="008E0067"/>
    <w:rsid w:val="00963AB1"/>
    <w:rsid w:val="00A44289"/>
    <w:rsid w:val="00A615A6"/>
    <w:rsid w:val="00AF5C65"/>
    <w:rsid w:val="00BB221E"/>
    <w:rsid w:val="00BC3E10"/>
    <w:rsid w:val="00C07D00"/>
    <w:rsid w:val="00C50E06"/>
    <w:rsid w:val="00C52CFE"/>
    <w:rsid w:val="00C81620"/>
    <w:rsid w:val="00D1106C"/>
    <w:rsid w:val="00D86DEC"/>
    <w:rsid w:val="00E02BD8"/>
    <w:rsid w:val="00FB7555"/>
    <w:rsid w:val="00FE499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B71B1"/>
  </w:style>
  <w:style w:type="paragraph" w:styleId="Nadpis2">
    <w:name w:val="heading 2"/>
    <w:basedOn w:val="Normlny"/>
    <w:next w:val="Normlny"/>
    <w:link w:val="Nadpis2Char"/>
    <w:qFormat/>
    <w:rsid w:val="00350829"/>
    <w:pPr>
      <w:keepNext/>
      <w:spacing w:after="0" w:line="240" w:lineRule="auto"/>
      <w:outlineLvl w:val="1"/>
    </w:pPr>
    <w:rPr>
      <w:rFonts w:ascii="Arial" w:eastAsia="Times New Roman" w:hAnsi="Arial" w:cs="Times New Roman"/>
      <w:b/>
      <w:sz w:val="20"/>
      <w:szCs w:val="20"/>
      <w:lang w:val="en-US"/>
    </w:rPr>
  </w:style>
  <w:style w:type="paragraph" w:styleId="Nadpis6">
    <w:name w:val="heading 6"/>
    <w:basedOn w:val="Normlny"/>
    <w:next w:val="Normlny"/>
    <w:link w:val="Nadpis6Char"/>
    <w:qFormat/>
    <w:rsid w:val="00350829"/>
    <w:pPr>
      <w:keepNext/>
      <w:spacing w:after="0" w:line="240" w:lineRule="auto"/>
      <w:outlineLvl w:val="5"/>
    </w:pPr>
    <w:rPr>
      <w:rFonts w:ascii="Arial" w:eastAsia="Times New Roman" w:hAnsi="Arial" w:cs="Times New Roman"/>
      <w:b/>
      <w:color w:val="FF000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85EFE"/>
    <w:pPr>
      <w:spacing w:after="0" w:line="240" w:lineRule="auto"/>
      <w:ind w:left="720"/>
    </w:pPr>
    <w:rPr>
      <w:rFonts w:ascii="Calibri" w:hAnsi="Calibri" w:cs="Times New Roman"/>
      <w:lang w:eastAsia="sk-SK"/>
    </w:rPr>
  </w:style>
  <w:style w:type="character" w:customStyle="1" w:styleId="Nadpis2Char">
    <w:name w:val="Nadpis 2 Char"/>
    <w:basedOn w:val="Predvolenpsmoodseku"/>
    <w:link w:val="Nadpis2"/>
    <w:rsid w:val="00350829"/>
    <w:rPr>
      <w:rFonts w:ascii="Arial" w:eastAsia="Times New Roman" w:hAnsi="Arial" w:cs="Times New Roman"/>
      <w:b/>
      <w:sz w:val="20"/>
      <w:szCs w:val="20"/>
      <w:lang w:val="en-US"/>
    </w:rPr>
  </w:style>
  <w:style w:type="character" w:customStyle="1" w:styleId="Nadpis6Char">
    <w:name w:val="Nadpis 6 Char"/>
    <w:basedOn w:val="Predvolenpsmoodseku"/>
    <w:link w:val="Nadpis6"/>
    <w:rsid w:val="00350829"/>
    <w:rPr>
      <w:rFonts w:ascii="Arial" w:eastAsia="Times New Roman" w:hAnsi="Arial" w:cs="Times New Roman"/>
      <w:b/>
      <w:color w:val="FF0000"/>
      <w:sz w:val="20"/>
      <w:szCs w:val="20"/>
    </w:rPr>
  </w:style>
  <w:style w:type="paragraph" w:styleId="Nzov">
    <w:name w:val="Title"/>
    <w:basedOn w:val="Normlny"/>
    <w:link w:val="NzovChar"/>
    <w:qFormat/>
    <w:rsid w:val="00350829"/>
    <w:pPr>
      <w:spacing w:after="0" w:line="240" w:lineRule="auto"/>
      <w:jc w:val="center"/>
    </w:pPr>
    <w:rPr>
      <w:rFonts w:ascii="Arial" w:eastAsia="Times New Roman" w:hAnsi="Arial" w:cs="Times New Roman"/>
      <w:b/>
      <w:sz w:val="24"/>
      <w:szCs w:val="20"/>
      <w:lang w:val="en-US"/>
    </w:rPr>
  </w:style>
  <w:style w:type="character" w:customStyle="1" w:styleId="NzovChar">
    <w:name w:val="Názov Char"/>
    <w:basedOn w:val="Predvolenpsmoodseku"/>
    <w:link w:val="Nzov"/>
    <w:rsid w:val="00350829"/>
    <w:rPr>
      <w:rFonts w:ascii="Arial" w:eastAsia="Times New Roman" w:hAnsi="Arial" w:cs="Times New Roman"/>
      <w:b/>
      <w:sz w:val="24"/>
      <w:szCs w:val="20"/>
      <w:lang w:val="en-US"/>
    </w:rPr>
  </w:style>
  <w:style w:type="paragraph" w:styleId="Textpoznmkypodiarou">
    <w:name w:val="footnote text"/>
    <w:basedOn w:val="Normlny"/>
    <w:link w:val="TextpoznmkypodiarouChar"/>
    <w:semiHidden/>
    <w:rsid w:val="00350829"/>
    <w:pPr>
      <w:spacing w:after="0" w:line="240" w:lineRule="auto"/>
    </w:pPr>
    <w:rPr>
      <w:rFonts w:ascii="Arial" w:eastAsia="Times New Roman" w:hAnsi="Arial" w:cs="Times New Roman"/>
      <w:sz w:val="20"/>
      <w:szCs w:val="20"/>
      <w:lang w:val="en-US"/>
    </w:rPr>
  </w:style>
  <w:style w:type="character" w:customStyle="1" w:styleId="TextpoznmkypodiarouChar">
    <w:name w:val="Text poznámky pod čiarou Char"/>
    <w:basedOn w:val="Predvolenpsmoodseku"/>
    <w:link w:val="Textpoznmkypodiarou"/>
    <w:semiHidden/>
    <w:rsid w:val="00350829"/>
    <w:rPr>
      <w:rFonts w:ascii="Arial" w:eastAsia="Times New Roman" w:hAnsi="Arial" w:cs="Times New Roman"/>
      <w:sz w:val="20"/>
      <w:szCs w:val="20"/>
      <w:lang w:val="en-US"/>
    </w:rPr>
  </w:style>
  <w:style w:type="paragraph" w:styleId="Pta">
    <w:name w:val="footer"/>
    <w:basedOn w:val="Normlny"/>
    <w:link w:val="PtaChar"/>
    <w:uiPriority w:val="99"/>
    <w:rsid w:val="00350829"/>
    <w:pPr>
      <w:tabs>
        <w:tab w:val="center" w:pos="4320"/>
        <w:tab w:val="right" w:pos="8640"/>
      </w:tabs>
      <w:spacing w:after="0" w:line="240" w:lineRule="auto"/>
    </w:pPr>
    <w:rPr>
      <w:rFonts w:ascii="Arial" w:eastAsia="Times New Roman" w:hAnsi="Arial" w:cs="Times New Roman"/>
      <w:sz w:val="18"/>
      <w:szCs w:val="20"/>
      <w:lang w:val="en-US"/>
    </w:rPr>
  </w:style>
  <w:style w:type="character" w:customStyle="1" w:styleId="PtaChar">
    <w:name w:val="Päta Char"/>
    <w:basedOn w:val="Predvolenpsmoodseku"/>
    <w:link w:val="Pta"/>
    <w:uiPriority w:val="99"/>
    <w:rsid w:val="00350829"/>
    <w:rPr>
      <w:rFonts w:ascii="Arial" w:eastAsia="Times New Roman" w:hAnsi="Arial" w:cs="Times New Roman"/>
      <w:sz w:val="18"/>
      <w:szCs w:val="20"/>
      <w:lang w:val="en-US"/>
    </w:rPr>
  </w:style>
  <w:style w:type="paragraph" w:styleId="Hlavika">
    <w:name w:val="header"/>
    <w:basedOn w:val="Normlny"/>
    <w:link w:val="HlavikaChar"/>
    <w:semiHidden/>
    <w:rsid w:val="00350829"/>
    <w:pPr>
      <w:tabs>
        <w:tab w:val="center" w:pos="4536"/>
        <w:tab w:val="right" w:pos="9072"/>
      </w:tabs>
      <w:spacing w:after="0" w:line="240" w:lineRule="auto"/>
    </w:pPr>
    <w:rPr>
      <w:rFonts w:ascii="Arial" w:eastAsia="Times New Roman" w:hAnsi="Arial" w:cs="Times New Roman"/>
      <w:sz w:val="18"/>
      <w:szCs w:val="20"/>
      <w:lang w:val="en-US"/>
    </w:rPr>
  </w:style>
  <w:style w:type="character" w:customStyle="1" w:styleId="HlavikaChar">
    <w:name w:val="Hlavička Char"/>
    <w:basedOn w:val="Predvolenpsmoodseku"/>
    <w:link w:val="Hlavika"/>
    <w:semiHidden/>
    <w:rsid w:val="00350829"/>
    <w:rPr>
      <w:rFonts w:ascii="Arial" w:eastAsia="Times New Roman" w:hAnsi="Arial" w:cs="Times New Roman"/>
      <w:sz w:val="18"/>
      <w:szCs w:val="20"/>
      <w:lang w:val="en-US"/>
    </w:rPr>
  </w:style>
  <w:style w:type="paragraph" w:customStyle="1" w:styleId="Default">
    <w:name w:val="Default"/>
    <w:rsid w:val="00350829"/>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ew">
    <w:name w:val="new"/>
    <w:basedOn w:val="Predvolenpsmoodseku"/>
    <w:rsid w:val="008C2DD7"/>
  </w:style>
  <w:style w:type="paragraph" w:styleId="Obyajntext">
    <w:name w:val="Plain Text"/>
    <w:basedOn w:val="Normlny"/>
    <w:link w:val="ObyajntextChar"/>
    <w:uiPriority w:val="99"/>
    <w:unhideWhenUsed/>
    <w:rsid w:val="008C2DD7"/>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8C2DD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179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fZzSRInternal('14733',%20'9833498',%20'0',%20'0',%20'0',%20'5686619')" TargetMode="External"/><Relationship Id="rId5" Type="http://schemas.openxmlformats.org/officeDocument/2006/relationships/hyperlink" Target="javascript:%20fZzSRInternal('14733',%20'9833491',%20'9833491',%20'131228',%20'131231',%20'0')"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1527</Words>
  <Characters>8708</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40</cp:revision>
  <dcterms:created xsi:type="dcterms:W3CDTF">2012-01-19T09:20:00Z</dcterms:created>
  <dcterms:modified xsi:type="dcterms:W3CDTF">2012-02-28T13:09:00Z</dcterms:modified>
</cp:coreProperties>
</file>