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F1" w:rsidRDefault="0073591B" w:rsidP="00226F01">
      <w:pPr>
        <w:pBdr>
          <w:bottom w:val="single" w:sz="6" w:space="1" w:color="auto"/>
        </w:pBdr>
      </w:pPr>
      <w:bookmarkStart w:id="0" w:name="_GoBack"/>
      <w:bookmarkEnd w:id="0"/>
      <w:r>
        <w:t xml:space="preserve">UNIQA poisťovňa, a.s. - </w:t>
      </w:r>
      <w:r w:rsidR="00226F01">
        <w:t xml:space="preserve">Pripomienky k návrhu nariadenia vlády </w:t>
      </w:r>
    </w:p>
    <w:p w:rsidR="00226F01" w:rsidRDefault="00226F01" w:rsidP="00226F01"/>
    <w:p w:rsidR="00226F01" w:rsidRPr="00226F01" w:rsidRDefault="00226F01" w:rsidP="00226F01">
      <w:pPr>
        <w:rPr>
          <w:b/>
        </w:rPr>
      </w:pPr>
      <w:r w:rsidRPr="00226F01">
        <w:rPr>
          <w:b/>
        </w:rPr>
        <w:t>K bodu 1b</w:t>
      </w:r>
    </w:p>
    <w:p w:rsidR="00226F01" w:rsidRPr="00226F01" w:rsidRDefault="00226F01" w:rsidP="00226F01">
      <w:pPr>
        <w:spacing w:after="0" w:line="240" w:lineRule="auto"/>
        <w:jc w:val="center"/>
        <w:rPr>
          <w:rFonts w:ascii="Times New Roman" w:hAnsi="Times New Roman"/>
          <w:i/>
          <w:sz w:val="24"/>
          <w:szCs w:val="24"/>
        </w:rPr>
      </w:pPr>
      <w:r w:rsidRPr="00226F01">
        <w:rPr>
          <w:rFonts w:ascii="Times New Roman" w:hAnsi="Times New Roman"/>
          <w:i/>
          <w:sz w:val="24"/>
          <w:szCs w:val="24"/>
        </w:rPr>
        <w:t>§ 1b</w:t>
      </w:r>
    </w:p>
    <w:p w:rsidR="00226F01" w:rsidRPr="00226F01" w:rsidRDefault="00226F01" w:rsidP="00226F01">
      <w:pPr>
        <w:spacing w:after="0" w:line="240" w:lineRule="auto"/>
        <w:jc w:val="center"/>
        <w:rPr>
          <w:rFonts w:ascii="Times New Roman" w:hAnsi="Times New Roman"/>
          <w:i/>
          <w:sz w:val="24"/>
          <w:szCs w:val="24"/>
        </w:rPr>
      </w:pPr>
      <w:r w:rsidRPr="00226F01">
        <w:rPr>
          <w:rFonts w:ascii="Times New Roman" w:hAnsi="Times New Roman"/>
          <w:i/>
          <w:sz w:val="24"/>
          <w:szCs w:val="24"/>
        </w:rPr>
        <w:t>Veľkosť písma zmluvných podmienok v spotrebiteľskej zmluve</w:t>
      </w:r>
    </w:p>
    <w:p w:rsidR="00226F01" w:rsidRPr="00226F01" w:rsidRDefault="00226F01" w:rsidP="00226F01">
      <w:pPr>
        <w:spacing w:after="0" w:line="240" w:lineRule="auto"/>
        <w:jc w:val="center"/>
        <w:rPr>
          <w:rFonts w:ascii="Times New Roman" w:hAnsi="Times New Roman"/>
          <w:i/>
          <w:sz w:val="24"/>
          <w:szCs w:val="24"/>
        </w:rPr>
      </w:pPr>
      <w:r w:rsidRPr="00226F01">
        <w:rPr>
          <w:rFonts w:ascii="Times New Roman" w:hAnsi="Times New Roman"/>
          <w:i/>
          <w:sz w:val="24"/>
          <w:szCs w:val="24"/>
        </w:rPr>
        <w:t>a súvisiacich dokumentoch</w:t>
      </w:r>
    </w:p>
    <w:p w:rsidR="00226F01" w:rsidRPr="00226F01" w:rsidRDefault="00226F01" w:rsidP="00226F01">
      <w:pPr>
        <w:spacing w:after="0" w:line="240" w:lineRule="auto"/>
        <w:jc w:val="center"/>
        <w:rPr>
          <w:rFonts w:ascii="Times New Roman" w:hAnsi="Times New Roman"/>
          <w:i/>
          <w:sz w:val="24"/>
          <w:szCs w:val="24"/>
        </w:rPr>
      </w:pPr>
      <w:r w:rsidRPr="00226F01">
        <w:rPr>
          <w:rFonts w:ascii="Times New Roman" w:hAnsi="Times New Roman"/>
          <w:i/>
          <w:sz w:val="24"/>
          <w:szCs w:val="24"/>
        </w:rPr>
        <w:t>(§ 53c)</w:t>
      </w:r>
    </w:p>
    <w:p w:rsidR="00226F01" w:rsidRPr="00226F01" w:rsidRDefault="00226F01" w:rsidP="00226F01">
      <w:pPr>
        <w:spacing w:after="0" w:line="240" w:lineRule="auto"/>
        <w:jc w:val="center"/>
        <w:rPr>
          <w:rFonts w:ascii="Times New Roman" w:hAnsi="Times New Roman"/>
          <w:i/>
          <w:sz w:val="24"/>
          <w:szCs w:val="24"/>
        </w:rPr>
      </w:pPr>
    </w:p>
    <w:p w:rsidR="00226F01" w:rsidRPr="00226F01" w:rsidRDefault="00226F01" w:rsidP="00226F01">
      <w:pPr>
        <w:spacing w:after="0" w:line="240" w:lineRule="auto"/>
        <w:jc w:val="both"/>
        <w:rPr>
          <w:rFonts w:ascii="Times New Roman" w:hAnsi="Times New Roman"/>
          <w:i/>
          <w:sz w:val="24"/>
          <w:szCs w:val="24"/>
        </w:rPr>
      </w:pPr>
      <w:r w:rsidRPr="00226F01">
        <w:rPr>
          <w:rFonts w:ascii="Times New Roman" w:hAnsi="Times New Roman"/>
          <w:i/>
          <w:sz w:val="24"/>
          <w:szCs w:val="24"/>
        </w:rPr>
        <w:tab/>
        <w:t>Ustanovenia spotrebiteľskej zmluvy, ako aj ustanovenia obsiahnuté vo všeobecných obchodných podmienkach alebo v akýchkoľvek iných zmluvných dokumentoch súvisiacich so spotrebiteľskou zmluvou musí dodávateľ uviesť písmom o veľkosti najmenej 12 bodov.</w:t>
      </w:r>
    </w:p>
    <w:p w:rsidR="00226F01" w:rsidRPr="00226F01" w:rsidRDefault="00226F01" w:rsidP="00226F01">
      <w:pPr>
        <w:spacing w:after="0" w:line="240" w:lineRule="auto"/>
        <w:jc w:val="both"/>
        <w:rPr>
          <w:rFonts w:ascii="Times New Roman" w:hAnsi="Times New Roman"/>
          <w:i/>
          <w:sz w:val="24"/>
          <w:szCs w:val="24"/>
        </w:rPr>
      </w:pPr>
    </w:p>
    <w:p w:rsidR="00226F01" w:rsidRDefault="00226F01" w:rsidP="00B4587E">
      <w:pPr>
        <w:pStyle w:val="Odsekzoznamu"/>
        <w:numPr>
          <w:ilvl w:val="0"/>
          <w:numId w:val="1"/>
        </w:numPr>
        <w:ind w:hanging="720"/>
        <w:jc w:val="both"/>
      </w:pPr>
      <w:r w:rsidRPr="00EF3D46">
        <w:rPr>
          <w:b/>
        </w:rPr>
        <w:t>Veľmi široká definícia</w:t>
      </w:r>
      <w:r>
        <w:t xml:space="preserve"> – akékoľvek iné dokumenty súvisiace so spotrebiteľskou zmluvou. Takáto definícia bude spôsobovať problém pri aplikácii tohto ustanovenia, každý dodávateľ si bude tieto ustanovenia vykladať po svojom čo jednoznačne bude spôsobovať zbytočné konflikty medzi dodávateľom a spotrebiteľom. Máme za to, že </w:t>
      </w:r>
      <w:r w:rsidR="0073591B">
        <w:t xml:space="preserve">cieľom </w:t>
      </w:r>
      <w:r>
        <w:t>predkladateľ</w:t>
      </w:r>
      <w:r w:rsidR="0073591B">
        <w:t>a</w:t>
      </w:r>
      <w:r>
        <w:t xml:space="preserve">  zákona </w:t>
      </w:r>
      <w:r w:rsidR="0073591B">
        <w:t>bolo</w:t>
      </w:r>
      <w:r>
        <w:t xml:space="preserve"> ochrániť spotrebiteľa pri samotnom prvom úkone, kedy sa rozhoduje, či vôbec konkrétnu  spotrebiteľskú zmluvu uzavrieť . Preto máme za to, že uvedené ustanovenie by sa malo viazať iba na základné zmluvné dokumenty, ktoré tvoria zmluvu ako takú – v prípade poisťovní návrh poistnej zmluvy,</w:t>
      </w:r>
      <w:r w:rsidR="0073591B">
        <w:t xml:space="preserve"> </w:t>
      </w:r>
      <w:r>
        <w:t>všeobecné poistné podmienky a zmluvné dojednania, poistka a ďalej na dokumenty, ktoré môžu mať za následok vznik, zmenu alebo zánik spotrebiteľskej zmluvy.</w:t>
      </w:r>
    </w:p>
    <w:p w:rsidR="00226F01" w:rsidRDefault="00226F01" w:rsidP="00B4587E">
      <w:pPr>
        <w:pStyle w:val="Odsekzoznamu"/>
        <w:jc w:val="both"/>
      </w:pPr>
    </w:p>
    <w:p w:rsidR="00B4587E" w:rsidRDefault="00226F01" w:rsidP="00B4587E">
      <w:pPr>
        <w:pStyle w:val="Odsekzoznamu"/>
        <w:numPr>
          <w:ilvl w:val="0"/>
          <w:numId w:val="1"/>
        </w:numPr>
        <w:ind w:hanging="720"/>
        <w:jc w:val="both"/>
      </w:pPr>
      <w:r w:rsidRPr="00EF3D46">
        <w:rPr>
          <w:b/>
        </w:rPr>
        <w:t>Veľkosť písma 12 bodov</w:t>
      </w:r>
      <w:r>
        <w:t xml:space="preserve">  </w:t>
      </w:r>
    </w:p>
    <w:p w:rsidR="00B4587E" w:rsidRDefault="00B4587E" w:rsidP="00B4587E">
      <w:pPr>
        <w:pStyle w:val="Odsekzoznamu"/>
        <w:jc w:val="both"/>
      </w:pPr>
    </w:p>
    <w:p w:rsidR="00B4587E" w:rsidRDefault="00EB006F" w:rsidP="00B4587E">
      <w:pPr>
        <w:pStyle w:val="Odsekzoznamu"/>
        <w:numPr>
          <w:ilvl w:val="0"/>
          <w:numId w:val="2"/>
        </w:numPr>
        <w:jc w:val="both"/>
      </w:pPr>
      <w:r>
        <w:t>chýba definícia čo je to bod</w:t>
      </w:r>
    </w:p>
    <w:p w:rsidR="00B4587E" w:rsidRDefault="00B4587E" w:rsidP="00B4587E">
      <w:pPr>
        <w:pStyle w:val="Odsekzoznamu"/>
        <w:numPr>
          <w:ilvl w:val="0"/>
          <w:numId w:val="2"/>
        </w:numPr>
        <w:jc w:val="both"/>
      </w:pPr>
      <w:r>
        <w:t>písmo o veľkosti 12 môže mať v každom type písma v skutočnosti inú veľkosť</w:t>
      </w:r>
      <w:r w:rsidR="00EF3D46">
        <w:t xml:space="preserve">. Pritom rozdiel je značný – veľké písmeno </w:t>
      </w:r>
      <w:r w:rsidR="0073591B">
        <w:t xml:space="preserve">vo veľkosti 12 má </w:t>
      </w:r>
      <w:r w:rsidR="00EF3D46">
        <w:t>v </w:t>
      </w:r>
      <w:proofErr w:type="spellStart"/>
      <w:r w:rsidR="00EF3D46">
        <w:t>Arial</w:t>
      </w:r>
      <w:proofErr w:type="spellEnd"/>
      <w:r w:rsidR="00EF3D46">
        <w:t xml:space="preserve"> 4mm, v </w:t>
      </w:r>
      <w:proofErr w:type="spellStart"/>
      <w:r w:rsidR="00EF3D46">
        <w:t>Cordial</w:t>
      </w:r>
      <w:proofErr w:type="spellEnd"/>
      <w:r w:rsidR="00EF3D46">
        <w:t xml:space="preserve"> 2mm! </w:t>
      </w:r>
      <w:r>
        <w:t xml:space="preserve"> </w:t>
      </w:r>
      <w:r w:rsidR="00EF3D46">
        <w:t>V</w:t>
      </w:r>
      <w:r w:rsidR="0073591B">
        <w:t> </w:t>
      </w:r>
      <w:r w:rsidR="00EF3D46">
        <w:t>prípade</w:t>
      </w:r>
      <w:r w:rsidR="0073591B">
        <w:t>,</w:t>
      </w:r>
      <w:r w:rsidR="00EF3D46">
        <w:t xml:space="preserve"> ak by však predkladateľ chcel upraviť aj konkrétny typ písma máme za to, že toto riešenie by narazilo na problémy firemnej kultúry a firemnej identity jednotlivých spoločností, ktorá </w:t>
      </w:r>
      <w:proofErr w:type="spellStart"/>
      <w:r w:rsidR="00EF3D46">
        <w:t>častokrát</w:t>
      </w:r>
      <w:proofErr w:type="spellEnd"/>
      <w:r w:rsidR="00EF3D46">
        <w:t xml:space="preserve"> je daná pravidlami materských spoločností a identitu musia dodržiavať všetky dcérske spoločnosti.</w:t>
      </w:r>
      <w:r w:rsidR="00226F01">
        <w:t xml:space="preserve"> </w:t>
      </w:r>
    </w:p>
    <w:p w:rsidR="00B4587E" w:rsidRDefault="00B4587E" w:rsidP="00B4587E">
      <w:pPr>
        <w:pStyle w:val="Odsekzoznamu"/>
        <w:jc w:val="both"/>
      </w:pPr>
    </w:p>
    <w:p w:rsidR="00B4587E" w:rsidRDefault="00B4587E" w:rsidP="00B4587E">
      <w:pPr>
        <w:pStyle w:val="Odsekzoznamu"/>
        <w:jc w:val="both"/>
      </w:pPr>
      <w:r>
        <w:t>Viď príklady:</w:t>
      </w:r>
    </w:p>
    <w:p w:rsidR="00B4587E" w:rsidRDefault="00B4587E" w:rsidP="00B4587E">
      <w:pPr>
        <w:pStyle w:val="Odsekzoznamu"/>
        <w:jc w:val="both"/>
      </w:pPr>
    </w:p>
    <w:p w:rsidR="00B4587E" w:rsidRPr="00B4587E" w:rsidRDefault="00B4587E" w:rsidP="00B4587E">
      <w:pPr>
        <w:pStyle w:val="Odsekzoznamu"/>
        <w:jc w:val="both"/>
        <w:rPr>
          <w:rFonts w:ascii="Arial" w:hAnsi="Arial" w:cs="Arial"/>
          <w:sz w:val="24"/>
          <w:szCs w:val="24"/>
        </w:rPr>
      </w:pPr>
      <w:r w:rsidRPr="00B4587E">
        <w:rPr>
          <w:rFonts w:ascii="Arial" w:hAnsi="Arial" w:cs="Arial"/>
          <w:sz w:val="24"/>
          <w:szCs w:val="24"/>
        </w:rPr>
        <w:t xml:space="preserve">A – </w:t>
      </w:r>
      <w:proofErr w:type="spellStart"/>
      <w:r>
        <w:rPr>
          <w:rFonts w:ascii="Arial" w:hAnsi="Arial" w:cs="Arial"/>
          <w:sz w:val="24"/>
          <w:szCs w:val="24"/>
        </w:rPr>
        <w:t>Arial</w:t>
      </w:r>
      <w:proofErr w:type="spellEnd"/>
      <w:r w:rsidRPr="00B4587E">
        <w:rPr>
          <w:rFonts w:ascii="Arial" w:hAnsi="Arial" w:cs="Arial"/>
          <w:sz w:val="24"/>
          <w:szCs w:val="24"/>
        </w:rPr>
        <w:t xml:space="preserve"> 12</w:t>
      </w:r>
    </w:p>
    <w:p w:rsidR="00226F01" w:rsidRDefault="00B4587E" w:rsidP="00B4587E">
      <w:pPr>
        <w:pStyle w:val="Odsekzoznamu"/>
        <w:jc w:val="both"/>
        <w:rPr>
          <w:rFonts w:ascii="CordiaUPC" w:hAnsi="CordiaUPC" w:cs="CordiaUPC"/>
          <w:sz w:val="24"/>
          <w:szCs w:val="24"/>
        </w:rPr>
      </w:pPr>
      <w:r w:rsidRPr="00B4587E">
        <w:rPr>
          <w:rFonts w:ascii="CordiaUPC" w:hAnsi="CordiaUPC" w:cs="CordiaUPC"/>
          <w:sz w:val="24"/>
          <w:szCs w:val="24"/>
        </w:rPr>
        <w:t>A</w:t>
      </w:r>
      <w:r>
        <w:rPr>
          <w:rFonts w:ascii="CordiaUPC" w:hAnsi="CordiaUPC" w:cs="CordiaUPC"/>
          <w:sz w:val="24"/>
          <w:szCs w:val="24"/>
        </w:rPr>
        <w:t xml:space="preserve"> – </w:t>
      </w:r>
      <w:proofErr w:type="spellStart"/>
      <w:r>
        <w:rPr>
          <w:rFonts w:ascii="CordiaUPC" w:hAnsi="CordiaUPC" w:cs="CordiaUPC"/>
          <w:sz w:val="24"/>
          <w:szCs w:val="24"/>
        </w:rPr>
        <w:t>CordialUPC</w:t>
      </w:r>
      <w:proofErr w:type="spellEnd"/>
      <w:r>
        <w:rPr>
          <w:rFonts w:ascii="CordiaUPC" w:hAnsi="CordiaUPC" w:cs="CordiaUPC"/>
          <w:sz w:val="24"/>
          <w:szCs w:val="24"/>
        </w:rPr>
        <w:t xml:space="preserve"> 12</w:t>
      </w:r>
      <w:r w:rsidR="00226F01" w:rsidRPr="00B4587E">
        <w:rPr>
          <w:rFonts w:ascii="CordiaUPC" w:hAnsi="CordiaUPC" w:cs="CordiaUPC"/>
          <w:sz w:val="24"/>
          <w:szCs w:val="24"/>
        </w:rPr>
        <w:t xml:space="preserve"> </w:t>
      </w:r>
    </w:p>
    <w:p w:rsidR="00B4587E" w:rsidRDefault="00B4587E" w:rsidP="00B4587E">
      <w:pPr>
        <w:pStyle w:val="Odsekzoznamu"/>
        <w:jc w:val="both"/>
        <w:rPr>
          <w:rFonts w:ascii="DaunPenh" w:hAnsi="DaunPenh" w:cs="DaunPenh"/>
          <w:sz w:val="24"/>
          <w:szCs w:val="24"/>
        </w:rPr>
      </w:pPr>
      <w:r>
        <w:rPr>
          <w:rFonts w:ascii="DaunPenh" w:hAnsi="DaunPenh" w:cs="DaunPenh"/>
          <w:sz w:val="24"/>
          <w:szCs w:val="24"/>
        </w:rPr>
        <w:t xml:space="preserve">A – </w:t>
      </w:r>
      <w:proofErr w:type="spellStart"/>
      <w:r>
        <w:rPr>
          <w:rFonts w:ascii="DaunPenh" w:hAnsi="DaunPenh" w:cs="DaunPenh"/>
          <w:sz w:val="24"/>
          <w:szCs w:val="24"/>
        </w:rPr>
        <w:t>DaunPenh</w:t>
      </w:r>
      <w:proofErr w:type="spellEnd"/>
      <w:r>
        <w:rPr>
          <w:rFonts w:ascii="DaunPenh" w:hAnsi="DaunPenh" w:cs="DaunPenh"/>
          <w:sz w:val="24"/>
          <w:szCs w:val="24"/>
        </w:rPr>
        <w:t xml:space="preserve"> 12</w:t>
      </w:r>
    </w:p>
    <w:p w:rsidR="00AE45DB" w:rsidRDefault="00AE45DB" w:rsidP="00B4587E">
      <w:pPr>
        <w:pStyle w:val="Odsekzoznamu"/>
        <w:jc w:val="both"/>
        <w:rPr>
          <w:rFonts w:ascii="DaunPenh" w:hAnsi="DaunPenh" w:cs="DaunPenh"/>
          <w:sz w:val="24"/>
          <w:szCs w:val="24"/>
        </w:rPr>
      </w:pPr>
    </w:p>
    <w:p w:rsidR="0073591B" w:rsidRDefault="0073591B" w:rsidP="00B4587E">
      <w:pPr>
        <w:pStyle w:val="Odsekzoznamu"/>
        <w:jc w:val="both"/>
        <w:rPr>
          <w:rFonts w:ascii="DaunPenh" w:hAnsi="DaunPenh" w:cs="DaunPenh"/>
          <w:sz w:val="24"/>
          <w:szCs w:val="24"/>
        </w:rPr>
      </w:pPr>
    </w:p>
    <w:p w:rsidR="0073591B" w:rsidRDefault="0073591B" w:rsidP="00B4587E">
      <w:pPr>
        <w:pStyle w:val="Odsekzoznamu"/>
        <w:jc w:val="both"/>
        <w:rPr>
          <w:rFonts w:ascii="DaunPenh" w:hAnsi="DaunPenh" w:cs="DaunPenh"/>
          <w:sz w:val="24"/>
          <w:szCs w:val="24"/>
        </w:rPr>
      </w:pPr>
    </w:p>
    <w:p w:rsidR="0073591B" w:rsidRPr="00B4587E" w:rsidRDefault="0073591B" w:rsidP="00B4587E">
      <w:pPr>
        <w:pStyle w:val="Odsekzoznamu"/>
        <w:jc w:val="both"/>
        <w:rPr>
          <w:rFonts w:ascii="DaunPenh" w:hAnsi="DaunPenh" w:cs="DaunPenh"/>
          <w:sz w:val="24"/>
          <w:szCs w:val="24"/>
        </w:rPr>
      </w:pPr>
    </w:p>
    <w:p w:rsidR="00AE45DB" w:rsidRDefault="00AE45DB" w:rsidP="00AE45DB">
      <w:pPr>
        <w:pStyle w:val="Odsekzoznamu"/>
        <w:numPr>
          <w:ilvl w:val="0"/>
          <w:numId w:val="1"/>
        </w:numPr>
        <w:ind w:hanging="720"/>
        <w:rPr>
          <w:b/>
        </w:rPr>
      </w:pPr>
      <w:r>
        <w:rPr>
          <w:b/>
        </w:rPr>
        <w:lastRenderedPageBreak/>
        <w:t xml:space="preserve">Nie je zrejmé, či sa ustanovenia o veľkosti písma vzťahujú aj na elektronické dokumenty (on </w:t>
      </w:r>
      <w:proofErr w:type="spellStart"/>
      <w:r>
        <w:rPr>
          <w:b/>
        </w:rPr>
        <w:t>line</w:t>
      </w:r>
      <w:proofErr w:type="spellEnd"/>
      <w:r>
        <w:rPr>
          <w:b/>
        </w:rPr>
        <w:t xml:space="preserve"> poistenie a pod.)</w:t>
      </w:r>
    </w:p>
    <w:p w:rsidR="00AE45DB" w:rsidRDefault="00AE45DB" w:rsidP="0073591B">
      <w:pPr>
        <w:pStyle w:val="Odsekzoznamu"/>
        <w:jc w:val="both"/>
      </w:pPr>
      <w:r w:rsidRPr="00AE45DB">
        <w:t xml:space="preserve">Podľa nášho názoru by sa táto úprava mala týkať iba dokumentov predkladaných </w:t>
      </w:r>
      <w:r>
        <w:t xml:space="preserve">spotrebiteľovi </w:t>
      </w:r>
      <w:r w:rsidRPr="00AE45DB">
        <w:t xml:space="preserve">v papierovej forme, nakoľko elektronické dokumenty si spotrebiteľ kedykoľvek môže podľa vlastnej potreby </w:t>
      </w:r>
      <w:r>
        <w:t xml:space="preserve">prispôsobiť a </w:t>
      </w:r>
      <w:r w:rsidRPr="00AE45DB">
        <w:t>zväčšiť aj o 200%.</w:t>
      </w:r>
    </w:p>
    <w:p w:rsidR="0073591B" w:rsidRPr="00AE45DB" w:rsidRDefault="0073591B" w:rsidP="0073591B">
      <w:pPr>
        <w:pStyle w:val="Odsekzoznamu"/>
        <w:jc w:val="both"/>
      </w:pPr>
    </w:p>
    <w:p w:rsidR="00EF3D46" w:rsidRPr="00AE45DB" w:rsidRDefault="00AE45DB" w:rsidP="00AE45DB">
      <w:pPr>
        <w:pStyle w:val="Odsekzoznamu"/>
        <w:numPr>
          <w:ilvl w:val="0"/>
          <w:numId w:val="1"/>
        </w:numPr>
        <w:ind w:hanging="720"/>
        <w:rPr>
          <w:b/>
        </w:rPr>
      </w:pPr>
      <w:r w:rsidRPr="00AE45DB">
        <w:rPr>
          <w:b/>
        </w:rPr>
        <w:t xml:space="preserve">Veľkosť písma v </w:t>
      </w:r>
      <w:r w:rsidR="00EF3D46" w:rsidRPr="00AE45DB">
        <w:rPr>
          <w:b/>
        </w:rPr>
        <w:t>Zbierk</w:t>
      </w:r>
      <w:r w:rsidRPr="00AE45DB">
        <w:rPr>
          <w:b/>
        </w:rPr>
        <w:t>e</w:t>
      </w:r>
      <w:r w:rsidR="00EF3D46" w:rsidRPr="00AE45DB">
        <w:rPr>
          <w:b/>
        </w:rPr>
        <w:t xml:space="preserve"> zákonov </w:t>
      </w:r>
    </w:p>
    <w:p w:rsidR="00EF3D46" w:rsidRDefault="00EF3D46" w:rsidP="00AE45DB">
      <w:pPr>
        <w:ind w:left="709" w:hanging="1"/>
        <w:jc w:val="both"/>
      </w:pPr>
      <w:r>
        <w:t>Podrobili sme testovaniu právne predpisy publikované v samotnej elektronickej zbierke zákonov. Tá ako je všeobecne známe slúži k oboznamovaniu sa širokej verejnosti so znením samotných právnych predpisov a teda musí byť podľa nášho názoru v dostatočnej veľkosti písma.</w:t>
      </w:r>
    </w:p>
    <w:p w:rsidR="00EF3D46" w:rsidRDefault="00EF3D46" w:rsidP="00AE45DB">
      <w:pPr>
        <w:ind w:left="709" w:hanging="1"/>
        <w:jc w:val="both"/>
        <w:rPr>
          <w:b/>
        </w:rPr>
      </w:pPr>
      <w:r>
        <w:t xml:space="preserve">Po skopírovaní textu právneho predpisu z PDF do </w:t>
      </w:r>
      <w:proofErr w:type="spellStart"/>
      <w:r>
        <w:t>wordu</w:t>
      </w:r>
      <w:proofErr w:type="spellEnd"/>
      <w:r>
        <w:t xml:space="preserve"> </w:t>
      </w:r>
      <w:r w:rsidR="00AE45DB">
        <w:t xml:space="preserve">bez akýchkoľvek zásahov </w:t>
      </w:r>
      <w:r>
        <w:t xml:space="preserve">nám </w:t>
      </w:r>
      <w:proofErr w:type="spellStart"/>
      <w:r>
        <w:t>word</w:t>
      </w:r>
      <w:proofErr w:type="spellEnd"/>
      <w:r>
        <w:t xml:space="preserve"> ukázal </w:t>
      </w:r>
      <w:r w:rsidRPr="00AE45DB">
        <w:rPr>
          <w:b/>
        </w:rPr>
        <w:t>veľkosť písma 9,5!</w:t>
      </w:r>
    </w:p>
    <w:p w:rsidR="00AE45DB" w:rsidRDefault="0073591B" w:rsidP="00AE45DB">
      <w:pPr>
        <w:jc w:val="both"/>
        <w:rPr>
          <w:b/>
        </w:rPr>
      </w:pPr>
      <w:r>
        <w:rPr>
          <w:b/>
        </w:rPr>
        <w:t>K</w:t>
      </w:r>
      <w:r w:rsidR="00AE45DB">
        <w:rPr>
          <w:b/>
        </w:rPr>
        <w:t> čl. II</w:t>
      </w:r>
    </w:p>
    <w:p w:rsidR="00AE45DB" w:rsidRPr="00AE45DB" w:rsidRDefault="00AE45DB" w:rsidP="00AE45DB">
      <w:pPr>
        <w:spacing w:after="0" w:line="240" w:lineRule="auto"/>
        <w:jc w:val="center"/>
        <w:rPr>
          <w:rFonts w:ascii="Times New Roman" w:hAnsi="Times New Roman"/>
          <w:b/>
          <w:i/>
          <w:sz w:val="24"/>
          <w:szCs w:val="24"/>
        </w:rPr>
      </w:pPr>
      <w:r w:rsidRPr="00AE45DB">
        <w:rPr>
          <w:rFonts w:ascii="Times New Roman" w:hAnsi="Times New Roman"/>
          <w:b/>
          <w:i/>
          <w:sz w:val="24"/>
          <w:szCs w:val="24"/>
        </w:rPr>
        <w:t>Čl. II</w:t>
      </w:r>
    </w:p>
    <w:p w:rsidR="00AE45DB" w:rsidRPr="00AE45DB" w:rsidRDefault="00AE45DB" w:rsidP="00AE45DB">
      <w:pPr>
        <w:spacing w:after="0" w:line="240" w:lineRule="auto"/>
        <w:jc w:val="center"/>
        <w:rPr>
          <w:rFonts w:ascii="Times New Roman" w:hAnsi="Times New Roman"/>
          <w:b/>
          <w:i/>
          <w:sz w:val="24"/>
          <w:szCs w:val="24"/>
        </w:rPr>
      </w:pPr>
    </w:p>
    <w:p w:rsidR="00AE45DB" w:rsidRPr="00AE45DB" w:rsidRDefault="00AE45DB" w:rsidP="00AE45DB">
      <w:pPr>
        <w:spacing w:after="0" w:line="240" w:lineRule="auto"/>
        <w:ind w:firstLine="708"/>
        <w:jc w:val="both"/>
        <w:rPr>
          <w:rFonts w:ascii="Times New Roman" w:hAnsi="Times New Roman"/>
          <w:i/>
          <w:sz w:val="24"/>
          <w:szCs w:val="24"/>
        </w:rPr>
      </w:pPr>
      <w:r w:rsidRPr="00AE45DB">
        <w:rPr>
          <w:rFonts w:ascii="Times New Roman" w:hAnsi="Times New Roman"/>
          <w:i/>
          <w:sz w:val="24"/>
          <w:szCs w:val="24"/>
        </w:rPr>
        <w:t>Toto nariadenie nadobúda účinnosť 1. júna 2014 okrem bodov 2 a 3 § 1a a 1b, ktoré nadobúdajú účinnosť 1. septembra 2014.</w:t>
      </w:r>
    </w:p>
    <w:p w:rsidR="00AE45DB" w:rsidRDefault="00AE45DB" w:rsidP="00AE45DB">
      <w:pPr>
        <w:jc w:val="both"/>
      </w:pPr>
    </w:p>
    <w:p w:rsidR="00AE45DB" w:rsidRDefault="00AE45DB" w:rsidP="00AE45DB">
      <w:pPr>
        <w:jc w:val="both"/>
      </w:pPr>
      <w:r>
        <w:t xml:space="preserve">Hoci zo strany predkladateľa došlo k určitej úprave prechodných ustanovení vo vzťahu k ustanoveniu o veľkosti písma stále </w:t>
      </w:r>
      <w:r w:rsidR="0022076B">
        <w:t xml:space="preserve">máme za to, že vzhľadom na rozsah a počet dokumentov, ktoré bude treba úplne od základov prepracovať (v našej poisťovni by to pri širšom výklade tohto ustanovenia bolo okolo </w:t>
      </w:r>
      <w:r w:rsidR="0073591B">
        <w:t>10</w:t>
      </w:r>
      <w:r w:rsidR="0022076B">
        <w:t>0</w:t>
      </w:r>
      <w:r w:rsidR="0073591B">
        <w:t>-120</w:t>
      </w:r>
      <w:r w:rsidR="0022076B">
        <w:t xml:space="preserve"> dokumentov!) je uvedený termín absolútne nereálny.</w:t>
      </w:r>
    </w:p>
    <w:p w:rsidR="0022076B" w:rsidRDefault="0022076B" w:rsidP="00AE45DB">
      <w:pPr>
        <w:jc w:val="both"/>
      </w:pPr>
      <w:r>
        <w:t>Treba pritom brať do úvahy nasledovné faktory:</w:t>
      </w:r>
    </w:p>
    <w:p w:rsidR="0022076B" w:rsidRDefault="0022076B" w:rsidP="0022076B">
      <w:pPr>
        <w:pStyle w:val="Odsekzoznamu"/>
        <w:numPr>
          <w:ilvl w:val="0"/>
          <w:numId w:val="3"/>
        </w:numPr>
        <w:jc w:val="both"/>
      </w:pPr>
      <w:r>
        <w:t>Počet dokumentov ktoré bude treba prepracovať</w:t>
      </w:r>
    </w:p>
    <w:p w:rsidR="0022076B" w:rsidRDefault="0022076B" w:rsidP="0022076B">
      <w:pPr>
        <w:pStyle w:val="Odsekzoznamu"/>
        <w:numPr>
          <w:ilvl w:val="0"/>
          <w:numId w:val="3"/>
        </w:numPr>
        <w:jc w:val="both"/>
      </w:pPr>
      <w:r>
        <w:t>Počet dodávateľov ktorých sa zmena bude týkať (poisťovne, banky, ostatný finančný sektor, operátori, dodávatelia energií a pod.)</w:t>
      </w:r>
    </w:p>
    <w:p w:rsidR="0022076B" w:rsidRDefault="0022076B" w:rsidP="0022076B">
      <w:pPr>
        <w:pStyle w:val="Odsekzoznamu"/>
        <w:numPr>
          <w:ilvl w:val="0"/>
          <w:numId w:val="3"/>
        </w:numPr>
        <w:jc w:val="both"/>
      </w:pPr>
      <w:r>
        <w:t xml:space="preserve">Počet tlačiarní, ktoré sú schopné tlačiť napríklad </w:t>
      </w:r>
      <w:proofErr w:type="spellStart"/>
      <w:r>
        <w:t>samoprepisovacie</w:t>
      </w:r>
      <w:proofErr w:type="spellEnd"/>
      <w:r>
        <w:t xml:space="preserve"> tlačivá a ich schopnosť uspokojiť požiadavky všetkých dotknutých dodávateľov v takom krátkom čase</w:t>
      </w:r>
    </w:p>
    <w:p w:rsidR="0022076B" w:rsidRDefault="0022076B" w:rsidP="0022076B">
      <w:pPr>
        <w:pStyle w:val="Odsekzoznamu"/>
        <w:numPr>
          <w:ilvl w:val="0"/>
          <w:numId w:val="3"/>
        </w:numPr>
        <w:jc w:val="both"/>
      </w:pPr>
      <w:r>
        <w:t>Nadchádzajúce dovolenkové obdobie</w:t>
      </w:r>
    </w:p>
    <w:p w:rsidR="000066E9" w:rsidRDefault="0022076B" w:rsidP="0022076B">
      <w:pPr>
        <w:jc w:val="both"/>
      </w:pPr>
      <w:r>
        <w:t>A</w:t>
      </w:r>
      <w:r w:rsidR="000066E9">
        <w:t xml:space="preserve"> v neposlednom rade treba brať do úvahy </w:t>
      </w:r>
      <w:r>
        <w:t>aj dôsledky stavu, kedy dodávatelia po 1.9.2014 nebudú mať všetky potrebné tlačivá v súlade so zákonom. Stanovením nedostatočného prechodného obdobia vystavuje predkladateľ riziku neplatnosti zmlúv nielen dodávateľov ale aj samotných spotrebiteľov! Predpokladáme, že cieľom novely mala byť ochrana spotrebiteľov a nie ich vystavovanie právnej neistote a následkom neplatných zmlúv</w:t>
      </w:r>
      <w:r w:rsidR="0073591B">
        <w:t xml:space="preserve"> čomu sa v prípade neposunutia prechodného obdobia nebude po 1.9.2014 dať zabrániť</w:t>
      </w:r>
      <w:r>
        <w:t>.</w:t>
      </w:r>
    </w:p>
    <w:p w:rsidR="00EF3D46" w:rsidRPr="0073591B" w:rsidRDefault="000066E9" w:rsidP="0073591B">
      <w:pPr>
        <w:jc w:val="both"/>
        <w:rPr>
          <w:u w:val="single"/>
        </w:rPr>
      </w:pPr>
      <w:r w:rsidRPr="0073591B">
        <w:rPr>
          <w:u w:val="single"/>
        </w:rPr>
        <w:t>Z uvedeného dôvodu veľmi dôrazne žiadame o posunutie účinnosti ustanovenia 1b najskôr k 1.1.2015!</w:t>
      </w:r>
    </w:p>
    <w:sectPr w:rsidR="00EF3D46" w:rsidRPr="0073591B" w:rsidSect="002F63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DaunPenh">
    <w:panose1 w:val="01010101010101010101"/>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4F4F"/>
    <w:multiLevelType w:val="hybridMultilevel"/>
    <w:tmpl w:val="A154B0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56E5A98"/>
    <w:multiLevelType w:val="hybridMultilevel"/>
    <w:tmpl w:val="9C4C7B80"/>
    <w:lvl w:ilvl="0" w:tplc="7DD607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76ED21D7"/>
    <w:multiLevelType w:val="hybridMultilevel"/>
    <w:tmpl w:val="9E7A4A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226F01"/>
    <w:rsid w:val="000066E9"/>
    <w:rsid w:val="000C62F1"/>
    <w:rsid w:val="0022076B"/>
    <w:rsid w:val="00226F01"/>
    <w:rsid w:val="002F63C5"/>
    <w:rsid w:val="0073591B"/>
    <w:rsid w:val="007B0F91"/>
    <w:rsid w:val="00AE45DB"/>
    <w:rsid w:val="00B4587E"/>
    <w:rsid w:val="00EB006F"/>
    <w:rsid w:val="00EF3D4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F63C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26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26F0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3485</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UNIQA poisťovňa, a.s.</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Dokupilova</dc:creator>
  <cp:lastModifiedBy>lehotska</cp:lastModifiedBy>
  <cp:revision>2</cp:revision>
  <dcterms:created xsi:type="dcterms:W3CDTF">2014-05-15T06:29:00Z</dcterms:created>
  <dcterms:modified xsi:type="dcterms:W3CDTF">2014-05-15T06:29:00Z</dcterms:modified>
</cp:coreProperties>
</file>