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E17" w:rsidRDefault="00E05E17">
      <w:pPr>
        <w:rPr>
          <w:rFonts w:ascii="Arial" w:hAnsi="Arial" w:cs="Arial"/>
          <w:sz w:val="20"/>
          <w:szCs w:val="20"/>
        </w:rPr>
      </w:pPr>
    </w:p>
    <w:p w:rsidR="00E05E17" w:rsidRDefault="00E05E17">
      <w:pPr>
        <w:rPr>
          <w:rFonts w:ascii="Arial" w:hAnsi="Arial" w:cs="Arial"/>
          <w:sz w:val="20"/>
          <w:szCs w:val="20"/>
        </w:rPr>
      </w:pPr>
    </w:p>
    <w:p w:rsidR="00DA78F7" w:rsidRPr="00DA476A" w:rsidRDefault="00081A0A">
      <w:pPr>
        <w:rPr>
          <w:rFonts w:ascii="Arial" w:hAnsi="Arial" w:cs="Arial"/>
          <w:sz w:val="20"/>
          <w:szCs w:val="20"/>
        </w:rPr>
      </w:pPr>
      <w:r w:rsidRPr="00DA476A">
        <w:rPr>
          <w:rFonts w:ascii="Arial" w:hAnsi="Arial" w:cs="Arial"/>
          <w:sz w:val="20"/>
          <w:szCs w:val="20"/>
        </w:rPr>
        <w:t>Pre: Slovenská asociácia poisťovní</w:t>
      </w:r>
    </w:p>
    <w:p w:rsidR="00081A0A" w:rsidRPr="00DA476A" w:rsidRDefault="00081A0A" w:rsidP="00A4088C">
      <w:pPr>
        <w:spacing w:after="0"/>
        <w:rPr>
          <w:rFonts w:ascii="Arial" w:hAnsi="Arial" w:cs="Arial"/>
          <w:sz w:val="20"/>
          <w:szCs w:val="20"/>
        </w:rPr>
      </w:pPr>
      <w:r w:rsidRPr="00DA476A">
        <w:rPr>
          <w:rFonts w:ascii="Arial" w:hAnsi="Arial" w:cs="Arial"/>
          <w:sz w:val="20"/>
          <w:szCs w:val="20"/>
        </w:rPr>
        <w:t xml:space="preserve">Od: </w:t>
      </w:r>
      <w:proofErr w:type="spellStart"/>
      <w:r w:rsidRPr="00DA476A">
        <w:rPr>
          <w:rFonts w:ascii="Arial" w:hAnsi="Arial" w:cs="Arial"/>
          <w:sz w:val="20"/>
          <w:szCs w:val="20"/>
        </w:rPr>
        <w:t>Union</w:t>
      </w:r>
      <w:proofErr w:type="spellEnd"/>
      <w:r w:rsidRPr="00DA476A">
        <w:rPr>
          <w:rFonts w:ascii="Arial" w:hAnsi="Arial" w:cs="Arial"/>
          <w:sz w:val="20"/>
          <w:szCs w:val="20"/>
        </w:rPr>
        <w:t xml:space="preserve"> poisťovňa</w:t>
      </w:r>
    </w:p>
    <w:p w:rsidR="00081A0A" w:rsidRPr="00DA476A" w:rsidRDefault="00081A0A" w:rsidP="00A4088C">
      <w:pPr>
        <w:spacing w:after="0"/>
        <w:rPr>
          <w:rFonts w:ascii="Arial" w:hAnsi="Arial" w:cs="Arial"/>
          <w:sz w:val="20"/>
          <w:szCs w:val="20"/>
        </w:rPr>
      </w:pPr>
      <w:r w:rsidRPr="00DA476A">
        <w:rPr>
          <w:rFonts w:ascii="Arial" w:hAnsi="Arial" w:cs="Arial"/>
          <w:sz w:val="20"/>
          <w:szCs w:val="20"/>
        </w:rPr>
        <w:t xml:space="preserve">       JUDr. Martin </w:t>
      </w:r>
      <w:proofErr w:type="spellStart"/>
      <w:r w:rsidRPr="00DA476A">
        <w:rPr>
          <w:rFonts w:ascii="Arial" w:hAnsi="Arial" w:cs="Arial"/>
          <w:sz w:val="20"/>
          <w:szCs w:val="20"/>
        </w:rPr>
        <w:t>Grešo</w:t>
      </w:r>
      <w:proofErr w:type="spellEnd"/>
    </w:p>
    <w:p w:rsidR="00081A0A" w:rsidRPr="00DA476A" w:rsidRDefault="00081A0A" w:rsidP="00A4088C">
      <w:pPr>
        <w:spacing w:after="0"/>
        <w:rPr>
          <w:rFonts w:ascii="Arial" w:hAnsi="Arial" w:cs="Arial"/>
          <w:sz w:val="20"/>
          <w:szCs w:val="20"/>
        </w:rPr>
      </w:pPr>
    </w:p>
    <w:p w:rsidR="00081A0A" w:rsidRPr="00DA476A" w:rsidRDefault="00081A0A" w:rsidP="00EA5FAB">
      <w:pPr>
        <w:spacing w:after="0" w:line="240" w:lineRule="auto"/>
        <w:rPr>
          <w:rFonts w:ascii="Arial" w:hAnsi="Arial" w:cs="Arial"/>
          <w:bCs/>
          <w:i/>
          <w:sz w:val="20"/>
          <w:szCs w:val="20"/>
          <w:u w:val="single"/>
        </w:rPr>
      </w:pPr>
      <w:r w:rsidRPr="00DA476A">
        <w:rPr>
          <w:rFonts w:ascii="Arial" w:hAnsi="Arial" w:cs="Arial"/>
          <w:i/>
          <w:sz w:val="20"/>
          <w:szCs w:val="20"/>
        </w:rPr>
        <w:t>Vec:</w:t>
      </w:r>
      <w:r w:rsidRPr="00DA476A">
        <w:rPr>
          <w:rFonts w:ascii="Arial" w:hAnsi="Arial" w:cs="Arial"/>
          <w:i/>
          <w:sz w:val="20"/>
          <w:szCs w:val="20"/>
          <w:u w:val="single"/>
        </w:rPr>
        <w:t xml:space="preserve"> Pripomienky k</w:t>
      </w:r>
      <w:r w:rsidR="00EA5FAB">
        <w:rPr>
          <w:rFonts w:ascii="Arial" w:hAnsi="Arial" w:cs="Arial"/>
          <w:i/>
          <w:sz w:val="20"/>
          <w:szCs w:val="20"/>
          <w:u w:val="single"/>
        </w:rPr>
        <w:t> návrhu novely zákona č. 186/2009 Z. z.</w:t>
      </w:r>
    </w:p>
    <w:p w:rsidR="00081A0A" w:rsidRPr="00DA476A" w:rsidRDefault="00081A0A">
      <w:pPr>
        <w:rPr>
          <w:rFonts w:ascii="Arial" w:hAnsi="Arial" w:cs="Arial"/>
          <w:sz w:val="20"/>
          <w:szCs w:val="20"/>
        </w:rPr>
      </w:pPr>
    </w:p>
    <w:p w:rsidR="00987634" w:rsidRDefault="005C202D" w:rsidP="005C202D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 bodu 11 - § 17 ods. 1 písm. p) – jedným z evidovaných údajov má byť aj „dátum ukončenia platnosti poistnej zmluvy“. Odkiaľ sa NBS dozvie tento údaj? Navrhujeme buď vypustiť alebo určiť poisťovni povinnosť informovať NBS o zániku takejto PZ.</w:t>
      </w:r>
    </w:p>
    <w:p w:rsidR="005C202D" w:rsidRDefault="005C202D" w:rsidP="005C202D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 bodu 11 - § 17 ods. 3 písm. k) – navrhujeme, aby evidovaným údajom bol aj údaj o prevzatí zodpovednosti navrhovateľom, aby bola zachovaná rovnaká logika ako je zavedená v registri SFA a PFA.</w:t>
      </w:r>
    </w:p>
    <w:p w:rsidR="005C202D" w:rsidRDefault="005C202D" w:rsidP="005C202D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 bodu 11 - § 17 ods. 5 písm. k) – navrhujeme doplniť o údaj o prevzatí zodpovednosti samostatným finančným agentom. Tento údaj je síce evidovaný v zozname samostatných finančných agentov, pre jednoduchšie vyhľadávanie údajov navrhujeme doplniť aj do evidencie podriadených finančných agentov.</w:t>
      </w:r>
    </w:p>
    <w:p w:rsidR="005C202D" w:rsidRDefault="005C202D" w:rsidP="005C202D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 bodom 19 (§ 21 ods. 3 písm. a)), 24 a 25 (§ 21 ods. 10 písm. a) a b)) – podporujeme vypustenie výnimky z požiadavky na odbornú spôsobilosť pri VFA a SFA.</w:t>
      </w:r>
    </w:p>
    <w:p w:rsidR="005C202D" w:rsidRDefault="005C202D" w:rsidP="005C202D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 bodu 32 - § 24 ods. 2 – navrhujeme, aby nebola prijatá zmena, podľa ktorej sa za slovo „povinný“ vkladajú slová „vnútorným predpisom“. Ide o administratívnu záťaž, keď na ustanovenie je podľa nášho názoru postačujúce rozhodnutie štatutárneho orgánu urobené v akejkoľvek forme. </w:t>
      </w:r>
    </w:p>
    <w:p w:rsidR="00F60FA0" w:rsidRDefault="00F60FA0" w:rsidP="005C202D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 bodu 47 - § 32 ods. 2 – navrhujeme, aby bola zachovaná súčasná konštrukcia, teda, že FA informuje o tom, že je odmeňovaný finančnou inštitúciou, a že klient má možnosť opýtať sa na výšku odmenu; až po tejto otázke agend informuje klienta o konkrétnej výške. Navrhovaná zmena „prinúti“ FA odovzdávať klientovi citlivé informácie o výške jeho príjmu za konkrétnu PZ, aj v prípadoch keď o to klient nemá záujem.</w:t>
      </w:r>
    </w:p>
    <w:p w:rsidR="00F60FA0" w:rsidRDefault="00F60FA0" w:rsidP="005C202D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 bodu 48 – vypustenie § 32 ods. 4 – podporujeme zmenu, keď v sektore životného poistenia sa bude uvádzať skutočná výška odmeny, nie priemerná výška nákladov na sprostredkovanie. Je potrebné ale vyriešiť aká odmena sa bude zverejňovať pri </w:t>
      </w:r>
      <w:proofErr w:type="spellStart"/>
      <w:r>
        <w:rPr>
          <w:rFonts w:ascii="Arial" w:hAnsi="Arial" w:cs="Arial"/>
          <w:bCs/>
          <w:sz w:val="20"/>
          <w:szCs w:val="20"/>
        </w:rPr>
        <w:t>multileveloch</w:t>
      </w:r>
      <w:proofErr w:type="spellEnd"/>
      <w:r>
        <w:rPr>
          <w:rFonts w:ascii="Arial" w:hAnsi="Arial" w:cs="Arial"/>
          <w:bCs/>
          <w:sz w:val="20"/>
          <w:szCs w:val="20"/>
        </w:rPr>
        <w:t>, tak aby bola zverejnená odmena platená SFA, nie odmena platená PFA.</w:t>
      </w:r>
    </w:p>
    <w:p w:rsidR="00F60FA0" w:rsidRDefault="00F60FA0" w:rsidP="00987634">
      <w:pPr>
        <w:jc w:val="both"/>
        <w:rPr>
          <w:rFonts w:ascii="Arial" w:hAnsi="Arial" w:cs="Arial"/>
          <w:bCs/>
          <w:sz w:val="20"/>
          <w:szCs w:val="20"/>
        </w:rPr>
      </w:pPr>
    </w:p>
    <w:p w:rsidR="00987634" w:rsidRDefault="00987634" w:rsidP="0098763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 Bratislave </w:t>
      </w:r>
      <w:r w:rsidR="005C202D">
        <w:rPr>
          <w:rFonts w:ascii="Arial" w:hAnsi="Arial" w:cs="Arial"/>
          <w:bCs/>
          <w:sz w:val="20"/>
          <w:szCs w:val="20"/>
        </w:rPr>
        <w:t>9.6.</w:t>
      </w:r>
      <w:r>
        <w:rPr>
          <w:rFonts w:ascii="Arial" w:hAnsi="Arial" w:cs="Arial"/>
          <w:bCs/>
          <w:sz w:val="20"/>
          <w:szCs w:val="20"/>
        </w:rPr>
        <w:t>2014</w:t>
      </w:r>
    </w:p>
    <w:p w:rsidR="00987634" w:rsidRDefault="00987634" w:rsidP="0098763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/>
      </w:r>
      <w:proofErr w:type="spellStart"/>
      <w:r>
        <w:rPr>
          <w:rFonts w:ascii="Arial" w:hAnsi="Arial" w:cs="Arial"/>
          <w:bCs/>
          <w:sz w:val="20"/>
          <w:szCs w:val="20"/>
        </w:rPr>
        <w:t>Union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poisťovňa, a.s.</w:t>
      </w:r>
    </w:p>
    <w:p w:rsidR="00987634" w:rsidRPr="00987634" w:rsidRDefault="00987634" w:rsidP="0098763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JUDr. Martin </w:t>
      </w:r>
      <w:proofErr w:type="spellStart"/>
      <w:r>
        <w:rPr>
          <w:rFonts w:ascii="Arial" w:hAnsi="Arial" w:cs="Arial"/>
          <w:bCs/>
          <w:sz w:val="20"/>
          <w:szCs w:val="20"/>
        </w:rPr>
        <w:t>Grešo</w:t>
      </w:r>
      <w:proofErr w:type="spellEnd"/>
    </w:p>
    <w:sectPr w:rsidR="00987634" w:rsidRPr="00987634" w:rsidSect="00DA7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77390"/>
    <w:multiLevelType w:val="hybridMultilevel"/>
    <w:tmpl w:val="F08028BE"/>
    <w:lvl w:ilvl="0" w:tplc="CE24B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FB4D8D"/>
    <w:multiLevelType w:val="hybridMultilevel"/>
    <w:tmpl w:val="9EFE2002"/>
    <w:lvl w:ilvl="0" w:tplc="350ED3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F7B39"/>
    <w:multiLevelType w:val="hybridMultilevel"/>
    <w:tmpl w:val="BBCAAAF8"/>
    <w:lvl w:ilvl="0" w:tplc="981E59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95"/>
  <w:proofState w:spelling="clean" w:grammar="clean"/>
  <w:defaultTabStop w:val="708"/>
  <w:hyphenationZone w:val="425"/>
  <w:characterSpacingControl w:val="doNotCompress"/>
  <w:compat/>
  <w:rsids>
    <w:rsidRoot w:val="00081A0A"/>
    <w:rsid w:val="00081A0A"/>
    <w:rsid w:val="000B2CC0"/>
    <w:rsid w:val="00353D14"/>
    <w:rsid w:val="003A12F9"/>
    <w:rsid w:val="005268EF"/>
    <w:rsid w:val="00577613"/>
    <w:rsid w:val="005C202D"/>
    <w:rsid w:val="00806145"/>
    <w:rsid w:val="008F3A73"/>
    <w:rsid w:val="00987634"/>
    <w:rsid w:val="00A4088C"/>
    <w:rsid w:val="00C1558B"/>
    <w:rsid w:val="00C474DB"/>
    <w:rsid w:val="00DA476A"/>
    <w:rsid w:val="00DA78F7"/>
    <w:rsid w:val="00E05E17"/>
    <w:rsid w:val="00EA5FAB"/>
    <w:rsid w:val="00F6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78F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81A0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81A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1793</Characters>
  <Application>Microsoft Office Word</Application>
  <DocSecurity>0</DocSecurity>
  <Lines>14</Lines>
  <Paragraphs>4</Paragraphs>
  <ScaleCrop>false</ScaleCrop>
  <Company>Union poisťovňa a.s.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Greso</dc:creator>
  <cp:lastModifiedBy>lehotska</cp:lastModifiedBy>
  <cp:revision>2</cp:revision>
  <dcterms:created xsi:type="dcterms:W3CDTF">2014-06-16T13:18:00Z</dcterms:created>
  <dcterms:modified xsi:type="dcterms:W3CDTF">2014-06-16T13:18:00Z</dcterms:modified>
</cp:coreProperties>
</file>