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F7" w:rsidRPr="00DA476A" w:rsidRDefault="00081A0A">
      <w:pPr>
        <w:rPr>
          <w:rFonts w:ascii="Arial" w:hAnsi="Arial" w:cs="Arial"/>
          <w:sz w:val="20"/>
          <w:szCs w:val="20"/>
        </w:rPr>
      </w:pPr>
      <w:r w:rsidRPr="00DA476A">
        <w:rPr>
          <w:rFonts w:ascii="Arial" w:hAnsi="Arial" w:cs="Arial"/>
          <w:sz w:val="20"/>
          <w:szCs w:val="20"/>
        </w:rPr>
        <w:t>Pre: Slovenská asociácia poisťovní</w:t>
      </w:r>
    </w:p>
    <w:p w:rsidR="00081A0A" w:rsidRPr="00DA476A" w:rsidRDefault="00081A0A" w:rsidP="00A4088C">
      <w:pPr>
        <w:spacing w:after="0"/>
        <w:rPr>
          <w:rFonts w:ascii="Arial" w:hAnsi="Arial" w:cs="Arial"/>
          <w:sz w:val="20"/>
          <w:szCs w:val="20"/>
        </w:rPr>
      </w:pPr>
      <w:r w:rsidRPr="00DA476A">
        <w:rPr>
          <w:rFonts w:ascii="Arial" w:hAnsi="Arial" w:cs="Arial"/>
          <w:sz w:val="20"/>
          <w:szCs w:val="20"/>
        </w:rPr>
        <w:t xml:space="preserve">Od: </w:t>
      </w:r>
      <w:proofErr w:type="spellStart"/>
      <w:r w:rsidRPr="00DA476A">
        <w:rPr>
          <w:rFonts w:ascii="Arial" w:hAnsi="Arial" w:cs="Arial"/>
          <w:sz w:val="20"/>
          <w:szCs w:val="20"/>
        </w:rPr>
        <w:t>Union</w:t>
      </w:r>
      <w:proofErr w:type="spellEnd"/>
      <w:r w:rsidRPr="00DA476A">
        <w:rPr>
          <w:rFonts w:ascii="Arial" w:hAnsi="Arial" w:cs="Arial"/>
          <w:sz w:val="20"/>
          <w:szCs w:val="20"/>
        </w:rPr>
        <w:t xml:space="preserve"> poisťovňa</w:t>
      </w:r>
    </w:p>
    <w:p w:rsidR="00081A0A" w:rsidRPr="00DA476A" w:rsidRDefault="00081A0A" w:rsidP="00A4088C">
      <w:pPr>
        <w:spacing w:after="0"/>
        <w:rPr>
          <w:rFonts w:ascii="Arial" w:hAnsi="Arial" w:cs="Arial"/>
          <w:sz w:val="20"/>
          <w:szCs w:val="20"/>
        </w:rPr>
      </w:pPr>
      <w:r w:rsidRPr="00DA476A">
        <w:rPr>
          <w:rFonts w:ascii="Arial" w:hAnsi="Arial" w:cs="Arial"/>
          <w:sz w:val="20"/>
          <w:szCs w:val="20"/>
        </w:rPr>
        <w:t xml:space="preserve">       JUDr. Martin </w:t>
      </w:r>
      <w:proofErr w:type="spellStart"/>
      <w:r w:rsidRPr="00DA476A">
        <w:rPr>
          <w:rFonts w:ascii="Arial" w:hAnsi="Arial" w:cs="Arial"/>
          <w:sz w:val="20"/>
          <w:szCs w:val="20"/>
        </w:rPr>
        <w:t>Grešo</w:t>
      </w:r>
      <w:proofErr w:type="spellEnd"/>
    </w:p>
    <w:p w:rsidR="00081A0A" w:rsidRPr="00DA476A" w:rsidRDefault="00081A0A" w:rsidP="00A4088C">
      <w:pPr>
        <w:spacing w:after="0"/>
        <w:rPr>
          <w:rFonts w:ascii="Arial" w:hAnsi="Arial" w:cs="Arial"/>
          <w:sz w:val="20"/>
          <w:szCs w:val="20"/>
        </w:rPr>
      </w:pPr>
    </w:p>
    <w:p w:rsidR="00DA476A" w:rsidRDefault="00081A0A" w:rsidP="00DA476A">
      <w:pPr>
        <w:spacing w:after="0" w:line="240" w:lineRule="auto"/>
        <w:rPr>
          <w:rFonts w:ascii="Arial" w:hAnsi="Arial" w:cs="Arial"/>
          <w:bCs/>
          <w:i/>
          <w:sz w:val="20"/>
          <w:szCs w:val="20"/>
          <w:u w:val="single"/>
        </w:rPr>
      </w:pPr>
      <w:r w:rsidRPr="00DA476A">
        <w:rPr>
          <w:rFonts w:ascii="Arial" w:hAnsi="Arial" w:cs="Arial"/>
          <w:i/>
          <w:sz w:val="20"/>
          <w:szCs w:val="20"/>
        </w:rPr>
        <w:t>Vec:</w:t>
      </w:r>
      <w:r w:rsidRPr="00DA476A">
        <w:rPr>
          <w:rFonts w:ascii="Arial" w:hAnsi="Arial" w:cs="Arial"/>
          <w:i/>
          <w:sz w:val="20"/>
          <w:szCs w:val="20"/>
          <w:u w:val="single"/>
        </w:rPr>
        <w:t xml:space="preserve"> Pripomienky k poslaneckému návrhu zákona, ktorým sa mení a dopĺňa zákon č. 40/1964 </w:t>
      </w:r>
      <w:r w:rsidRPr="00DA476A">
        <w:rPr>
          <w:rFonts w:ascii="Arial" w:hAnsi="Arial" w:cs="Arial"/>
          <w:bCs/>
          <w:i/>
          <w:sz w:val="20"/>
          <w:szCs w:val="20"/>
          <w:u w:val="single"/>
        </w:rPr>
        <w:t xml:space="preserve">Zb. </w:t>
      </w:r>
      <w:r w:rsidR="00DA476A">
        <w:rPr>
          <w:rFonts w:ascii="Arial" w:hAnsi="Arial" w:cs="Arial"/>
          <w:bCs/>
          <w:i/>
          <w:sz w:val="20"/>
          <w:szCs w:val="20"/>
          <w:u w:val="single"/>
        </w:rPr>
        <w:t xml:space="preserve">     </w:t>
      </w:r>
    </w:p>
    <w:p w:rsidR="00DA476A" w:rsidRDefault="00DA476A" w:rsidP="00DA476A">
      <w:pPr>
        <w:spacing w:after="0" w:line="240" w:lineRule="auto"/>
        <w:rPr>
          <w:rFonts w:ascii="Arial" w:hAnsi="Arial" w:cs="Arial"/>
          <w:bCs/>
          <w:i/>
          <w:sz w:val="20"/>
          <w:szCs w:val="20"/>
          <w:u w:val="single"/>
        </w:rPr>
      </w:pPr>
      <w:r w:rsidRPr="00DA476A">
        <w:rPr>
          <w:rFonts w:ascii="Arial" w:hAnsi="Arial" w:cs="Arial"/>
          <w:bCs/>
          <w:i/>
          <w:sz w:val="20"/>
          <w:szCs w:val="20"/>
        </w:rPr>
        <w:t xml:space="preserve">    </w:t>
      </w:r>
      <w:r w:rsidR="00081A0A" w:rsidRPr="00DA476A">
        <w:rPr>
          <w:rFonts w:ascii="Arial" w:hAnsi="Arial" w:cs="Arial"/>
          <w:bCs/>
          <w:i/>
          <w:sz w:val="20"/>
          <w:szCs w:val="20"/>
          <w:u w:val="single"/>
        </w:rPr>
        <w:t xml:space="preserve">Občiansky zákonník v znení neskorších predpisov a o zmene a doplnení niektorých zákonov </w:t>
      </w:r>
    </w:p>
    <w:p w:rsidR="00081A0A" w:rsidRPr="00DA476A" w:rsidRDefault="00DA476A" w:rsidP="00DA476A">
      <w:pPr>
        <w:spacing w:after="0" w:line="240" w:lineRule="auto"/>
        <w:rPr>
          <w:rFonts w:ascii="Arial" w:hAnsi="Arial" w:cs="Arial"/>
          <w:bCs/>
          <w:i/>
          <w:sz w:val="20"/>
          <w:szCs w:val="20"/>
          <w:u w:val="single"/>
        </w:rPr>
      </w:pPr>
      <w:r w:rsidRPr="00DA476A">
        <w:rPr>
          <w:rFonts w:ascii="Arial" w:hAnsi="Arial" w:cs="Arial"/>
          <w:bCs/>
          <w:i/>
          <w:sz w:val="20"/>
          <w:szCs w:val="20"/>
        </w:rPr>
        <w:t xml:space="preserve">    </w:t>
      </w:r>
      <w:r w:rsidR="00081A0A" w:rsidRPr="00DA476A">
        <w:rPr>
          <w:rFonts w:ascii="Arial" w:hAnsi="Arial" w:cs="Arial"/>
          <w:bCs/>
          <w:i/>
          <w:sz w:val="20"/>
          <w:szCs w:val="20"/>
          <w:u w:val="single"/>
        </w:rPr>
        <w:t>(</w:t>
      </w:r>
      <w:r w:rsidR="00081A0A" w:rsidRPr="00DA476A">
        <w:rPr>
          <w:rFonts w:ascii="Arial" w:hAnsi="Arial" w:cs="Arial"/>
          <w:i/>
          <w:sz w:val="20"/>
          <w:szCs w:val="20"/>
          <w:u w:val="single"/>
        </w:rPr>
        <w:t xml:space="preserve">parlamentná tlač </w:t>
      </w:r>
      <w:hyperlink r:id="rId5" w:history="1">
        <w:r w:rsidR="00081A0A" w:rsidRPr="00DA476A">
          <w:rPr>
            <w:rStyle w:val="Hypertextovprepojenie"/>
            <w:rFonts w:ascii="Arial" w:hAnsi="Arial" w:cs="Arial"/>
            <w:i/>
            <w:sz w:val="20"/>
            <w:szCs w:val="20"/>
          </w:rPr>
          <w:t>850</w:t>
        </w:r>
      </w:hyperlink>
      <w:r w:rsidR="00081A0A" w:rsidRPr="00DA476A">
        <w:rPr>
          <w:rFonts w:ascii="Arial" w:hAnsi="Arial" w:cs="Arial"/>
          <w:i/>
          <w:sz w:val="20"/>
          <w:szCs w:val="20"/>
          <w:u w:val="single"/>
        </w:rPr>
        <w:t>)</w:t>
      </w:r>
    </w:p>
    <w:p w:rsidR="00081A0A" w:rsidRPr="00DA476A" w:rsidRDefault="00081A0A">
      <w:pPr>
        <w:rPr>
          <w:rFonts w:ascii="Arial" w:hAnsi="Arial" w:cs="Arial"/>
          <w:sz w:val="20"/>
          <w:szCs w:val="20"/>
        </w:rPr>
      </w:pPr>
    </w:p>
    <w:p w:rsidR="00081A0A" w:rsidRPr="00DA476A" w:rsidRDefault="00081A0A" w:rsidP="00DA476A">
      <w:pPr>
        <w:pStyle w:val="Odsekzoznamu"/>
        <w:numPr>
          <w:ilvl w:val="0"/>
          <w:numId w:val="1"/>
        </w:numPr>
        <w:jc w:val="both"/>
        <w:rPr>
          <w:rFonts w:ascii="Arial" w:hAnsi="Arial" w:cs="Arial"/>
          <w:bCs/>
          <w:sz w:val="20"/>
          <w:szCs w:val="20"/>
        </w:rPr>
      </w:pPr>
      <w:r w:rsidRPr="00DA476A">
        <w:rPr>
          <w:rFonts w:ascii="Arial" w:hAnsi="Arial" w:cs="Arial"/>
          <w:bCs/>
          <w:sz w:val="20"/>
          <w:szCs w:val="20"/>
        </w:rPr>
        <w:t xml:space="preserve">Nesúhlasíme s návrhom zákona ako celkom. Navrhované zmeny neprimerane finančne zaťažia poctivých podnikateľov (ktorých je väčšina) na úkor nepoctivých podnikateľov. Ochranu spotrebiteľa pred praktikami nebankových subjektov je možné účinne zabezpečiť inými prostriedkami, napr. ich povinným </w:t>
      </w:r>
      <w:proofErr w:type="spellStart"/>
      <w:r w:rsidRPr="00DA476A">
        <w:rPr>
          <w:rFonts w:ascii="Arial" w:hAnsi="Arial" w:cs="Arial"/>
          <w:bCs/>
          <w:sz w:val="20"/>
          <w:szCs w:val="20"/>
        </w:rPr>
        <w:t>licencovaním</w:t>
      </w:r>
      <w:proofErr w:type="spellEnd"/>
      <w:r w:rsidRPr="00DA476A">
        <w:rPr>
          <w:rFonts w:ascii="Arial" w:hAnsi="Arial" w:cs="Arial"/>
          <w:bCs/>
          <w:sz w:val="20"/>
          <w:szCs w:val="20"/>
        </w:rPr>
        <w:t xml:space="preserve"> v Národnej banke Slovenska a následným dohľadom nad ich činnosťou. </w:t>
      </w:r>
    </w:p>
    <w:p w:rsidR="003A12F9" w:rsidRPr="00DA476A" w:rsidRDefault="00081A0A" w:rsidP="00DA476A">
      <w:pPr>
        <w:pStyle w:val="Odsekzoznamu"/>
        <w:numPr>
          <w:ilvl w:val="0"/>
          <w:numId w:val="1"/>
        </w:numPr>
        <w:jc w:val="both"/>
        <w:rPr>
          <w:rFonts w:ascii="Arial" w:hAnsi="Arial" w:cs="Arial"/>
          <w:bCs/>
          <w:sz w:val="20"/>
          <w:szCs w:val="20"/>
        </w:rPr>
      </w:pPr>
      <w:r w:rsidRPr="00DA476A">
        <w:rPr>
          <w:rFonts w:ascii="Arial" w:hAnsi="Arial" w:cs="Arial"/>
          <w:bCs/>
          <w:sz w:val="20"/>
          <w:szCs w:val="20"/>
        </w:rPr>
        <w:t xml:space="preserve">Čl. I bod 6 – doplnenie § 53c </w:t>
      </w:r>
      <w:r w:rsidR="003A12F9" w:rsidRPr="00DA476A">
        <w:rPr>
          <w:rFonts w:ascii="Arial" w:hAnsi="Arial" w:cs="Arial"/>
          <w:bCs/>
          <w:sz w:val="20"/>
          <w:szCs w:val="20"/>
        </w:rPr>
        <w:t xml:space="preserve">zákona č. 40/1964 Z. z. </w:t>
      </w:r>
      <w:r w:rsidRPr="00DA476A">
        <w:rPr>
          <w:rFonts w:ascii="Arial" w:hAnsi="Arial" w:cs="Arial"/>
          <w:bCs/>
          <w:sz w:val="20"/>
          <w:szCs w:val="20"/>
        </w:rPr>
        <w:t>– navrhujeme vypustiť. Podľa nášho názoru je postačujúca súčasná právna úprava</w:t>
      </w:r>
      <w:r w:rsidRPr="00DA476A">
        <w:rPr>
          <w:rFonts w:ascii="Arial" w:hAnsi="Arial" w:cs="Arial"/>
          <w:sz w:val="20"/>
          <w:szCs w:val="20"/>
        </w:rPr>
        <w:t xml:space="preserve">, podľa ktorej </w:t>
      </w:r>
      <w:r w:rsidRPr="00DA476A">
        <w:rPr>
          <w:rFonts w:ascii="Arial" w:hAnsi="Arial" w:cs="Arial"/>
          <w:bCs/>
          <w:sz w:val="20"/>
          <w:szCs w:val="20"/>
        </w:rPr>
        <w:t>predmet a cena nesmú byť uvedené menším písmom ako iná časť spotrebiteľskej zmluvy s výnimkou názvu zmluvy a označení jej častí. Úprava konkrétneho typu písma (</w:t>
      </w:r>
      <w:proofErr w:type="spellStart"/>
      <w:r w:rsidRPr="00DA476A">
        <w:rPr>
          <w:rFonts w:ascii="Arial" w:hAnsi="Arial" w:cs="Arial"/>
          <w:bCs/>
          <w:sz w:val="20"/>
          <w:szCs w:val="20"/>
        </w:rPr>
        <w:t>Times</w:t>
      </w:r>
      <w:proofErr w:type="spellEnd"/>
      <w:r w:rsidRPr="00DA476A">
        <w:rPr>
          <w:rFonts w:ascii="Arial" w:hAnsi="Arial" w:cs="Arial"/>
          <w:bCs/>
          <w:sz w:val="20"/>
          <w:szCs w:val="20"/>
        </w:rPr>
        <w:t xml:space="preserve"> New Roman) a veľkosti písma (12) je neštandardná a zvláštna. Poukazujeme na to, že v podmienkam poisťovní je veľké množstvo spotrebiteľských zmlúv (poistných zmlúv) uzatváraných na </w:t>
      </w:r>
      <w:proofErr w:type="spellStart"/>
      <w:r w:rsidRPr="00DA476A">
        <w:rPr>
          <w:rFonts w:ascii="Arial" w:hAnsi="Arial" w:cs="Arial"/>
          <w:bCs/>
          <w:sz w:val="20"/>
          <w:szCs w:val="20"/>
        </w:rPr>
        <w:t>samoprepisoch</w:t>
      </w:r>
      <w:proofErr w:type="spellEnd"/>
      <w:r w:rsidRPr="00DA476A">
        <w:rPr>
          <w:rFonts w:ascii="Arial" w:hAnsi="Arial" w:cs="Arial"/>
          <w:bCs/>
          <w:sz w:val="20"/>
          <w:szCs w:val="20"/>
        </w:rPr>
        <w:t xml:space="preserve">, účinnosť návrhu zákona je pritom predpokladaná na 15.4.2014. V tomto termíne nie je možné vymeniť všetky </w:t>
      </w:r>
      <w:proofErr w:type="spellStart"/>
      <w:r w:rsidRPr="00DA476A">
        <w:rPr>
          <w:rFonts w:ascii="Arial" w:hAnsi="Arial" w:cs="Arial"/>
          <w:bCs/>
          <w:sz w:val="20"/>
          <w:szCs w:val="20"/>
        </w:rPr>
        <w:t>samoprepisy</w:t>
      </w:r>
      <w:proofErr w:type="spellEnd"/>
      <w:r w:rsidRPr="00DA476A">
        <w:rPr>
          <w:rFonts w:ascii="Arial" w:hAnsi="Arial" w:cs="Arial"/>
          <w:bCs/>
          <w:sz w:val="20"/>
          <w:szCs w:val="20"/>
        </w:rPr>
        <w:t xml:space="preserve"> spotrebiteľských zmlúv, pričom je potrebné neopomenúť nemalé finančné náklady spojené s touto zmenou</w:t>
      </w:r>
      <w:r w:rsidR="003A12F9" w:rsidRPr="00DA476A">
        <w:rPr>
          <w:rFonts w:ascii="Arial" w:hAnsi="Arial" w:cs="Arial"/>
          <w:bCs/>
          <w:sz w:val="20"/>
          <w:szCs w:val="20"/>
        </w:rPr>
        <w:t>.</w:t>
      </w:r>
    </w:p>
    <w:p w:rsidR="003A12F9" w:rsidRPr="00DA476A" w:rsidRDefault="003A12F9" w:rsidP="00DA476A">
      <w:pPr>
        <w:pStyle w:val="Odsekzoznamu"/>
        <w:numPr>
          <w:ilvl w:val="0"/>
          <w:numId w:val="1"/>
        </w:numPr>
        <w:jc w:val="both"/>
        <w:rPr>
          <w:rFonts w:ascii="Arial" w:hAnsi="Arial" w:cs="Arial"/>
          <w:bCs/>
          <w:sz w:val="20"/>
          <w:szCs w:val="20"/>
        </w:rPr>
      </w:pPr>
      <w:r w:rsidRPr="00DA476A">
        <w:rPr>
          <w:rFonts w:ascii="Arial" w:hAnsi="Arial" w:cs="Arial"/>
          <w:bCs/>
          <w:sz w:val="20"/>
          <w:szCs w:val="20"/>
        </w:rPr>
        <w:t>Čl. II bod 1 – doplnenie § 61b zákona č</w:t>
      </w:r>
      <w:r w:rsidR="00353D14" w:rsidRPr="00DA476A">
        <w:rPr>
          <w:rFonts w:ascii="Arial" w:hAnsi="Arial" w:cs="Arial"/>
          <w:bCs/>
          <w:sz w:val="20"/>
          <w:szCs w:val="20"/>
        </w:rPr>
        <w:t>.</w:t>
      </w:r>
      <w:r w:rsidRPr="00DA476A">
        <w:rPr>
          <w:rFonts w:ascii="Arial" w:hAnsi="Arial" w:cs="Arial"/>
          <w:bCs/>
          <w:sz w:val="20"/>
          <w:szCs w:val="20"/>
        </w:rPr>
        <w:t xml:space="preserve"> 233/1995 Z. z. o odsek 3 – navrhujeme vypustiť. Máme za to, že prípadnou nemožnosťou vykonania exekúcie na vymoženie príslušenstva pohľadávky, dôjde k neprimeranému a nedôvodnému zásahu do majetkových práv veriteľa</w:t>
      </w:r>
      <w:r w:rsidR="000B2CC0" w:rsidRPr="00DA476A">
        <w:rPr>
          <w:rFonts w:ascii="Arial" w:hAnsi="Arial" w:cs="Arial"/>
          <w:bCs/>
          <w:sz w:val="20"/>
          <w:szCs w:val="20"/>
        </w:rPr>
        <w:t>. Poukazujeme najmä na:</w:t>
      </w:r>
    </w:p>
    <w:p w:rsidR="000B2CC0" w:rsidRPr="00DA476A" w:rsidRDefault="000B2CC0" w:rsidP="00DA476A">
      <w:pPr>
        <w:pStyle w:val="Odsekzoznamu"/>
        <w:numPr>
          <w:ilvl w:val="0"/>
          <w:numId w:val="2"/>
        </w:numPr>
        <w:jc w:val="both"/>
        <w:rPr>
          <w:rFonts w:ascii="Arial" w:hAnsi="Arial" w:cs="Arial"/>
          <w:bCs/>
          <w:sz w:val="20"/>
          <w:szCs w:val="20"/>
        </w:rPr>
      </w:pPr>
      <w:r w:rsidRPr="00DA476A">
        <w:rPr>
          <w:rFonts w:ascii="Arial" w:hAnsi="Arial" w:cs="Arial"/>
          <w:bCs/>
          <w:sz w:val="20"/>
          <w:szCs w:val="20"/>
        </w:rPr>
        <w:t xml:space="preserve">táto úprava sa nebude týkať len pohľadávok vzniknutých zo spotrebiteľských zmlúv, </w:t>
      </w:r>
    </w:p>
    <w:p w:rsidR="000B2CC0" w:rsidRPr="00DA476A" w:rsidRDefault="000B2CC0" w:rsidP="00DA476A">
      <w:pPr>
        <w:pStyle w:val="Odsekzoznamu"/>
        <w:numPr>
          <w:ilvl w:val="0"/>
          <w:numId w:val="2"/>
        </w:numPr>
        <w:jc w:val="both"/>
        <w:rPr>
          <w:rFonts w:ascii="Arial" w:hAnsi="Arial" w:cs="Arial"/>
          <w:bCs/>
          <w:sz w:val="20"/>
          <w:szCs w:val="20"/>
        </w:rPr>
      </w:pPr>
      <w:r w:rsidRPr="00DA476A">
        <w:rPr>
          <w:rFonts w:ascii="Arial" w:hAnsi="Arial" w:cs="Arial"/>
          <w:bCs/>
          <w:sz w:val="20"/>
          <w:szCs w:val="20"/>
        </w:rPr>
        <w:t>porušenie právnej povinnosti je na strane dlžníka, nie veriteľa; dlžník má povinnosť svoj dlh zaplatiť bez ohľadu na to, či je podaný návrh na vykonanie exekúcie alebo nie je, takže svojim konaním môže výrazne ovplyvniť výšku svojho dlhu (jeho príslušenstva),</w:t>
      </w:r>
    </w:p>
    <w:p w:rsidR="000B2CC0" w:rsidRPr="00DA476A" w:rsidRDefault="000B2CC0" w:rsidP="00DA476A">
      <w:pPr>
        <w:pStyle w:val="Odsekzoznamu"/>
        <w:numPr>
          <w:ilvl w:val="0"/>
          <w:numId w:val="2"/>
        </w:numPr>
        <w:jc w:val="both"/>
        <w:rPr>
          <w:rFonts w:ascii="Arial" w:hAnsi="Arial" w:cs="Arial"/>
          <w:bCs/>
          <w:sz w:val="20"/>
          <w:szCs w:val="20"/>
        </w:rPr>
      </w:pPr>
      <w:r w:rsidRPr="00DA476A">
        <w:rPr>
          <w:rFonts w:ascii="Arial" w:hAnsi="Arial" w:cs="Arial"/>
          <w:bCs/>
          <w:sz w:val="20"/>
          <w:szCs w:val="20"/>
        </w:rPr>
        <w:t>príslušenstvom pohľadávky nie sú len úroky z omeškania, ale aj trovy súdneho konania, ani na tieto</w:t>
      </w:r>
      <w:r w:rsidR="00353D14" w:rsidRPr="00DA476A">
        <w:rPr>
          <w:rFonts w:ascii="Arial" w:hAnsi="Arial" w:cs="Arial"/>
          <w:bCs/>
          <w:sz w:val="20"/>
          <w:szCs w:val="20"/>
        </w:rPr>
        <w:t xml:space="preserve"> nebude možné vykonať exekúciu?</w:t>
      </w:r>
    </w:p>
    <w:p w:rsidR="00353D14" w:rsidRPr="00DA476A" w:rsidRDefault="00353D14" w:rsidP="00DA476A">
      <w:pPr>
        <w:pStyle w:val="Odsekzoznamu"/>
        <w:numPr>
          <w:ilvl w:val="0"/>
          <w:numId w:val="1"/>
        </w:numPr>
        <w:jc w:val="both"/>
        <w:rPr>
          <w:rFonts w:ascii="Arial" w:hAnsi="Arial" w:cs="Arial"/>
          <w:bCs/>
          <w:sz w:val="20"/>
          <w:szCs w:val="20"/>
        </w:rPr>
      </w:pPr>
      <w:r w:rsidRPr="00DA476A">
        <w:rPr>
          <w:rFonts w:ascii="Arial" w:hAnsi="Arial" w:cs="Arial"/>
          <w:bCs/>
          <w:sz w:val="20"/>
          <w:szCs w:val="20"/>
        </w:rPr>
        <w:t>Čl.</w:t>
      </w:r>
      <w:r w:rsidR="005268EF" w:rsidRPr="00DA476A">
        <w:rPr>
          <w:rFonts w:ascii="Arial" w:hAnsi="Arial" w:cs="Arial"/>
          <w:bCs/>
          <w:sz w:val="20"/>
          <w:szCs w:val="20"/>
        </w:rPr>
        <w:t xml:space="preserve"> II bod 2</w:t>
      </w:r>
      <w:r w:rsidRPr="00DA476A">
        <w:rPr>
          <w:rFonts w:ascii="Arial" w:hAnsi="Arial" w:cs="Arial"/>
          <w:bCs/>
          <w:sz w:val="20"/>
          <w:szCs w:val="20"/>
        </w:rPr>
        <w:t xml:space="preserve"> – doplnenie § 63 zákona č. 233/1995 Z. z. o odsek 2 – navrhujeme vypustiť. Súhlasíme s tým, aby nebolo možné vykonať exekúciu pri drobných exekúciách na nehnuteľnosť, pokiaľ tam má povinný trvalý pobyt. Avšak mnohé nehnuteľnosti neprevyšujú hodnotu 2.000 EUR s </w:t>
      </w:r>
      <w:proofErr w:type="spellStart"/>
      <w:r w:rsidRPr="00DA476A">
        <w:rPr>
          <w:rFonts w:ascii="Arial" w:hAnsi="Arial" w:cs="Arial"/>
          <w:bCs/>
          <w:sz w:val="20"/>
          <w:szCs w:val="20"/>
        </w:rPr>
        <w:t>prísl</w:t>
      </w:r>
      <w:proofErr w:type="spellEnd"/>
      <w:r w:rsidRPr="00DA476A">
        <w:rPr>
          <w:rFonts w:ascii="Arial" w:hAnsi="Arial" w:cs="Arial"/>
          <w:bCs/>
          <w:sz w:val="20"/>
          <w:szCs w:val="20"/>
        </w:rPr>
        <w:t>., a vo viacerých prípadoch je predaj takejto nehnuteľnosti jediný spôsob ako vymôcť pohľadávku, aj vzhľadom na správanie povinného.</w:t>
      </w:r>
    </w:p>
    <w:p w:rsidR="00353D14" w:rsidRPr="00DA476A" w:rsidRDefault="005268EF" w:rsidP="00DA476A">
      <w:pPr>
        <w:pStyle w:val="Odsekzoznamu"/>
        <w:numPr>
          <w:ilvl w:val="0"/>
          <w:numId w:val="1"/>
        </w:numPr>
        <w:jc w:val="both"/>
        <w:rPr>
          <w:rFonts w:ascii="Arial" w:hAnsi="Arial" w:cs="Arial"/>
          <w:bCs/>
          <w:sz w:val="20"/>
          <w:szCs w:val="20"/>
        </w:rPr>
      </w:pPr>
      <w:r w:rsidRPr="00DA476A">
        <w:rPr>
          <w:rFonts w:ascii="Arial" w:hAnsi="Arial" w:cs="Arial"/>
          <w:bCs/>
          <w:sz w:val="20"/>
          <w:szCs w:val="20"/>
        </w:rPr>
        <w:t xml:space="preserve">Čl. II bod 5 – doplnenie § 200 zákona č. 233/1995 Z. z. o odsek 2 – navrhujeme vypustiť. Ako sme už uviedli v bode 3 týchto pripomienok, oprávnený podáva návrh na začatie exekúcie až po tom, ako povinný (dlžník) poruší svoju právnu povinnosť. Pred podaním návrhu na začatie exekúcie oprávnený nevie, koľko úkonov bude musieť súdny exekútor urobiť na to, aby vymohol jeho pohľadávku. Mnohokrát je výška trov exekúcie vysoká pre správanie povinného. </w:t>
      </w:r>
    </w:p>
    <w:p w:rsidR="005268EF" w:rsidRDefault="005268EF" w:rsidP="00DA476A">
      <w:pPr>
        <w:pStyle w:val="Odsekzoznamu"/>
        <w:numPr>
          <w:ilvl w:val="0"/>
          <w:numId w:val="1"/>
        </w:numPr>
        <w:jc w:val="both"/>
        <w:rPr>
          <w:rFonts w:ascii="Arial" w:hAnsi="Arial" w:cs="Arial"/>
          <w:bCs/>
          <w:sz w:val="20"/>
          <w:szCs w:val="20"/>
        </w:rPr>
      </w:pPr>
      <w:r w:rsidRPr="00DA476A">
        <w:rPr>
          <w:rFonts w:ascii="Arial" w:hAnsi="Arial" w:cs="Arial"/>
          <w:bCs/>
          <w:sz w:val="20"/>
          <w:szCs w:val="20"/>
        </w:rPr>
        <w:t>Čl. V bod 1 – doplnenie zákona č. 250/2007 Z. z. o § 3a – navrhujeme vypustiť ale</w:t>
      </w:r>
      <w:r w:rsidR="00987634">
        <w:rPr>
          <w:rFonts w:ascii="Arial" w:hAnsi="Arial" w:cs="Arial"/>
          <w:bCs/>
          <w:sz w:val="20"/>
          <w:szCs w:val="20"/>
        </w:rPr>
        <w:t>bo upraviť, z týchto dôvodov:</w:t>
      </w:r>
    </w:p>
    <w:p w:rsidR="00987634" w:rsidRPr="00987634" w:rsidRDefault="00987634" w:rsidP="00987634">
      <w:pPr>
        <w:pStyle w:val="Odsekzoznamu"/>
        <w:numPr>
          <w:ilvl w:val="0"/>
          <w:numId w:val="2"/>
        </w:numPr>
        <w:jc w:val="both"/>
        <w:rPr>
          <w:rFonts w:ascii="Arial" w:hAnsi="Arial" w:cs="Arial"/>
          <w:bCs/>
          <w:sz w:val="20"/>
          <w:szCs w:val="20"/>
        </w:rPr>
      </w:pPr>
      <w:r>
        <w:rPr>
          <w:rFonts w:ascii="Arial" w:hAnsi="Arial" w:cs="Arial"/>
          <w:bCs/>
          <w:sz w:val="20"/>
          <w:szCs w:val="20"/>
        </w:rPr>
        <w:t xml:space="preserve">právo spotrebiteľa odstúpiť od zmluvy o dodaní tovaru alebo služby, pokiaľ táto bola uzavretá na diaľku, upravujú viaceré právne predpisy – napr. zákona č. </w:t>
      </w:r>
      <w:r w:rsidRPr="00987634">
        <w:rPr>
          <w:rFonts w:ascii="Arial" w:hAnsi="Arial" w:cs="Arial"/>
          <w:bCs/>
          <w:sz w:val="20"/>
          <w:szCs w:val="20"/>
        </w:rPr>
        <w:t xml:space="preserve">266/2005 </w:t>
      </w:r>
      <w:proofErr w:type="spellStart"/>
      <w:r w:rsidRPr="00987634">
        <w:rPr>
          <w:rFonts w:ascii="Arial" w:hAnsi="Arial" w:cs="Arial"/>
          <w:bCs/>
          <w:sz w:val="20"/>
          <w:szCs w:val="20"/>
        </w:rPr>
        <w:t>Z.z</w:t>
      </w:r>
      <w:proofErr w:type="spellEnd"/>
      <w:r w:rsidRPr="00987634">
        <w:rPr>
          <w:rFonts w:ascii="Arial" w:hAnsi="Arial" w:cs="Arial"/>
          <w:bCs/>
          <w:sz w:val="20"/>
          <w:szCs w:val="20"/>
        </w:rPr>
        <w:t>.</w:t>
      </w:r>
      <w:r>
        <w:rPr>
          <w:rFonts w:ascii="Arial" w:hAnsi="Arial" w:cs="Arial"/>
          <w:bCs/>
          <w:sz w:val="20"/>
          <w:szCs w:val="20"/>
        </w:rPr>
        <w:t xml:space="preserve">, zákon č. </w:t>
      </w:r>
      <w:r w:rsidRPr="005F5622">
        <w:rPr>
          <w:rFonts w:ascii="Arial" w:eastAsia="Calibri" w:hAnsi="Arial" w:cs="Arial"/>
          <w:color w:val="4B4B4B"/>
          <w:sz w:val="20"/>
          <w:szCs w:val="20"/>
        </w:rPr>
        <w:t xml:space="preserve">108/2000 </w:t>
      </w:r>
      <w:proofErr w:type="spellStart"/>
      <w:r w:rsidRPr="005F5622">
        <w:rPr>
          <w:rFonts w:ascii="Arial" w:hAnsi="Arial" w:cs="Arial"/>
          <w:color w:val="4B4B4B"/>
          <w:sz w:val="20"/>
          <w:szCs w:val="20"/>
        </w:rPr>
        <w:t>Z.z</w:t>
      </w:r>
      <w:proofErr w:type="spellEnd"/>
      <w:r w:rsidRPr="005F5622">
        <w:rPr>
          <w:rFonts w:ascii="Arial" w:hAnsi="Arial" w:cs="Arial"/>
          <w:color w:val="4B4B4B"/>
          <w:sz w:val="20"/>
          <w:szCs w:val="20"/>
        </w:rPr>
        <w:t>.</w:t>
      </w:r>
      <w:r>
        <w:rPr>
          <w:rFonts w:ascii="Arial" w:hAnsi="Arial" w:cs="Arial"/>
          <w:color w:val="4B4B4B"/>
          <w:sz w:val="20"/>
          <w:szCs w:val="20"/>
        </w:rPr>
        <w:t>,</w:t>
      </w:r>
    </w:p>
    <w:p w:rsidR="00987634" w:rsidRDefault="00987634" w:rsidP="00987634">
      <w:pPr>
        <w:pStyle w:val="Odsekzoznamu"/>
        <w:numPr>
          <w:ilvl w:val="0"/>
          <w:numId w:val="2"/>
        </w:numPr>
        <w:jc w:val="both"/>
        <w:rPr>
          <w:rFonts w:ascii="Arial" w:hAnsi="Arial" w:cs="Arial"/>
          <w:bCs/>
          <w:sz w:val="20"/>
          <w:szCs w:val="20"/>
        </w:rPr>
      </w:pPr>
      <w:r>
        <w:rPr>
          <w:rFonts w:ascii="Arial" w:hAnsi="Arial" w:cs="Arial"/>
          <w:bCs/>
          <w:sz w:val="20"/>
          <w:szCs w:val="20"/>
        </w:rPr>
        <w:t>nie je možné upraviť rovnaké pravidlá pre uzatváranie zmlúv na diaľku a pri uzatváraní zmlúv osobne, keďže pri osobnom uzatváraní zmluvy si kupujúci (zákazník) môže tovar obzrieť („chytiť do ruky“),</w:t>
      </w:r>
    </w:p>
    <w:p w:rsidR="00987634" w:rsidRDefault="00987634" w:rsidP="00987634">
      <w:pPr>
        <w:pStyle w:val="Odsekzoznamu"/>
        <w:numPr>
          <w:ilvl w:val="0"/>
          <w:numId w:val="2"/>
        </w:numPr>
        <w:jc w:val="both"/>
        <w:rPr>
          <w:rFonts w:ascii="Arial" w:hAnsi="Arial" w:cs="Arial"/>
          <w:bCs/>
          <w:sz w:val="20"/>
          <w:szCs w:val="20"/>
        </w:rPr>
      </w:pPr>
      <w:r>
        <w:rPr>
          <w:rFonts w:ascii="Arial" w:hAnsi="Arial" w:cs="Arial"/>
          <w:bCs/>
          <w:sz w:val="20"/>
          <w:szCs w:val="20"/>
        </w:rPr>
        <w:lastRenderedPageBreak/>
        <w:t>prípadné odstúpenie od zmluvy o poskytnutí niektorých služieb je nelogické (napr. kadernícke služby),</w:t>
      </w:r>
    </w:p>
    <w:p w:rsidR="00987634" w:rsidRDefault="00987634" w:rsidP="00987634">
      <w:pPr>
        <w:pStyle w:val="Odsekzoznamu"/>
        <w:numPr>
          <w:ilvl w:val="0"/>
          <w:numId w:val="2"/>
        </w:numPr>
        <w:jc w:val="both"/>
        <w:rPr>
          <w:rFonts w:ascii="Arial" w:hAnsi="Arial" w:cs="Arial"/>
          <w:bCs/>
          <w:sz w:val="20"/>
          <w:szCs w:val="20"/>
        </w:rPr>
      </w:pPr>
      <w:r>
        <w:rPr>
          <w:rFonts w:ascii="Arial" w:hAnsi="Arial" w:cs="Arial"/>
          <w:bCs/>
          <w:sz w:val="20"/>
          <w:szCs w:val="20"/>
        </w:rPr>
        <w:t>preukázanie poučenia o možnosti odstúpiť od zmluvy bude v prípade uzatvorenia zmlúv inou ako písomnou formou náročné/nemožné,</w:t>
      </w:r>
    </w:p>
    <w:p w:rsidR="00987634" w:rsidRDefault="00987634" w:rsidP="00987634">
      <w:pPr>
        <w:pStyle w:val="Odsekzoznamu"/>
        <w:numPr>
          <w:ilvl w:val="0"/>
          <w:numId w:val="2"/>
        </w:numPr>
        <w:jc w:val="both"/>
        <w:rPr>
          <w:rFonts w:ascii="Arial" w:hAnsi="Arial" w:cs="Arial"/>
          <w:bCs/>
          <w:sz w:val="20"/>
          <w:szCs w:val="20"/>
        </w:rPr>
      </w:pPr>
      <w:r>
        <w:rPr>
          <w:rFonts w:ascii="Arial" w:hAnsi="Arial" w:cs="Arial"/>
          <w:bCs/>
          <w:sz w:val="20"/>
          <w:szCs w:val="20"/>
        </w:rPr>
        <w:t>viaceré poistné produkty sa uzatvárajú na dobu kratšiu ako 7 dní - napr. cestovné poistenie -, po návrate z dovolenky tak spotrebiteľ, ktorý nemal poistnú udalosť, odstúpi od zmluvy a poisťovňa mu bude musieť vrátiť poistné,</w:t>
      </w:r>
    </w:p>
    <w:p w:rsidR="00987634" w:rsidRDefault="00987634" w:rsidP="00987634">
      <w:pPr>
        <w:pStyle w:val="Odsekzoznamu"/>
        <w:numPr>
          <w:ilvl w:val="0"/>
          <w:numId w:val="2"/>
        </w:numPr>
        <w:jc w:val="both"/>
        <w:rPr>
          <w:rFonts w:ascii="Arial" w:hAnsi="Arial" w:cs="Arial"/>
          <w:bCs/>
          <w:sz w:val="20"/>
          <w:szCs w:val="20"/>
        </w:rPr>
      </w:pPr>
      <w:r>
        <w:rPr>
          <w:rFonts w:ascii="Arial" w:hAnsi="Arial" w:cs="Arial"/>
          <w:bCs/>
          <w:sz w:val="20"/>
          <w:szCs w:val="20"/>
        </w:rPr>
        <w:t>§ 5 ods. 5 zákona č. 266/2005 Z. z. upravuje situácie kedy nemôže spotrebiteľ odstúpiť od zmluvy uzavretej na diaľku – navrhujeme z vyššie uvedených dôvodov minimálne zohľadniť v zákone o ochrane spotrebiteľa túto úpravu.</w:t>
      </w:r>
    </w:p>
    <w:p w:rsidR="00987634" w:rsidRPr="00DA476A" w:rsidRDefault="00987634" w:rsidP="00987634">
      <w:pPr>
        <w:pStyle w:val="Odsekzoznamu"/>
        <w:numPr>
          <w:ilvl w:val="0"/>
          <w:numId w:val="1"/>
        </w:numPr>
        <w:jc w:val="both"/>
        <w:rPr>
          <w:rFonts w:ascii="Arial" w:hAnsi="Arial" w:cs="Arial"/>
          <w:bCs/>
          <w:sz w:val="20"/>
          <w:szCs w:val="20"/>
        </w:rPr>
      </w:pPr>
      <w:r>
        <w:rPr>
          <w:rFonts w:ascii="Arial" w:hAnsi="Arial" w:cs="Arial"/>
          <w:bCs/>
          <w:sz w:val="20"/>
          <w:szCs w:val="20"/>
        </w:rPr>
        <w:t>Čl. VII – navrhujeme posunúť účinnosť na 1.1.2015. P</w:t>
      </w:r>
      <w:r w:rsidRPr="00DA476A">
        <w:rPr>
          <w:rFonts w:ascii="Arial" w:hAnsi="Arial" w:cs="Arial"/>
          <w:bCs/>
          <w:sz w:val="20"/>
          <w:szCs w:val="20"/>
        </w:rPr>
        <w:t xml:space="preserve">oukazujeme na to, že v podmienkam poisťovní je veľké množstvo spotrebiteľských zmlúv (poistných zmlúv) uzatváraných na </w:t>
      </w:r>
      <w:proofErr w:type="spellStart"/>
      <w:r w:rsidRPr="00DA476A">
        <w:rPr>
          <w:rFonts w:ascii="Arial" w:hAnsi="Arial" w:cs="Arial"/>
          <w:bCs/>
          <w:sz w:val="20"/>
          <w:szCs w:val="20"/>
        </w:rPr>
        <w:t>samoprepisoch</w:t>
      </w:r>
      <w:proofErr w:type="spellEnd"/>
      <w:r w:rsidRPr="00DA476A">
        <w:rPr>
          <w:rFonts w:ascii="Arial" w:hAnsi="Arial" w:cs="Arial"/>
          <w:bCs/>
          <w:sz w:val="20"/>
          <w:szCs w:val="20"/>
        </w:rPr>
        <w:t xml:space="preserve">, účinnosť návrhu zákona je pritom predpokladaná na 15.4.2014. V tomto termíne nie je možné vymeniť všetky </w:t>
      </w:r>
      <w:proofErr w:type="spellStart"/>
      <w:r w:rsidRPr="00DA476A">
        <w:rPr>
          <w:rFonts w:ascii="Arial" w:hAnsi="Arial" w:cs="Arial"/>
          <w:bCs/>
          <w:sz w:val="20"/>
          <w:szCs w:val="20"/>
        </w:rPr>
        <w:t>samoprepisy</w:t>
      </w:r>
      <w:proofErr w:type="spellEnd"/>
      <w:r w:rsidRPr="00DA476A">
        <w:rPr>
          <w:rFonts w:ascii="Arial" w:hAnsi="Arial" w:cs="Arial"/>
          <w:bCs/>
          <w:sz w:val="20"/>
          <w:szCs w:val="20"/>
        </w:rPr>
        <w:t xml:space="preserve"> spotrebiteľských zmlúv, pričom je potrebné neopomenúť nemalé finančné náklady spojené s touto zmenou.</w:t>
      </w:r>
      <w:r>
        <w:rPr>
          <w:rFonts w:ascii="Arial" w:hAnsi="Arial" w:cs="Arial"/>
          <w:bCs/>
          <w:sz w:val="20"/>
          <w:szCs w:val="20"/>
        </w:rPr>
        <w:t xml:space="preserve"> </w:t>
      </w:r>
    </w:p>
    <w:p w:rsidR="00987634" w:rsidRDefault="00987634" w:rsidP="00987634">
      <w:pPr>
        <w:jc w:val="both"/>
        <w:rPr>
          <w:rFonts w:ascii="Arial" w:hAnsi="Arial" w:cs="Arial"/>
          <w:bCs/>
          <w:sz w:val="20"/>
          <w:szCs w:val="20"/>
        </w:rPr>
      </w:pPr>
    </w:p>
    <w:p w:rsidR="00987634" w:rsidRDefault="00987634" w:rsidP="00987634">
      <w:pPr>
        <w:jc w:val="both"/>
        <w:rPr>
          <w:rFonts w:ascii="Arial" w:hAnsi="Arial" w:cs="Arial"/>
          <w:bCs/>
          <w:sz w:val="20"/>
          <w:szCs w:val="20"/>
        </w:rPr>
      </w:pPr>
    </w:p>
    <w:p w:rsidR="00987634" w:rsidRDefault="00987634" w:rsidP="00987634">
      <w:pPr>
        <w:jc w:val="both"/>
        <w:rPr>
          <w:rFonts w:ascii="Arial" w:hAnsi="Arial" w:cs="Arial"/>
          <w:bCs/>
          <w:sz w:val="20"/>
          <w:szCs w:val="20"/>
        </w:rPr>
      </w:pPr>
      <w:r>
        <w:rPr>
          <w:rFonts w:ascii="Arial" w:hAnsi="Arial" w:cs="Arial"/>
          <w:bCs/>
          <w:sz w:val="20"/>
          <w:szCs w:val="20"/>
        </w:rPr>
        <w:t>V Bratislave 28.1.2014</w:t>
      </w:r>
    </w:p>
    <w:p w:rsidR="00987634" w:rsidRDefault="00987634" w:rsidP="00987634">
      <w:pPr>
        <w:jc w:val="both"/>
        <w:rPr>
          <w:rFonts w:ascii="Arial" w:hAnsi="Arial" w:cs="Arial"/>
          <w:bCs/>
          <w:sz w:val="20"/>
          <w:szCs w:val="20"/>
        </w:rPr>
      </w:pPr>
      <w:r>
        <w:rPr>
          <w:rFonts w:ascii="Arial" w:hAnsi="Arial" w:cs="Arial"/>
          <w:bCs/>
          <w:sz w:val="20"/>
          <w:szCs w:val="20"/>
        </w:rPr>
        <w:br/>
      </w:r>
      <w:proofErr w:type="spellStart"/>
      <w:r>
        <w:rPr>
          <w:rFonts w:ascii="Arial" w:hAnsi="Arial" w:cs="Arial"/>
          <w:bCs/>
          <w:sz w:val="20"/>
          <w:szCs w:val="20"/>
        </w:rPr>
        <w:t>Union</w:t>
      </w:r>
      <w:proofErr w:type="spellEnd"/>
      <w:r>
        <w:rPr>
          <w:rFonts w:ascii="Arial" w:hAnsi="Arial" w:cs="Arial"/>
          <w:bCs/>
          <w:sz w:val="20"/>
          <w:szCs w:val="20"/>
        </w:rPr>
        <w:t xml:space="preserve"> poisťovňa, a.s.</w:t>
      </w:r>
    </w:p>
    <w:p w:rsidR="00987634" w:rsidRPr="00987634" w:rsidRDefault="00987634" w:rsidP="00987634">
      <w:pPr>
        <w:jc w:val="both"/>
        <w:rPr>
          <w:rFonts w:ascii="Arial" w:hAnsi="Arial" w:cs="Arial"/>
          <w:bCs/>
          <w:sz w:val="20"/>
          <w:szCs w:val="20"/>
        </w:rPr>
      </w:pPr>
      <w:r>
        <w:rPr>
          <w:rFonts w:ascii="Arial" w:hAnsi="Arial" w:cs="Arial"/>
          <w:bCs/>
          <w:sz w:val="20"/>
          <w:szCs w:val="20"/>
        </w:rPr>
        <w:t xml:space="preserve">JUDr. Martin </w:t>
      </w:r>
      <w:proofErr w:type="spellStart"/>
      <w:r>
        <w:rPr>
          <w:rFonts w:ascii="Arial" w:hAnsi="Arial" w:cs="Arial"/>
          <w:bCs/>
          <w:sz w:val="20"/>
          <w:szCs w:val="20"/>
        </w:rPr>
        <w:t>Grešo</w:t>
      </w:r>
      <w:proofErr w:type="spellEnd"/>
    </w:p>
    <w:sectPr w:rsidR="00987634" w:rsidRPr="00987634" w:rsidSect="00DA78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B4D8D"/>
    <w:multiLevelType w:val="hybridMultilevel"/>
    <w:tmpl w:val="9EFE2002"/>
    <w:lvl w:ilvl="0" w:tplc="350ED302">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0CF7B39"/>
    <w:multiLevelType w:val="hybridMultilevel"/>
    <w:tmpl w:val="BBCAAAF8"/>
    <w:lvl w:ilvl="0" w:tplc="981E590C">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081A0A"/>
    <w:rsid w:val="00081A0A"/>
    <w:rsid w:val="000B2CC0"/>
    <w:rsid w:val="00353D14"/>
    <w:rsid w:val="003A12F9"/>
    <w:rsid w:val="005268EF"/>
    <w:rsid w:val="00987634"/>
    <w:rsid w:val="00A4088C"/>
    <w:rsid w:val="00C1558B"/>
    <w:rsid w:val="00C474DB"/>
    <w:rsid w:val="00DA476A"/>
    <w:rsid w:val="00DA78F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78F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081A0A"/>
    <w:rPr>
      <w:color w:val="0000FF"/>
      <w:u w:val="single"/>
    </w:rPr>
  </w:style>
  <w:style w:type="paragraph" w:styleId="Odsekzoznamu">
    <w:name w:val="List Paragraph"/>
    <w:basedOn w:val="Normlny"/>
    <w:uiPriority w:val="34"/>
    <w:qFormat/>
    <w:rsid w:val="00081A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rsr.sk/web/Default.aspx?sid=zakony/cpt&amp;ZakZborID=13&amp;CisObdobia=6&amp;ID=8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711</Words>
  <Characters>4056</Characters>
  <Application>Microsoft Office Word</Application>
  <DocSecurity>0</DocSecurity>
  <Lines>33</Lines>
  <Paragraphs>9</Paragraphs>
  <ScaleCrop>false</ScaleCrop>
  <Company>Union poisťovňa a.s.</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Martin Greso</dc:creator>
  <cp:keywords/>
  <dc:description/>
  <cp:lastModifiedBy> Martin Greso</cp:lastModifiedBy>
  <cp:revision>11</cp:revision>
  <dcterms:created xsi:type="dcterms:W3CDTF">2014-01-28T07:21:00Z</dcterms:created>
  <dcterms:modified xsi:type="dcterms:W3CDTF">2014-01-28T08:57:00Z</dcterms:modified>
</cp:coreProperties>
</file>