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E1" w:rsidRPr="001A015E" w:rsidRDefault="00ED0349" w:rsidP="00A63020">
      <w:pPr>
        <w:widowControl w:val="0"/>
        <w:suppressAutoHyphens/>
        <w:autoSpaceDN w:val="0"/>
        <w:jc w:val="center"/>
        <w:textAlignment w:val="baseline"/>
        <w:rPr>
          <w:rFonts w:ascii="Times New Roman" w:hAnsi="Times New Roman"/>
          <w:b/>
          <w:bCs/>
          <w:sz w:val="24"/>
          <w:szCs w:val="24"/>
          <w:lang w:val="en-US"/>
        </w:rPr>
      </w:pPr>
      <w:r w:rsidRPr="001A015E">
        <w:rPr>
          <w:rFonts w:ascii="Times New Roman" w:hAnsi="Times New Roman"/>
          <w:b/>
          <w:bCs/>
          <w:sz w:val="24"/>
          <w:szCs w:val="24"/>
          <w:lang w:val="en-US"/>
        </w:rPr>
        <w:t>D</w:t>
      </w:r>
      <w:r w:rsidR="00304371" w:rsidRPr="001A015E">
        <w:rPr>
          <w:rFonts w:ascii="Times New Roman" w:hAnsi="Times New Roman"/>
          <w:b/>
          <w:bCs/>
          <w:sz w:val="24"/>
          <w:szCs w:val="24"/>
          <w:lang w:val="en-US"/>
        </w:rPr>
        <w:t>eclaration</w:t>
      </w:r>
      <w:r w:rsidR="00F17189" w:rsidRPr="001A015E">
        <w:rPr>
          <w:rFonts w:ascii="Times New Roman" w:hAnsi="Times New Roman"/>
          <w:b/>
          <w:bCs/>
          <w:sz w:val="24"/>
          <w:szCs w:val="24"/>
          <w:lang w:val="en-US"/>
        </w:rPr>
        <w:t xml:space="preserve"> </w:t>
      </w:r>
      <w:r w:rsidR="00304371" w:rsidRPr="001A015E">
        <w:rPr>
          <w:rFonts w:ascii="Times New Roman" w:hAnsi="Times New Roman"/>
          <w:b/>
          <w:bCs/>
          <w:sz w:val="24"/>
          <w:szCs w:val="24"/>
          <w:lang w:val="en-US"/>
        </w:rPr>
        <w:t>o</w:t>
      </w:r>
      <w:bookmarkStart w:id="0" w:name="_GoBack"/>
      <w:bookmarkEnd w:id="0"/>
      <w:r w:rsidR="00304371" w:rsidRPr="001A015E">
        <w:rPr>
          <w:rFonts w:ascii="Times New Roman" w:hAnsi="Times New Roman"/>
          <w:b/>
          <w:bCs/>
          <w:sz w:val="24"/>
          <w:szCs w:val="24"/>
          <w:lang w:val="en-US"/>
        </w:rPr>
        <w:t>f</w:t>
      </w:r>
      <w:r w:rsidR="00F17189" w:rsidRPr="001A015E">
        <w:rPr>
          <w:rFonts w:ascii="Times New Roman" w:hAnsi="Times New Roman"/>
          <w:b/>
          <w:bCs/>
          <w:sz w:val="24"/>
          <w:szCs w:val="24"/>
          <w:lang w:val="en-US"/>
        </w:rPr>
        <w:t xml:space="preserve"> U</w:t>
      </w:r>
      <w:r w:rsidR="00304371" w:rsidRPr="001A015E">
        <w:rPr>
          <w:rFonts w:ascii="Times New Roman" w:hAnsi="Times New Roman"/>
          <w:b/>
          <w:bCs/>
          <w:sz w:val="24"/>
          <w:szCs w:val="24"/>
          <w:lang w:val="en-US"/>
        </w:rPr>
        <w:t>nderstanding</w:t>
      </w:r>
    </w:p>
    <w:p w:rsidR="00A63020" w:rsidRPr="00304371" w:rsidRDefault="00F17189" w:rsidP="00A63020">
      <w:pPr>
        <w:widowControl w:val="0"/>
        <w:suppressAutoHyphens/>
        <w:autoSpaceDN w:val="0"/>
        <w:jc w:val="center"/>
        <w:textAlignment w:val="baseline"/>
        <w:rPr>
          <w:rFonts w:ascii="Times New Roman" w:hAnsi="Times New Roman"/>
          <w:kern w:val="3"/>
          <w:sz w:val="24"/>
          <w:szCs w:val="24"/>
          <w:lang w:val="en-US"/>
        </w:rPr>
      </w:pPr>
      <w:r w:rsidRPr="001A015E">
        <w:rPr>
          <w:rFonts w:ascii="Times New Roman" w:hAnsi="Times New Roman"/>
          <w:b/>
          <w:bCs/>
          <w:sz w:val="24"/>
          <w:szCs w:val="24"/>
          <w:lang w:val="en-US"/>
        </w:rPr>
        <w:t xml:space="preserve"> R</w:t>
      </w:r>
      <w:r w:rsidR="00304371" w:rsidRPr="001A015E">
        <w:rPr>
          <w:rFonts w:ascii="Times New Roman" w:hAnsi="Times New Roman"/>
          <w:b/>
          <w:bCs/>
          <w:sz w:val="24"/>
          <w:szCs w:val="24"/>
          <w:lang w:val="en-US"/>
        </w:rPr>
        <w:t>egarding the</w:t>
      </w:r>
      <w:r w:rsidRPr="001A015E">
        <w:rPr>
          <w:rFonts w:ascii="Times New Roman" w:hAnsi="Times New Roman"/>
          <w:b/>
          <w:bCs/>
          <w:sz w:val="24"/>
          <w:szCs w:val="24"/>
          <w:lang w:val="en-US"/>
        </w:rPr>
        <w:t xml:space="preserve"> A</w:t>
      </w:r>
      <w:r w:rsidR="00304371" w:rsidRPr="001A015E">
        <w:rPr>
          <w:rFonts w:ascii="Times New Roman" w:hAnsi="Times New Roman"/>
          <w:b/>
          <w:bCs/>
          <w:sz w:val="24"/>
          <w:szCs w:val="24"/>
          <w:lang w:val="en-US"/>
        </w:rPr>
        <w:t>greement</w:t>
      </w:r>
      <w:r w:rsidRPr="001A015E">
        <w:rPr>
          <w:rFonts w:ascii="Times New Roman" w:hAnsi="Times New Roman"/>
          <w:b/>
          <w:bCs/>
          <w:sz w:val="24"/>
          <w:szCs w:val="24"/>
          <w:lang w:val="en-US"/>
        </w:rPr>
        <w:t xml:space="preserve"> </w:t>
      </w:r>
      <w:r w:rsidR="00304371" w:rsidRPr="001A015E">
        <w:rPr>
          <w:rFonts w:ascii="Times New Roman" w:hAnsi="Times New Roman"/>
          <w:b/>
          <w:bCs/>
          <w:sz w:val="24"/>
          <w:szCs w:val="24"/>
          <w:lang w:val="en-US"/>
        </w:rPr>
        <w:t>between</w:t>
      </w:r>
      <w:r w:rsidRPr="001A015E">
        <w:rPr>
          <w:rFonts w:ascii="Times New Roman" w:hAnsi="Times New Roman"/>
          <w:b/>
          <w:bCs/>
          <w:sz w:val="24"/>
          <w:szCs w:val="24"/>
          <w:lang w:val="en-US"/>
        </w:rPr>
        <w:t xml:space="preserve"> </w:t>
      </w:r>
      <w:r w:rsidR="00304371" w:rsidRPr="001A015E">
        <w:rPr>
          <w:rFonts w:ascii="Times New Roman" w:hAnsi="Times New Roman"/>
          <w:b/>
          <w:bCs/>
          <w:sz w:val="24"/>
          <w:szCs w:val="24"/>
          <w:lang w:val="en-US"/>
        </w:rPr>
        <w:t xml:space="preserve">the Slovak Republic and the United States of America </w:t>
      </w:r>
      <w:r w:rsidR="00A500DC" w:rsidRPr="001A015E">
        <w:rPr>
          <w:rFonts w:ascii="Times New Roman" w:hAnsi="Times New Roman"/>
          <w:b/>
          <w:kern w:val="3"/>
          <w:sz w:val="24"/>
          <w:szCs w:val="24"/>
          <w:lang w:val="en-US"/>
        </w:rPr>
        <w:t>to Improve International Tax Compliance and with Respect to the United States Information and Reporting Provisions Commonly Known as the Foreign Account Tax Compliance Act</w:t>
      </w:r>
    </w:p>
    <w:p w:rsidR="00636D0A" w:rsidRPr="00304371" w:rsidRDefault="00636D0A" w:rsidP="00636D0A">
      <w:pPr>
        <w:tabs>
          <w:tab w:val="left" w:pos="0"/>
          <w:tab w:val="left" w:pos="4536"/>
        </w:tabs>
        <w:spacing w:after="0" w:line="300" w:lineRule="auto"/>
        <w:rPr>
          <w:rFonts w:ascii="Times New Roman" w:hAnsi="Times New Roman"/>
          <w:sz w:val="24"/>
          <w:szCs w:val="24"/>
          <w:lang w:val="en-US"/>
        </w:rPr>
      </w:pPr>
    </w:p>
    <w:p w:rsidR="00C107C6" w:rsidRPr="00003091" w:rsidRDefault="00F17189" w:rsidP="001A015E">
      <w:pPr>
        <w:tabs>
          <w:tab w:val="left" w:pos="0"/>
        </w:tabs>
        <w:spacing w:after="0" w:line="300" w:lineRule="auto"/>
        <w:jc w:val="both"/>
        <w:rPr>
          <w:rFonts w:ascii="Times New Roman" w:hAnsi="Times New Roman"/>
          <w:b/>
          <w:sz w:val="24"/>
          <w:szCs w:val="24"/>
          <w:lang w:val="en-US"/>
        </w:rPr>
      </w:pPr>
      <w:r w:rsidRPr="00003091">
        <w:rPr>
          <w:rFonts w:ascii="Times New Roman" w:hAnsi="Times New Roman"/>
          <w:sz w:val="24"/>
          <w:szCs w:val="24"/>
          <w:lang w:val="en-US"/>
        </w:rPr>
        <w:t xml:space="preserve">At the signing today of the </w:t>
      </w:r>
      <w:r w:rsidR="00A63020" w:rsidRPr="00003091">
        <w:rPr>
          <w:rFonts w:ascii="Times New Roman" w:hAnsi="Times New Roman"/>
          <w:bCs/>
          <w:sz w:val="24"/>
          <w:szCs w:val="24"/>
          <w:lang w:val="en-US"/>
        </w:rPr>
        <w:t xml:space="preserve">Agreement between </w:t>
      </w:r>
      <w:r w:rsidR="00304371" w:rsidRPr="00003091">
        <w:rPr>
          <w:rFonts w:ascii="Times New Roman" w:hAnsi="Times New Roman"/>
          <w:bCs/>
          <w:sz w:val="24"/>
          <w:szCs w:val="24"/>
          <w:lang w:val="en-US"/>
        </w:rPr>
        <w:t>the Slovak Republic</w:t>
      </w:r>
      <w:r w:rsidR="00304371">
        <w:rPr>
          <w:rFonts w:ascii="Times New Roman" w:hAnsi="Times New Roman"/>
          <w:bCs/>
          <w:sz w:val="24"/>
          <w:szCs w:val="24"/>
          <w:lang w:val="en-US"/>
        </w:rPr>
        <w:t xml:space="preserve"> </w:t>
      </w:r>
      <w:r w:rsidR="00304371" w:rsidRPr="00003091">
        <w:rPr>
          <w:rFonts w:ascii="Times New Roman" w:hAnsi="Times New Roman"/>
          <w:bCs/>
          <w:sz w:val="24"/>
          <w:szCs w:val="24"/>
          <w:lang w:val="en-US"/>
        </w:rPr>
        <w:t xml:space="preserve">and </w:t>
      </w:r>
      <w:r w:rsidR="00A63020" w:rsidRPr="00003091">
        <w:rPr>
          <w:rFonts w:ascii="Times New Roman" w:hAnsi="Times New Roman"/>
          <w:bCs/>
          <w:sz w:val="24"/>
          <w:szCs w:val="24"/>
          <w:lang w:val="en-US"/>
        </w:rPr>
        <w:t xml:space="preserve">the United States of America </w:t>
      </w:r>
      <w:r w:rsidR="00A500DC" w:rsidRPr="00B15E7D">
        <w:rPr>
          <w:rFonts w:ascii="Times New Roman" w:hAnsi="Times New Roman"/>
          <w:kern w:val="3"/>
          <w:sz w:val="24"/>
          <w:szCs w:val="24"/>
          <w:lang w:val="en-US"/>
        </w:rPr>
        <w:t>to Improve International Tax Compliance and with Respect to the United States Information and Reporting Provisions Commonly Known as the Foreign Account Tax Compliance Act</w:t>
      </w:r>
      <w:r w:rsidRPr="00003091">
        <w:rPr>
          <w:rFonts w:ascii="Times New Roman" w:hAnsi="Times New Roman"/>
          <w:sz w:val="24"/>
          <w:szCs w:val="24"/>
          <w:lang w:val="en-US"/>
        </w:rPr>
        <w:t xml:space="preserve"> (hereinafter the “Agreement”), the representatives of </w:t>
      </w:r>
      <w:r w:rsidR="00304371" w:rsidRPr="00003091">
        <w:rPr>
          <w:rFonts w:ascii="Times New Roman" w:hAnsi="Times New Roman"/>
          <w:sz w:val="24"/>
          <w:szCs w:val="24"/>
          <w:lang w:val="en-US"/>
        </w:rPr>
        <w:t xml:space="preserve">the Slovak Republic and </w:t>
      </w:r>
      <w:r w:rsidRPr="00003091">
        <w:rPr>
          <w:rFonts w:ascii="Times New Roman" w:hAnsi="Times New Roman"/>
          <w:sz w:val="24"/>
          <w:szCs w:val="24"/>
          <w:lang w:val="en-US"/>
        </w:rPr>
        <w:t>the United States of America wish to confirm their understanding of the following:</w:t>
      </w:r>
    </w:p>
    <w:p w:rsidR="00C107C6" w:rsidRPr="00003091" w:rsidRDefault="00C107C6" w:rsidP="00F17189">
      <w:pPr>
        <w:tabs>
          <w:tab w:val="left" w:pos="0"/>
        </w:tabs>
        <w:spacing w:after="0" w:line="300" w:lineRule="auto"/>
        <w:rPr>
          <w:rFonts w:ascii="Times New Roman" w:hAnsi="Times New Roman"/>
          <w:b/>
          <w:sz w:val="24"/>
          <w:szCs w:val="24"/>
          <w:lang w:val="en-US"/>
        </w:rPr>
      </w:pPr>
    </w:p>
    <w:p w:rsidR="00A66AC5" w:rsidRPr="00003091" w:rsidRDefault="00A66AC5" w:rsidP="001A015E">
      <w:pPr>
        <w:tabs>
          <w:tab w:val="left" w:pos="0"/>
        </w:tabs>
        <w:spacing w:after="0" w:line="300" w:lineRule="auto"/>
        <w:jc w:val="both"/>
        <w:rPr>
          <w:rFonts w:ascii="Times New Roman" w:hAnsi="Times New Roman"/>
          <w:b/>
          <w:sz w:val="24"/>
          <w:szCs w:val="24"/>
          <w:lang w:val="en-US"/>
        </w:rPr>
      </w:pPr>
      <w:r w:rsidRPr="00003091">
        <w:rPr>
          <w:rFonts w:ascii="Times New Roman" w:hAnsi="Times New Roman"/>
          <w:b/>
          <w:sz w:val="24"/>
          <w:szCs w:val="24"/>
          <w:lang w:val="en-US"/>
        </w:rPr>
        <w:t>With reference to paragraph 7 of Article 3 (Time and Manner of Exchange of Information</w:t>
      </w:r>
      <w:r w:rsidR="00F17189" w:rsidRPr="00003091">
        <w:rPr>
          <w:rFonts w:ascii="Times New Roman" w:hAnsi="Times New Roman"/>
          <w:b/>
          <w:sz w:val="24"/>
          <w:szCs w:val="24"/>
          <w:lang w:val="en-US"/>
        </w:rPr>
        <w:t>) of the Ag</w:t>
      </w:r>
      <w:r w:rsidRPr="00003091">
        <w:rPr>
          <w:rFonts w:ascii="Times New Roman" w:hAnsi="Times New Roman"/>
          <w:b/>
          <w:sz w:val="24"/>
          <w:szCs w:val="24"/>
          <w:lang w:val="en-US"/>
        </w:rPr>
        <w:t>reement</w:t>
      </w:r>
    </w:p>
    <w:p w:rsidR="00A66AC5" w:rsidRPr="00003091" w:rsidRDefault="00A66AC5" w:rsidP="00F17189">
      <w:pPr>
        <w:tabs>
          <w:tab w:val="left" w:pos="0"/>
        </w:tabs>
        <w:spacing w:after="0" w:line="300" w:lineRule="auto"/>
        <w:rPr>
          <w:rFonts w:ascii="Times New Roman" w:hAnsi="Times New Roman"/>
          <w:sz w:val="24"/>
          <w:szCs w:val="24"/>
          <w:lang w:val="en-US"/>
        </w:rPr>
      </w:pPr>
    </w:p>
    <w:p w:rsidR="00493A24" w:rsidRPr="00003091" w:rsidRDefault="000A30DC" w:rsidP="001A015E">
      <w:pPr>
        <w:tabs>
          <w:tab w:val="left" w:pos="284"/>
        </w:tabs>
        <w:spacing w:after="0" w:line="300" w:lineRule="auto"/>
        <w:jc w:val="both"/>
        <w:rPr>
          <w:rFonts w:ascii="Times New Roman" w:hAnsi="Times New Roman"/>
          <w:i/>
          <w:sz w:val="24"/>
          <w:szCs w:val="24"/>
          <w:lang w:val="en-US"/>
        </w:rPr>
      </w:pPr>
      <w:r w:rsidRPr="00003091">
        <w:rPr>
          <w:rFonts w:ascii="Times New Roman" w:hAnsi="Times New Roman"/>
          <w:sz w:val="24"/>
          <w:szCs w:val="24"/>
          <w:lang w:val="en-US"/>
        </w:rPr>
        <w:t>It is underst</w:t>
      </w:r>
      <w:r w:rsidR="00354063" w:rsidRPr="00003091">
        <w:rPr>
          <w:rFonts w:ascii="Times New Roman" w:hAnsi="Times New Roman"/>
          <w:sz w:val="24"/>
          <w:szCs w:val="24"/>
          <w:lang w:val="en-US"/>
        </w:rPr>
        <w:t>ood that paragraph 1 sentences 3</w:t>
      </w:r>
      <w:r w:rsidRPr="00003091">
        <w:rPr>
          <w:rFonts w:ascii="Times New Roman" w:hAnsi="Times New Roman"/>
          <w:sz w:val="24"/>
          <w:szCs w:val="24"/>
          <w:lang w:val="en-US"/>
        </w:rPr>
        <w:t xml:space="preserve"> through 5 of Article 2</w:t>
      </w:r>
      <w:r w:rsidR="003D2B4F" w:rsidRPr="00003091">
        <w:rPr>
          <w:rFonts w:ascii="Times New Roman" w:hAnsi="Times New Roman"/>
          <w:sz w:val="24"/>
          <w:szCs w:val="24"/>
          <w:lang w:val="en-US"/>
        </w:rPr>
        <w:t>7</w:t>
      </w:r>
      <w:r w:rsidRPr="00003091">
        <w:rPr>
          <w:rFonts w:ascii="Times New Roman" w:hAnsi="Times New Roman"/>
          <w:sz w:val="24"/>
          <w:szCs w:val="24"/>
          <w:lang w:val="en-US"/>
        </w:rPr>
        <w:t xml:space="preserve"> of the Convention </w:t>
      </w:r>
      <w:r w:rsidR="00375C89" w:rsidRPr="00003091">
        <w:rPr>
          <w:rFonts w:ascii="Times New Roman" w:hAnsi="Times New Roman"/>
          <w:sz w:val="24"/>
          <w:szCs w:val="24"/>
          <w:lang w:val="en-US"/>
        </w:rPr>
        <w:t xml:space="preserve">between the United States and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00375C89" w:rsidRPr="00003091">
        <w:rPr>
          <w:rFonts w:ascii="Times New Roman" w:hAnsi="Times New Roman"/>
          <w:sz w:val="24"/>
          <w:szCs w:val="24"/>
          <w:lang w:val="en-US"/>
        </w:rPr>
        <w:t xml:space="preserve"> for the Avoidance of Double Taxation and the Prevention of Fiscal Evasion with Respect to Taxes on Income and Capital, done at </w:t>
      </w:r>
      <w:r w:rsidR="002D49AD">
        <w:rPr>
          <w:rFonts w:ascii="Times New Roman" w:hAnsi="Times New Roman"/>
          <w:sz w:val="24"/>
          <w:szCs w:val="24"/>
          <w:lang w:val="en-US"/>
        </w:rPr>
        <w:t xml:space="preserve">Bratislava </w:t>
      </w:r>
      <w:r w:rsidR="00375C89" w:rsidRPr="00003091">
        <w:rPr>
          <w:rFonts w:ascii="Times New Roman" w:hAnsi="Times New Roman"/>
          <w:sz w:val="24"/>
          <w:szCs w:val="24"/>
          <w:lang w:val="en-US"/>
        </w:rPr>
        <w:t xml:space="preserve">on </w:t>
      </w:r>
      <w:r w:rsidR="002D49AD">
        <w:rPr>
          <w:rFonts w:ascii="Times New Roman" w:hAnsi="Times New Roman"/>
          <w:sz w:val="24"/>
          <w:szCs w:val="24"/>
          <w:lang w:val="en-US"/>
        </w:rPr>
        <w:t>October 8,</w:t>
      </w:r>
      <w:r w:rsidR="00304371">
        <w:rPr>
          <w:rFonts w:ascii="Times New Roman" w:hAnsi="Times New Roman"/>
          <w:sz w:val="24"/>
          <w:szCs w:val="24"/>
          <w:lang w:val="en-US"/>
        </w:rPr>
        <w:t xml:space="preserve"> </w:t>
      </w:r>
      <w:r w:rsidR="00375C89" w:rsidRPr="00003091">
        <w:rPr>
          <w:rFonts w:ascii="Times New Roman" w:hAnsi="Times New Roman"/>
          <w:sz w:val="24"/>
          <w:szCs w:val="24"/>
          <w:lang w:val="en-US"/>
        </w:rPr>
        <w:t>19</w:t>
      </w:r>
      <w:r w:rsidR="003D2B4F" w:rsidRPr="00003091">
        <w:rPr>
          <w:rFonts w:ascii="Times New Roman" w:hAnsi="Times New Roman"/>
          <w:sz w:val="24"/>
          <w:szCs w:val="24"/>
          <w:lang w:val="en-US"/>
        </w:rPr>
        <w:t>93</w:t>
      </w:r>
      <w:r w:rsidR="00375C89" w:rsidRPr="00003091">
        <w:rPr>
          <w:rFonts w:ascii="Times New Roman" w:hAnsi="Times New Roman"/>
          <w:sz w:val="24"/>
          <w:szCs w:val="24"/>
          <w:lang w:val="en-US"/>
        </w:rPr>
        <w:t xml:space="preserve">, </w:t>
      </w:r>
      <w:r w:rsidRPr="00003091">
        <w:rPr>
          <w:rFonts w:ascii="Times New Roman" w:hAnsi="Times New Roman"/>
          <w:sz w:val="24"/>
          <w:szCs w:val="24"/>
          <w:lang w:val="en-US"/>
        </w:rPr>
        <w:t xml:space="preserve">applies to all information exchanged under </w:t>
      </w:r>
      <w:r w:rsidR="00ED0349" w:rsidRPr="00003091">
        <w:rPr>
          <w:rFonts w:ascii="Times New Roman" w:hAnsi="Times New Roman"/>
          <w:sz w:val="24"/>
          <w:szCs w:val="24"/>
          <w:lang w:val="en-US"/>
        </w:rPr>
        <w:t>the</w:t>
      </w:r>
      <w:r w:rsidRPr="00003091">
        <w:rPr>
          <w:rFonts w:ascii="Times New Roman" w:hAnsi="Times New Roman"/>
          <w:sz w:val="24"/>
          <w:szCs w:val="24"/>
          <w:lang w:val="en-US"/>
        </w:rPr>
        <w:t xml:space="preserve"> Agreement</w:t>
      </w:r>
      <w:r w:rsidR="00AA1AC4" w:rsidRPr="00003091">
        <w:rPr>
          <w:rFonts w:ascii="Times New Roman" w:hAnsi="Times New Roman"/>
          <w:sz w:val="24"/>
          <w:szCs w:val="24"/>
          <w:lang w:val="en-US"/>
        </w:rPr>
        <w:t xml:space="preserve"> and sentence </w:t>
      </w:r>
      <w:r w:rsidR="003D2B4F" w:rsidRPr="00003091">
        <w:rPr>
          <w:rFonts w:ascii="Times New Roman" w:hAnsi="Times New Roman"/>
          <w:sz w:val="24"/>
          <w:szCs w:val="24"/>
          <w:lang w:val="en-US"/>
        </w:rPr>
        <w:t>5</w:t>
      </w:r>
      <w:r w:rsidR="00AA1AC4" w:rsidRPr="00003091">
        <w:rPr>
          <w:rFonts w:ascii="Times New Roman" w:hAnsi="Times New Roman"/>
          <w:sz w:val="24"/>
          <w:szCs w:val="24"/>
          <w:lang w:val="en-US"/>
        </w:rPr>
        <w:t xml:space="preserve"> </w:t>
      </w:r>
      <w:r w:rsidR="00ED0349" w:rsidRPr="00003091">
        <w:rPr>
          <w:rFonts w:ascii="Times New Roman" w:hAnsi="Times New Roman"/>
          <w:sz w:val="24"/>
          <w:szCs w:val="24"/>
          <w:lang w:val="en-US"/>
        </w:rPr>
        <w:t xml:space="preserve">of that paragraph </w:t>
      </w:r>
      <w:r w:rsidR="00AA1AC4" w:rsidRPr="00003091">
        <w:rPr>
          <w:rFonts w:ascii="Times New Roman" w:hAnsi="Times New Roman"/>
          <w:sz w:val="24"/>
          <w:szCs w:val="24"/>
          <w:lang w:val="en-US"/>
        </w:rPr>
        <w:t xml:space="preserve">applies accordingly </w:t>
      </w:r>
      <w:r w:rsidR="00D97356" w:rsidRPr="00003091">
        <w:rPr>
          <w:rFonts w:ascii="Times New Roman" w:hAnsi="Times New Roman"/>
          <w:sz w:val="24"/>
          <w:szCs w:val="24"/>
          <w:lang w:val="en-US"/>
        </w:rPr>
        <w:t xml:space="preserve">for all persons or authorities </w:t>
      </w:r>
      <w:r w:rsidR="00AA1AC4" w:rsidRPr="00003091">
        <w:rPr>
          <w:rFonts w:ascii="Times New Roman" w:hAnsi="Times New Roman"/>
          <w:sz w:val="24"/>
          <w:szCs w:val="24"/>
          <w:lang w:val="en-US"/>
        </w:rPr>
        <w:t>in case the exchanged information is disclosed in public court proceedings or in judicial decisions</w:t>
      </w:r>
      <w:r w:rsidRPr="00003091">
        <w:rPr>
          <w:rFonts w:ascii="Times New Roman" w:hAnsi="Times New Roman"/>
          <w:sz w:val="24"/>
          <w:szCs w:val="24"/>
          <w:lang w:val="en-US"/>
        </w:rPr>
        <w:t>.</w:t>
      </w:r>
    </w:p>
    <w:p w:rsidR="000A30DC" w:rsidRPr="00003091" w:rsidRDefault="000A30DC" w:rsidP="004B6774">
      <w:pPr>
        <w:tabs>
          <w:tab w:val="left" w:pos="284"/>
        </w:tabs>
        <w:spacing w:after="0" w:line="300" w:lineRule="auto"/>
        <w:rPr>
          <w:rFonts w:ascii="Times New Roman" w:hAnsi="Times New Roman"/>
          <w:sz w:val="24"/>
          <w:szCs w:val="24"/>
          <w:lang w:val="en-US"/>
        </w:rPr>
      </w:pPr>
    </w:p>
    <w:p w:rsidR="00B4318F" w:rsidRPr="00003091" w:rsidRDefault="00B4318F" w:rsidP="00B4318F">
      <w:pPr>
        <w:rPr>
          <w:rFonts w:ascii="Times New Roman" w:hAnsi="Times New Roman"/>
          <w:b/>
          <w:sz w:val="24"/>
          <w:szCs w:val="24"/>
          <w:lang w:val="en-US"/>
        </w:rPr>
      </w:pPr>
      <w:r w:rsidRPr="00003091">
        <w:rPr>
          <w:rFonts w:ascii="Times New Roman" w:hAnsi="Times New Roman"/>
          <w:b/>
          <w:sz w:val="24"/>
          <w:szCs w:val="24"/>
          <w:lang w:val="en-US"/>
        </w:rPr>
        <w:t>With reference to paragraph 1 of Article 10 (Term of Agreement) of the Agreement</w:t>
      </w:r>
    </w:p>
    <w:p w:rsidR="00B4318F" w:rsidRPr="00003091" w:rsidRDefault="00B4318F" w:rsidP="001A015E">
      <w:pPr>
        <w:jc w:val="both"/>
        <w:rPr>
          <w:rFonts w:ascii="Times New Roman" w:hAnsi="Times New Roman"/>
          <w:sz w:val="24"/>
          <w:szCs w:val="24"/>
          <w:lang w:val="en-US"/>
        </w:rPr>
      </w:pPr>
      <w:r w:rsidRPr="00003091">
        <w:rPr>
          <w:rFonts w:ascii="Times New Roman" w:hAnsi="Times New Roman"/>
          <w:sz w:val="24"/>
          <w:szCs w:val="24"/>
          <w:lang w:val="en-US"/>
        </w:rPr>
        <w:t xml:space="preserve">The United States understands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plans to present the Agreement to its parliament for its approval in 201</w:t>
      </w:r>
      <w:r w:rsidR="00282A93">
        <w:rPr>
          <w:rFonts w:ascii="Times New Roman" w:hAnsi="Times New Roman"/>
          <w:sz w:val="24"/>
          <w:szCs w:val="24"/>
          <w:lang w:val="en-US"/>
        </w:rPr>
        <w:t>4</w:t>
      </w:r>
      <w:r w:rsidRPr="00003091">
        <w:rPr>
          <w:rFonts w:ascii="Times New Roman" w:hAnsi="Times New Roman"/>
          <w:sz w:val="24"/>
          <w:szCs w:val="24"/>
          <w:lang w:val="en-US"/>
        </w:rPr>
        <w:t xml:space="preserve"> </w:t>
      </w:r>
      <w:r w:rsidR="00ED0349" w:rsidRPr="00003091">
        <w:rPr>
          <w:rFonts w:ascii="Times New Roman" w:hAnsi="Times New Roman"/>
          <w:sz w:val="24"/>
          <w:szCs w:val="24"/>
          <w:lang w:val="en-US"/>
        </w:rPr>
        <w:t xml:space="preserve">together with draft legislation that is to implement the provisions of the Agreement </w:t>
      </w:r>
      <w:r w:rsidRPr="00003091">
        <w:rPr>
          <w:rFonts w:ascii="Times New Roman" w:hAnsi="Times New Roman"/>
          <w:sz w:val="24"/>
          <w:szCs w:val="24"/>
          <w:lang w:val="en-US"/>
        </w:rPr>
        <w:t xml:space="preserve">with the goal of having the Agreement </w:t>
      </w:r>
      <w:r w:rsidR="00ED0349" w:rsidRPr="00003091">
        <w:rPr>
          <w:rFonts w:ascii="Times New Roman" w:hAnsi="Times New Roman"/>
          <w:sz w:val="24"/>
          <w:szCs w:val="24"/>
          <w:lang w:val="en-US"/>
        </w:rPr>
        <w:t xml:space="preserve">and the legislation </w:t>
      </w:r>
      <w:r w:rsidRPr="00003091">
        <w:rPr>
          <w:rFonts w:ascii="Times New Roman" w:hAnsi="Times New Roman"/>
          <w:sz w:val="24"/>
          <w:szCs w:val="24"/>
          <w:lang w:val="en-US"/>
        </w:rPr>
        <w:t xml:space="preserve">enter into force </w:t>
      </w:r>
      <w:r w:rsidR="00F611F2" w:rsidRPr="00003091">
        <w:rPr>
          <w:rFonts w:ascii="Times New Roman" w:hAnsi="Times New Roman"/>
          <w:sz w:val="24"/>
          <w:szCs w:val="24"/>
          <w:lang w:val="en-US"/>
        </w:rPr>
        <w:t xml:space="preserve">not later than </w:t>
      </w:r>
      <w:r w:rsidRPr="00003091">
        <w:rPr>
          <w:rFonts w:ascii="Times New Roman" w:hAnsi="Times New Roman"/>
          <w:sz w:val="24"/>
          <w:szCs w:val="24"/>
          <w:lang w:val="en-US"/>
        </w:rPr>
        <w:t xml:space="preserve">September 30, 2015.  Based on this understanding, as of the date of signature of the Agreement, the United States Department of the Treasury intends to treat each </w:t>
      </w:r>
      <w:r w:rsidR="00880B4B" w:rsidRPr="00003091">
        <w:rPr>
          <w:rFonts w:ascii="Times New Roman" w:hAnsi="Times New Roman"/>
          <w:sz w:val="24"/>
          <w:szCs w:val="24"/>
          <w:lang w:val="en-US"/>
        </w:rPr>
        <w:t>Slovak</w:t>
      </w:r>
      <w:r w:rsidRPr="00003091">
        <w:rPr>
          <w:rFonts w:ascii="Times New Roman" w:hAnsi="Times New Roman"/>
          <w:sz w:val="24"/>
          <w:szCs w:val="24"/>
          <w:lang w:val="en-US"/>
        </w:rPr>
        <w:t xml:space="preserve"> Financial Institution, as that term is defined in the Agreement, as complying with, and not subject to withholding under section 1471 of the U.S. Internal Revenue Code during such time as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is pursuing the necessary internal procedures for entry into force of the Agreement.  The United States further understands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’s Ministry of Finance intends to contact the United States Department of the Treasury as soon as it is aware that there might be a delay in the </w:t>
      </w:r>
      <w:r w:rsidR="00880B4B" w:rsidRPr="00003091">
        <w:rPr>
          <w:rFonts w:ascii="Times New Roman" w:hAnsi="Times New Roman"/>
          <w:sz w:val="24"/>
          <w:szCs w:val="24"/>
          <w:lang w:val="en-US"/>
        </w:rPr>
        <w:t>Slovak</w:t>
      </w:r>
      <w:r w:rsidRPr="00003091">
        <w:rPr>
          <w:rFonts w:ascii="Times New Roman" w:hAnsi="Times New Roman"/>
          <w:sz w:val="24"/>
          <w:szCs w:val="24"/>
          <w:lang w:val="en-US"/>
        </w:rPr>
        <w:t xml:space="preserve"> internal approval process for entry into force of the Agreement such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would not be able to provide its notification under paragraph 1 of Article 10 of the Agreement prior to September 30, 2015.  If upon consultation with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the United States </w:t>
      </w:r>
      <w:r w:rsidR="00375C89" w:rsidRPr="00003091">
        <w:rPr>
          <w:rFonts w:ascii="Times New Roman" w:hAnsi="Times New Roman"/>
          <w:sz w:val="24"/>
          <w:szCs w:val="24"/>
          <w:lang w:val="en-US"/>
        </w:rPr>
        <w:t xml:space="preserve">Department of the Treasury </w:t>
      </w:r>
      <w:r w:rsidRPr="00003091">
        <w:rPr>
          <w:rFonts w:ascii="Times New Roman" w:hAnsi="Times New Roman"/>
          <w:sz w:val="24"/>
          <w:szCs w:val="24"/>
          <w:lang w:val="en-US"/>
        </w:rPr>
        <w:t xml:space="preserve">receives credible assurances that such a delay is likely to be resolved in a reasonable period of time, the United States Department of the Treasury may decide to continue to apply FATCA to </w:t>
      </w:r>
      <w:r w:rsidR="00880B4B" w:rsidRPr="00003091">
        <w:rPr>
          <w:rFonts w:ascii="Times New Roman" w:hAnsi="Times New Roman"/>
          <w:sz w:val="24"/>
          <w:szCs w:val="24"/>
          <w:lang w:val="en-US"/>
        </w:rPr>
        <w:t>Slovak</w:t>
      </w:r>
      <w:r w:rsidRPr="00003091">
        <w:rPr>
          <w:rFonts w:ascii="Times New Roman" w:hAnsi="Times New Roman"/>
          <w:sz w:val="24"/>
          <w:szCs w:val="24"/>
          <w:lang w:val="en-US"/>
        </w:rPr>
        <w:t xml:space="preserve"> Financial Institutions in the manner described above as long as the United States Department of the Treasury assesses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w:t>
      </w:r>
      <w:r w:rsidR="00A63020" w:rsidRPr="00003091">
        <w:rPr>
          <w:rFonts w:ascii="Times New Roman" w:hAnsi="Times New Roman"/>
          <w:sz w:val="24"/>
          <w:szCs w:val="24"/>
          <w:lang w:val="en-US"/>
        </w:rPr>
        <w:lastRenderedPageBreak/>
        <w:t>Republic</w:t>
      </w:r>
      <w:r w:rsidRPr="00003091">
        <w:rPr>
          <w:rFonts w:ascii="Times New Roman" w:hAnsi="Times New Roman"/>
          <w:sz w:val="24"/>
          <w:szCs w:val="24"/>
          <w:lang w:val="en-US"/>
        </w:rPr>
        <w:t xml:space="preserve"> is likely to be able to send its notification under paragraph 1 of Article 10 by September 30, 2016.  It is understood that should the Agreement enter into force after September 30, 2015, any information that would have been reportable under the Agreement thereafter (and prior to its entry into force) had the Agreement been in force by September 30, 2015, is owed on the September 30 next following the date of entry into force. </w:t>
      </w:r>
    </w:p>
    <w:p w:rsidR="002F44FE" w:rsidRPr="00003091" w:rsidRDefault="005F72B5" w:rsidP="00F17189">
      <w:pPr>
        <w:tabs>
          <w:tab w:val="left" w:pos="0"/>
        </w:tabs>
        <w:rPr>
          <w:rFonts w:ascii="Times New Roman" w:hAnsi="Times New Roman"/>
          <w:b/>
          <w:sz w:val="24"/>
          <w:szCs w:val="24"/>
          <w:lang w:val="en-US"/>
        </w:rPr>
      </w:pPr>
      <w:r w:rsidRPr="00003091">
        <w:rPr>
          <w:rFonts w:ascii="Times New Roman" w:hAnsi="Times New Roman"/>
          <w:b/>
          <w:sz w:val="24"/>
          <w:szCs w:val="24"/>
          <w:lang w:val="en-US"/>
        </w:rPr>
        <w:t>With reference to Subparagraph 1(c) of Article 4 of the Agreement</w:t>
      </w:r>
    </w:p>
    <w:p w:rsidR="005F72B5" w:rsidRPr="00003091" w:rsidRDefault="005F72B5" w:rsidP="001A015E">
      <w:pPr>
        <w:tabs>
          <w:tab w:val="left" w:pos="0"/>
        </w:tabs>
        <w:jc w:val="both"/>
        <w:rPr>
          <w:rFonts w:ascii="Times New Roman" w:hAnsi="Times New Roman"/>
          <w:sz w:val="24"/>
          <w:szCs w:val="24"/>
          <w:lang w:val="en-US"/>
        </w:rPr>
      </w:pPr>
      <w:r w:rsidRPr="00003091">
        <w:rPr>
          <w:rFonts w:ascii="Times New Roman" w:hAnsi="Times New Roman"/>
          <w:sz w:val="24"/>
          <w:szCs w:val="24"/>
          <w:lang w:val="en-US"/>
        </w:rPr>
        <w:t xml:space="preserve">It is understood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intends for </w:t>
      </w:r>
      <w:r w:rsidR="00880B4B" w:rsidRPr="00003091">
        <w:rPr>
          <w:rFonts w:ascii="Times New Roman" w:hAnsi="Times New Roman"/>
          <w:sz w:val="24"/>
          <w:szCs w:val="24"/>
          <w:lang w:val="en-US"/>
        </w:rPr>
        <w:t>Slovak</w:t>
      </w:r>
      <w:r w:rsidRPr="00003091">
        <w:rPr>
          <w:rFonts w:ascii="Times New Roman" w:hAnsi="Times New Roman"/>
          <w:sz w:val="24"/>
          <w:szCs w:val="24"/>
          <w:lang w:val="en-US"/>
        </w:rPr>
        <w:t xml:space="preserve"> Financial Institutions to comply with the </w:t>
      </w:r>
      <w:r w:rsidRPr="00003091">
        <w:rPr>
          <w:rFonts w:ascii="Times New Roman" w:hAnsi="Times New Roman"/>
          <w:kern w:val="3"/>
          <w:sz w:val="24"/>
          <w:szCs w:val="24"/>
          <w:lang w:val="en-US"/>
        </w:rPr>
        <w:t>registration requirements applicable to Financial Institutions in Partner Jurisdictions</w:t>
      </w:r>
      <w:r w:rsidRPr="00003091">
        <w:rPr>
          <w:rFonts w:ascii="Times New Roman" w:hAnsi="Times New Roman"/>
          <w:sz w:val="24"/>
          <w:szCs w:val="24"/>
          <w:lang w:val="en-US"/>
        </w:rPr>
        <w:t xml:space="preserve"> by registering with the Internal Revenue Service and obtaining a </w:t>
      </w:r>
      <w:r w:rsidRPr="00003091">
        <w:rPr>
          <w:rFonts w:ascii="Times New Roman" w:eastAsiaTheme="minorHAnsi" w:hAnsi="Times New Roman"/>
          <w:sz w:val="24"/>
          <w:szCs w:val="24"/>
          <w:lang w:val="en-US"/>
        </w:rPr>
        <w:t>Global Intermediary Identification Number (“GIIN”) from the Internal Revenue Service.</w:t>
      </w:r>
      <w:r w:rsidRPr="00003091">
        <w:rPr>
          <w:rFonts w:ascii="Times New Roman" w:hAnsi="Times New Roman"/>
          <w:sz w:val="24"/>
          <w:szCs w:val="24"/>
          <w:lang w:val="en-US"/>
        </w:rPr>
        <w:t xml:space="preserve"> </w:t>
      </w:r>
    </w:p>
    <w:p w:rsidR="0094025E" w:rsidRPr="00003091" w:rsidRDefault="0094025E" w:rsidP="0094025E">
      <w:pPr>
        <w:rPr>
          <w:rFonts w:ascii="Times New Roman" w:hAnsi="Times New Roman"/>
          <w:b/>
          <w:bCs/>
          <w:sz w:val="24"/>
          <w:szCs w:val="24"/>
          <w:lang w:val="en-US"/>
        </w:rPr>
      </w:pPr>
      <w:r w:rsidRPr="00003091">
        <w:rPr>
          <w:rFonts w:ascii="Times New Roman" w:hAnsi="Times New Roman"/>
          <w:b/>
          <w:bCs/>
          <w:sz w:val="24"/>
          <w:szCs w:val="24"/>
          <w:lang w:val="en-US"/>
        </w:rPr>
        <w:t>With reference to Subparagraph 2(a)(3) of Article 2 of the Agreement</w:t>
      </w:r>
    </w:p>
    <w:p w:rsidR="00277394" w:rsidRPr="00003091" w:rsidRDefault="0094025E" w:rsidP="001A015E">
      <w:pPr>
        <w:jc w:val="both"/>
        <w:rPr>
          <w:rFonts w:ascii="Times New Roman" w:hAnsi="Times New Roman"/>
          <w:sz w:val="24"/>
          <w:szCs w:val="24"/>
          <w:lang w:val="en-US"/>
        </w:rPr>
      </w:pPr>
      <w:r w:rsidRPr="00003091">
        <w:rPr>
          <w:rFonts w:ascii="Times New Roman" w:hAnsi="Times New Roman"/>
          <w:sz w:val="24"/>
          <w:szCs w:val="24"/>
          <w:lang w:val="en-US"/>
        </w:rPr>
        <w:t xml:space="preserve">It is further understood that the </w:t>
      </w:r>
      <w:r w:rsidR="00880B4B" w:rsidRPr="00003091">
        <w:rPr>
          <w:rFonts w:ascii="Times New Roman" w:hAnsi="Times New Roman"/>
          <w:sz w:val="24"/>
          <w:szCs w:val="24"/>
          <w:lang w:val="en-US"/>
        </w:rPr>
        <w:t>Slovak</w:t>
      </w:r>
      <w:r w:rsidR="00A63020" w:rsidRPr="00003091">
        <w:rPr>
          <w:rFonts w:ascii="Times New Roman" w:hAnsi="Times New Roman"/>
          <w:sz w:val="24"/>
          <w:szCs w:val="24"/>
          <w:lang w:val="en-US"/>
        </w:rPr>
        <w:t xml:space="preserve"> Republic</w:t>
      </w:r>
      <w:r w:rsidRPr="00003091">
        <w:rPr>
          <w:rFonts w:ascii="Times New Roman" w:hAnsi="Times New Roman"/>
          <w:sz w:val="24"/>
          <w:szCs w:val="24"/>
          <w:lang w:val="en-US"/>
        </w:rPr>
        <w:t xml:space="preserve"> intends for each Reporting </w:t>
      </w:r>
      <w:r w:rsidR="00880B4B" w:rsidRPr="00003091">
        <w:rPr>
          <w:rFonts w:ascii="Times New Roman" w:hAnsi="Times New Roman"/>
          <w:sz w:val="24"/>
          <w:szCs w:val="24"/>
          <w:lang w:val="en-US"/>
        </w:rPr>
        <w:t>Slovak</w:t>
      </w:r>
      <w:r w:rsidRPr="00003091">
        <w:rPr>
          <w:rFonts w:ascii="Times New Roman" w:hAnsi="Times New Roman"/>
          <w:sz w:val="24"/>
          <w:szCs w:val="24"/>
          <w:lang w:val="en-US"/>
        </w:rPr>
        <w:t xml:space="preserve"> Financial Institution to use a GIIN issued by the I</w:t>
      </w:r>
      <w:r w:rsidR="00147E4F" w:rsidRPr="00003091">
        <w:rPr>
          <w:rFonts w:ascii="Times New Roman" w:hAnsi="Times New Roman"/>
          <w:sz w:val="24"/>
          <w:szCs w:val="24"/>
          <w:lang w:val="en-US"/>
        </w:rPr>
        <w:t xml:space="preserve">nternal </w:t>
      </w:r>
      <w:r w:rsidRPr="00003091">
        <w:rPr>
          <w:rFonts w:ascii="Times New Roman" w:hAnsi="Times New Roman"/>
          <w:sz w:val="24"/>
          <w:szCs w:val="24"/>
          <w:lang w:val="en-US"/>
        </w:rPr>
        <w:t>R</w:t>
      </w:r>
      <w:r w:rsidR="00147E4F" w:rsidRPr="00003091">
        <w:rPr>
          <w:rFonts w:ascii="Times New Roman" w:hAnsi="Times New Roman"/>
          <w:sz w:val="24"/>
          <w:szCs w:val="24"/>
          <w:lang w:val="en-US"/>
        </w:rPr>
        <w:t xml:space="preserve">evenue </w:t>
      </w:r>
      <w:r w:rsidRPr="00003091">
        <w:rPr>
          <w:rFonts w:ascii="Times New Roman" w:hAnsi="Times New Roman"/>
          <w:sz w:val="24"/>
          <w:szCs w:val="24"/>
          <w:lang w:val="en-US"/>
        </w:rPr>
        <w:t>S</w:t>
      </w:r>
      <w:r w:rsidR="00147E4F" w:rsidRPr="00003091">
        <w:rPr>
          <w:rFonts w:ascii="Times New Roman" w:hAnsi="Times New Roman"/>
          <w:sz w:val="24"/>
          <w:szCs w:val="24"/>
          <w:lang w:val="en-US"/>
        </w:rPr>
        <w:t>ervice</w:t>
      </w:r>
      <w:r w:rsidRPr="00003091">
        <w:rPr>
          <w:rFonts w:ascii="Times New Roman" w:hAnsi="Times New Roman"/>
          <w:sz w:val="24"/>
          <w:szCs w:val="24"/>
          <w:lang w:val="en-US"/>
        </w:rPr>
        <w:t xml:space="preserve"> as the identifying number referenced in Subparagraph 2(a)(3) of </w:t>
      </w:r>
      <w:r w:rsidR="00147E4F" w:rsidRPr="00003091">
        <w:rPr>
          <w:rFonts w:ascii="Times New Roman" w:hAnsi="Times New Roman"/>
          <w:sz w:val="24"/>
          <w:szCs w:val="24"/>
          <w:lang w:val="en-US"/>
        </w:rPr>
        <w:t xml:space="preserve">Article 2 of </w:t>
      </w:r>
      <w:r w:rsidRPr="00003091">
        <w:rPr>
          <w:rFonts w:ascii="Times New Roman" w:hAnsi="Times New Roman"/>
          <w:sz w:val="24"/>
          <w:szCs w:val="24"/>
          <w:lang w:val="en-US"/>
        </w:rPr>
        <w:t xml:space="preserve">the Agreement. </w:t>
      </w:r>
    </w:p>
    <w:p w:rsidR="00B15E7D" w:rsidRDefault="00A500DC" w:rsidP="00880B4B">
      <w:pPr>
        <w:tabs>
          <w:tab w:val="left" w:pos="0"/>
        </w:tabs>
        <w:rPr>
          <w:rFonts w:ascii="Times New Roman" w:hAnsi="Times New Roman"/>
          <w:b/>
          <w:sz w:val="24"/>
          <w:szCs w:val="24"/>
          <w:lang w:val="en-US"/>
        </w:rPr>
      </w:pPr>
      <w:r w:rsidRPr="00B15E7D">
        <w:rPr>
          <w:rFonts w:ascii="Times New Roman" w:hAnsi="Times New Roman"/>
          <w:b/>
          <w:sz w:val="24"/>
          <w:szCs w:val="24"/>
          <w:lang w:val="en-US"/>
        </w:rPr>
        <w:t>With reference to Registration Requirements in Annex II</w:t>
      </w:r>
    </w:p>
    <w:p w:rsidR="00880B4B" w:rsidRPr="00003091" w:rsidRDefault="00880B4B" w:rsidP="001A015E">
      <w:pPr>
        <w:tabs>
          <w:tab w:val="left" w:pos="0"/>
        </w:tabs>
        <w:jc w:val="both"/>
        <w:rPr>
          <w:rFonts w:ascii="Times New Roman" w:hAnsi="Times New Roman"/>
          <w:sz w:val="24"/>
          <w:szCs w:val="24"/>
          <w:lang w:val="en-US"/>
        </w:rPr>
      </w:pPr>
      <w:r w:rsidRPr="00003091">
        <w:rPr>
          <w:rFonts w:ascii="Times New Roman" w:hAnsi="Times New Roman"/>
          <w:sz w:val="24"/>
          <w:szCs w:val="24"/>
          <w:lang w:val="en-US"/>
        </w:rPr>
        <w:t xml:space="preserve">It is understood that the Slovak Republic intends for Slovak Financial Institutions described in Annex II to comply with the </w:t>
      </w:r>
      <w:r w:rsidRPr="00003091">
        <w:rPr>
          <w:rFonts w:ascii="Times New Roman" w:hAnsi="Times New Roman"/>
          <w:kern w:val="3"/>
          <w:sz w:val="24"/>
          <w:szCs w:val="24"/>
          <w:lang w:val="en-US"/>
        </w:rPr>
        <w:t>registration requirements applicable to Financial Institutions in Partner Jurisdictions</w:t>
      </w:r>
      <w:r w:rsidRPr="00003091">
        <w:rPr>
          <w:rFonts w:ascii="Times New Roman" w:hAnsi="Times New Roman"/>
          <w:sz w:val="24"/>
          <w:szCs w:val="24"/>
          <w:lang w:val="en-US"/>
        </w:rPr>
        <w:t xml:space="preserve"> by registering with the Internal Revenue Service and obtaining a </w:t>
      </w:r>
      <w:r w:rsidRPr="00003091">
        <w:rPr>
          <w:rFonts w:ascii="Times New Roman" w:eastAsiaTheme="minorHAnsi" w:hAnsi="Times New Roman"/>
          <w:sz w:val="24"/>
          <w:szCs w:val="24"/>
          <w:lang w:val="en-US"/>
        </w:rPr>
        <w:t>Global Intermediary Identification Number (“GIIN”) from the Internal Revenue Service.</w:t>
      </w:r>
      <w:r w:rsidRPr="00003091">
        <w:rPr>
          <w:rFonts w:ascii="Times New Roman" w:hAnsi="Times New Roman"/>
          <w:sz w:val="24"/>
          <w:szCs w:val="24"/>
          <w:lang w:val="en-US"/>
        </w:rPr>
        <w:t xml:space="preserve"> </w:t>
      </w:r>
    </w:p>
    <w:p w:rsidR="00880B4B" w:rsidRPr="00003091" w:rsidRDefault="00003091" w:rsidP="00880B4B">
      <w:pPr>
        <w:pStyle w:val="Default"/>
        <w:rPr>
          <w:b/>
        </w:rPr>
      </w:pPr>
      <w:r w:rsidRPr="00003091">
        <w:rPr>
          <w:b/>
        </w:rPr>
        <w:t>With reference to Central Securities Depositories</w:t>
      </w:r>
    </w:p>
    <w:p w:rsidR="00003091" w:rsidRPr="00003091" w:rsidRDefault="00003091" w:rsidP="00880B4B">
      <w:pPr>
        <w:pStyle w:val="Default"/>
      </w:pPr>
    </w:p>
    <w:p w:rsidR="00880B4B" w:rsidRPr="001A015E" w:rsidRDefault="00A500DC" w:rsidP="001A015E">
      <w:pPr>
        <w:jc w:val="both"/>
        <w:rPr>
          <w:rFonts w:ascii="Times New Roman" w:hAnsi="Times New Roman"/>
          <w:sz w:val="24"/>
          <w:szCs w:val="24"/>
          <w:lang w:val="en-US"/>
        </w:rPr>
      </w:pPr>
      <w:r w:rsidRPr="00B15E7D">
        <w:rPr>
          <w:rFonts w:ascii="Times New Roman" w:hAnsi="Times New Roman"/>
          <w:sz w:val="24"/>
          <w:szCs w:val="24"/>
          <w:lang w:val="en-US"/>
        </w:rPr>
        <w:t xml:space="preserve"> It is understood that, in the case of securities registered in a Central Securities Depository of the Slovak Republic acting according to the Act No. </w:t>
      </w:r>
      <w:r w:rsidR="00282A93">
        <w:rPr>
          <w:rFonts w:ascii="Times New Roman" w:hAnsi="Times New Roman"/>
          <w:sz w:val="24"/>
          <w:szCs w:val="24"/>
          <w:lang w:val="en-US"/>
        </w:rPr>
        <w:t>5</w:t>
      </w:r>
      <w:r w:rsidRPr="00B15E7D">
        <w:rPr>
          <w:rFonts w:ascii="Times New Roman" w:hAnsi="Times New Roman"/>
          <w:sz w:val="24"/>
          <w:szCs w:val="24"/>
          <w:lang w:val="en-US"/>
        </w:rPr>
        <w:t xml:space="preserve">66/2001 Coll. on Securities and Investment services that are held by or through one or more other Financial Institutions that are not Nonparticipating Financial Institutions, the relevant Financial Accounts are to be treated as held by such other Financial Institutions, and such other Financial Institutions are to be responsible for any reporting required with respect to such Financial Accounts. Notwithstanding the foregoing, in accordance with paragraph 3 of Article 5 of the Agreement, the Central Securities Depository </w:t>
      </w:r>
      <w:r w:rsidR="00B15E7D">
        <w:rPr>
          <w:rFonts w:ascii="Times New Roman" w:hAnsi="Times New Roman"/>
          <w:sz w:val="24"/>
          <w:szCs w:val="24"/>
          <w:lang w:val="en-US"/>
        </w:rPr>
        <w:t xml:space="preserve">of the Slovak Republic </w:t>
      </w:r>
      <w:r w:rsidR="00A75ECB" w:rsidRPr="001A015E">
        <w:rPr>
          <w:rFonts w:ascii="Times New Roman" w:hAnsi="Times New Roman"/>
          <w:sz w:val="24"/>
          <w:szCs w:val="24"/>
          <w:lang w:val="en-US"/>
        </w:rPr>
        <w:t>may report on behalf of such other Financial Institutions.</w:t>
      </w:r>
    </w:p>
    <w:p w:rsidR="00003091" w:rsidRPr="001A015E" w:rsidRDefault="00A75ECB" w:rsidP="00880B4B">
      <w:pPr>
        <w:rPr>
          <w:rFonts w:ascii="Times New Roman" w:hAnsi="Times New Roman"/>
          <w:b/>
          <w:sz w:val="24"/>
          <w:szCs w:val="24"/>
        </w:rPr>
      </w:pPr>
      <w:r w:rsidRPr="001A015E">
        <w:rPr>
          <w:rFonts w:ascii="Times New Roman" w:hAnsi="Times New Roman"/>
          <w:b/>
          <w:sz w:val="24"/>
          <w:szCs w:val="24"/>
          <w:lang w:val="en-GB"/>
        </w:rPr>
        <w:t>With reference to</w:t>
      </w:r>
      <w:r w:rsidRPr="001A015E">
        <w:rPr>
          <w:rFonts w:ascii="Times New Roman" w:hAnsi="Times New Roman"/>
          <w:b/>
          <w:sz w:val="24"/>
          <w:szCs w:val="24"/>
        </w:rPr>
        <w:t xml:space="preserve"> </w:t>
      </w:r>
      <w:proofErr w:type="gramStart"/>
      <w:r w:rsidRPr="001A015E">
        <w:rPr>
          <w:rFonts w:ascii="Times New Roman" w:hAnsi="Times New Roman"/>
          <w:b/>
          <w:sz w:val="24"/>
          <w:szCs w:val="24"/>
        </w:rPr>
        <w:t>VI.B.4(</w:t>
      </w:r>
      <w:proofErr w:type="gramEnd"/>
      <w:r w:rsidRPr="001A015E">
        <w:rPr>
          <w:rFonts w:ascii="Times New Roman" w:hAnsi="Times New Roman"/>
          <w:b/>
          <w:sz w:val="24"/>
          <w:szCs w:val="24"/>
        </w:rPr>
        <w:t>j) of Annex I</w:t>
      </w:r>
    </w:p>
    <w:p w:rsidR="00646B35" w:rsidRDefault="00A75ECB" w:rsidP="001A015E">
      <w:pPr>
        <w:jc w:val="both"/>
        <w:rPr>
          <w:rFonts w:ascii="Times New Roman" w:hAnsi="Times New Roman"/>
          <w:sz w:val="24"/>
          <w:szCs w:val="24"/>
          <w:lang w:val="en-US"/>
        </w:rPr>
      </w:pPr>
      <w:r w:rsidRPr="001A015E">
        <w:rPr>
          <w:rFonts w:ascii="Times New Roman" w:hAnsi="Times New Roman"/>
          <w:sz w:val="24"/>
          <w:szCs w:val="24"/>
        </w:rPr>
        <w:t>It is understood that Foundations (as non-profit organizations) according to the Act No. 34/2002 Coll. on Foundations and amending the Civil Order as later amended are described by Section VI.B.4(j) of Annex I.</w:t>
      </w:r>
    </w:p>
    <w:p w:rsidR="002B5E46" w:rsidRDefault="002B5E46" w:rsidP="00333729">
      <w:pPr>
        <w:rPr>
          <w:rFonts w:ascii="Times New Roman" w:hAnsi="Times New Roman"/>
          <w:sz w:val="24"/>
          <w:szCs w:val="24"/>
          <w:lang w:val="en-US"/>
        </w:rPr>
      </w:pPr>
    </w:p>
    <w:p w:rsidR="001A015E" w:rsidRDefault="001A015E" w:rsidP="00333729">
      <w:pPr>
        <w:rPr>
          <w:rFonts w:ascii="Times New Roman" w:hAnsi="Times New Roman"/>
          <w:sz w:val="24"/>
          <w:szCs w:val="24"/>
          <w:lang w:val="en-US"/>
        </w:rPr>
      </w:pPr>
    </w:p>
    <w:p w:rsidR="001A015E" w:rsidRDefault="001A015E" w:rsidP="00333729">
      <w:pPr>
        <w:rPr>
          <w:rFonts w:ascii="Times New Roman" w:hAnsi="Times New Roman"/>
          <w:sz w:val="24"/>
          <w:szCs w:val="24"/>
          <w:lang w:val="en-US"/>
        </w:rPr>
      </w:pPr>
    </w:p>
    <w:p w:rsidR="00646B35" w:rsidRPr="00304371" w:rsidRDefault="00A75ECB" w:rsidP="001A015E">
      <w:pPr>
        <w:jc w:val="both"/>
        <w:rPr>
          <w:rFonts w:ascii="Times New Roman" w:hAnsi="Times New Roman"/>
          <w:sz w:val="24"/>
          <w:szCs w:val="24"/>
          <w:lang w:val="en-US"/>
        </w:rPr>
      </w:pPr>
      <w:r w:rsidRPr="00A75ECB">
        <w:rPr>
          <w:rFonts w:ascii="Times New Roman" w:hAnsi="Times New Roman"/>
          <w:sz w:val="24"/>
          <w:szCs w:val="24"/>
          <w:lang w:val="en-US"/>
        </w:rPr>
        <w:lastRenderedPageBreak/>
        <w:t xml:space="preserve">Signed at _______, in duplicate in the </w:t>
      </w:r>
      <w:r w:rsidR="00304371" w:rsidRPr="00304371">
        <w:rPr>
          <w:rFonts w:ascii="Times New Roman" w:hAnsi="Times New Roman"/>
          <w:sz w:val="24"/>
          <w:szCs w:val="24"/>
          <w:lang w:val="en-US"/>
        </w:rPr>
        <w:t>Slovak</w:t>
      </w:r>
      <w:r w:rsidR="00304371" w:rsidRPr="00304371" w:rsidDel="00304371">
        <w:rPr>
          <w:rFonts w:ascii="Times New Roman" w:hAnsi="Times New Roman"/>
          <w:sz w:val="24"/>
          <w:szCs w:val="24"/>
          <w:lang w:val="en-US"/>
        </w:rPr>
        <w:t xml:space="preserve"> </w:t>
      </w:r>
      <w:r w:rsidRPr="00A75ECB">
        <w:rPr>
          <w:rFonts w:ascii="Times New Roman" w:hAnsi="Times New Roman"/>
          <w:sz w:val="24"/>
          <w:szCs w:val="24"/>
          <w:lang w:val="en-US"/>
        </w:rPr>
        <w:t xml:space="preserve">and </w:t>
      </w:r>
      <w:r w:rsidR="00304371" w:rsidRPr="00304371">
        <w:rPr>
          <w:rFonts w:ascii="Times New Roman" w:hAnsi="Times New Roman"/>
          <w:sz w:val="24"/>
          <w:szCs w:val="24"/>
          <w:lang w:val="en-US"/>
        </w:rPr>
        <w:t xml:space="preserve">English </w:t>
      </w:r>
      <w:r w:rsidRPr="00A75ECB">
        <w:rPr>
          <w:rFonts w:ascii="Times New Roman" w:hAnsi="Times New Roman"/>
          <w:sz w:val="24"/>
          <w:szCs w:val="24"/>
          <w:lang w:val="en-US"/>
        </w:rPr>
        <w:t>languages, this ___</w:t>
      </w:r>
      <w:proofErr w:type="gramStart"/>
      <w:r w:rsidRPr="00A75ECB">
        <w:rPr>
          <w:rFonts w:ascii="Times New Roman" w:hAnsi="Times New Roman"/>
          <w:sz w:val="24"/>
          <w:szCs w:val="24"/>
          <w:lang w:val="en-US"/>
        </w:rPr>
        <w:t>_  day</w:t>
      </w:r>
      <w:proofErr w:type="gramEnd"/>
      <w:r w:rsidRPr="00A75ECB">
        <w:rPr>
          <w:rFonts w:ascii="Times New Roman" w:hAnsi="Times New Roman"/>
          <w:sz w:val="24"/>
          <w:szCs w:val="24"/>
          <w:lang w:val="en-US"/>
        </w:rPr>
        <w:t xml:space="preserve"> of ______, 20  ..</w:t>
      </w:r>
    </w:p>
    <w:tbl>
      <w:tblPr>
        <w:tblW w:w="5000" w:type="pct"/>
        <w:tblLook w:val="04A0" w:firstRow="1" w:lastRow="0" w:firstColumn="1" w:lastColumn="0" w:noHBand="0" w:noVBand="1"/>
      </w:tblPr>
      <w:tblGrid>
        <w:gridCol w:w="4644"/>
        <w:gridCol w:w="4644"/>
      </w:tblGrid>
      <w:tr w:rsidR="00646B35" w:rsidRPr="001A015E" w:rsidTr="00F83E0D">
        <w:tc>
          <w:tcPr>
            <w:tcW w:w="2500" w:type="pct"/>
            <w:shd w:val="clear" w:color="auto" w:fill="auto"/>
          </w:tcPr>
          <w:p w:rsidR="00646B35" w:rsidRPr="00304371" w:rsidRDefault="00A75ECB" w:rsidP="00F83E0D">
            <w:pPr>
              <w:rPr>
                <w:rFonts w:ascii="Times New Roman" w:hAnsi="Times New Roman"/>
                <w:sz w:val="24"/>
                <w:szCs w:val="24"/>
                <w:lang w:val="en-US"/>
              </w:rPr>
            </w:pPr>
            <w:r w:rsidRPr="00A75ECB">
              <w:rPr>
                <w:rFonts w:ascii="Times New Roman" w:hAnsi="Times New Roman"/>
                <w:sz w:val="24"/>
                <w:szCs w:val="24"/>
                <w:lang w:val="en-US"/>
              </w:rPr>
              <w:t xml:space="preserve">For the </w:t>
            </w:r>
          </w:p>
          <w:p w:rsidR="00646B35" w:rsidRPr="00304371" w:rsidRDefault="003448E1" w:rsidP="00F83E0D">
            <w:pPr>
              <w:rPr>
                <w:rFonts w:ascii="Times New Roman" w:hAnsi="Times New Roman"/>
                <w:sz w:val="24"/>
                <w:szCs w:val="24"/>
                <w:lang w:val="en-US"/>
              </w:rPr>
            </w:pPr>
            <w:r w:rsidRPr="00304371">
              <w:rPr>
                <w:rFonts w:ascii="Times New Roman" w:hAnsi="Times New Roman"/>
                <w:sz w:val="24"/>
                <w:szCs w:val="24"/>
                <w:lang w:val="en-US"/>
              </w:rPr>
              <w:t xml:space="preserve">Slovak Republic: </w:t>
            </w:r>
          </w:p>
        </w:tc>
        <w:tc>
          <w:tcPr>
            <w:tcW w:w="2500" w:type="pct"/>
            <w:shd w:val="clear" w:color="auto" w:fill="auto"/>
          </w:tcPr>
          <w:p w:rsidR="00646B35" w:rsidRPr="00304371" w:rsidRDefault="00A75ECB" w:rsidP="00F83E0D">
            <w:pPr>
              <w:rPr>
                <w:rFonts w:ascii="Times New Roman" w:hAnsi="Times New Roman"/>
                <w:sz w:val="24"/>
                <w:szCs w:val="24"/>
                <w:lang w:val="en-US"/>
              </w:rPr>
            </w:pPr>
            <w:r w:rsidRPr="00A75ECB">
              <w:rPr>
                <w:rFonts w:ascii="Times New Roman" w:hAnsi="Times New Roman"/>
                <w:sz w:val="24"/>
                <w:szCs w:val="24"/>
                <w:lang w:val="en-US"/>
              </w:rPr>
              <w:t xml:space="preserve">For the </w:t>
            </w:r>
          </w:p>
          <w:p w:rsidR="00646B35" w:rsidRPr="00304371" w:rsidRDefault="003448E1" w:rsidP="00F83E0D">
            <w:pPr>
              <w:rPr>
                <w:rFonts w:ascii="Times New Roman" w:hAnsi="Times New Roman"/>
                <w:sz w:val="24"/>
                <w:szCs w:val="24"/>
                <w:lang w:val="en-US"/>
              </w:rPr>
            </w:pPr>
            <w:r w:rsidRPr="00304371">
              <w:rPr>
                <w:rFonts w:ascii="Times New Roman" w:hAnsi="Times New Roman"/>
                <w:sz w:val="24"/>
                <w:szCs w:val="24"/>
                <w:lang w:val="en-US"/>
              </w:rPr>
              <w:t>United States of America:</w:t>
            </w:r>
          </w:p>
        </w:tc>
      </w:tr>
    </w:tbl>
    <w:p w:rsidR="00646B35" w:rsidRPr="00003091" w:rsidRDefault="00646B35" w:rsidP="00333729">
      <w:pPr>
        <w:rPr>
          <w:rFonts w:ascii="Times New Roman" w:hAnsi="Times New Roman"/>
          <w:sz w:val="24"/>
          <w:szCs w:val="24"/>
          <w:lang w:val="en-US"/>
        </w:rPr>
      </w:pPr>
    </w:p>
    <w:sectPr w:rsidR="00646B35" w:rsidRPr="00003091" w:rsidSect="006B7F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1DA2"/>
    <w:multiLevelType w:val="hybridMultilevel"/>
    <w:tmpl w:val="184EE796"/>
    <w:lvl w:ilvl="0" w:tplc="183C19B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3B760D"/>
    <w:multiLevelType w:val="hybridMultilevel"/>
    <w:tmpl w:val="20FA62C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89"/>
    <w:rsid w:val="00003091"/>
    <w:rsid w:val="0004436E"/>
    <w:rsid w:val="00073AA8"/>
    <w:rsid w:val="00083104"/>
    <w:rsid w:val="000A30DC"/>
    <w:rsid w:val="000B373C"/>
    <w:rsid w:val="00137F5E"/>
    <w:rsid w:val="00147E4F"/>
    <w:rsid w:val="00195E93"/>
    <w:rsid w:val="001A015E"/>
    <w:rsid w:val="002041C2"/>
    <w:rsid w:val="0024706E"/>
    <w:rsid w:val="00265F1F"/>
    <w:rsid w:val="00277394"/>
    <w:rsid w:val="00282A93"/>
    <w:rsid w:val="0029397B"/>
    <w:rsid w:val="002A1171"/>
    <w:rsid w:val="002B5E46"/>
    <w:rsid w:val="002D49AD"/>
    <w:rsid w:val="002F44FE"/>
    <w:rsid w:val="00304371"/>
    <w:rsid w:val="003141F2"/>
    <w:rsid w:val="00333729"/>
    <w:rsid w:val="003448E1"/>
    <w:rsid w:val="00354063"/>
    <w:rsid w:val="00362102"/>
    <w:rsid w:val="00375C89"/>
    <w:rsid w:val="003D2B4F"/>
    <w:rsid w:val="00421BA3"/>
    <w:rsid w:val="00421E1E"/>
    <w:rsid w:val="004810CC"/>
    <w:rsid w:val="00493A24"/>
    <w:rsid w:val="004B3044"/>
    <w:rsid w:val="004B6774"/>
    <w:rsid w:val="005A2585"/>
    <w:rsid w:val="005F1ED2"/>
    <w:rsid w:val="005F72B5"/>
    <w:rsid w:val="00620488"/>
    <w:rsid w:val="00636D0A"/>
    <w:rsid w:val="00646B35"/>
    <w:rsid w:val="0065722D"/>
    <w:rsid w:val="006B35A1"/>
    <w:rsid w:val="006B7FEE"/>
    <w:rsid w:val="00797C9F"/>
    <w:rsid w:val="007D122C"/>
    <w:rsid w:val="008464C3"/>
    <w:rsid w:val="0087248E"/>
    <w:rsid w:val="00880B4B"/>
    <w:rsid w:val="008C67E2"/>
    <w:rsid w:val="0092082A"/>
    <w:rsid w:val="009350DB"/>
    <w:rsid w:val="00940165"/>
    <w:rsid w:val="0094025E"/>
    <w:rsid w:val="009856FE"/>
    <w:rsid w:val="00A41475"/>
    <w:rsid w:val="00A500DC"/>
    <w:rsid w:val="00A63020"/>
    <w:rsid w:val="00A66AC5"/>
    <w:rsid w:val="00A75ECB"/>
    <w:rsid w:val="00A810E9"/>
    <w:rsid w:val="00A93550"/>
    <w:rsid w:val="00AA1AC4"/>
    <w:rsid w:val="00AD35AD"/>
    <w:rsid w:val="00AE0133"/>
    <w:rsid w:val="00B15E7D"/>
    <w:rsid w:val="00B4318F"/>
    <w:rsid w:val="00BD62B0"/>
    <w:rsid w:val="00C107C6"/>
    <w:rsid w:val="00C46F4D"/>
    <w:rsid w:val="00CC65C4"/>
    <w:rsid w:val="00CD7E98"/>
    <w:rsid w:val="00D01D95"/>
    <w:rsid w:val="00D73BE2"/>
    <w:rsid w:val="00D83501"/>
    <w:rsid w:val="00D97356"/>
    <w:rsid w:val="00E81BB2"/>
    <w:rsid w:val="00EB379C"/>
    <w:rsid w:val="00ED0349"/>
    <w:rsid w:val="00F15C6D"/>
    <w:rsid w:val="00F17189"/>
    <w:rsid w:val="00F611F2"/>
    <w:rsid w:val="00FE1F0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B6774"/>
    <w:rPr>
      <w:sz w:val="16"/>
      <w:szCs w:val="16"/>
    </w:rPr>
  </w:style>
  <w:style w:type="paragraph" w:styleId="CommentText">
    <w:name w:val="annotation text"/>
    <w:basedOn w:val="Normal"/>
    <w:link w:val="CommentTextChar"/>
    <w:uiPriority w:val="99"/>
    <w:unhideWhenUsed/>
    <w:rsid w:val="004B6774"/>
    <w:pPr>
      <w:spacing w:line="240" w:lineRule="auto"/>
    </w:pPr>
    <w:rPr>
      <w:sz w:val="20"/>
      <w:szCs w:val="20"/>
    </w:rPr>
  </w:style>
  <w:style w:type="character" w:customStyle="1" w:styleId="CommentTextChar">
    <w:name w:val="Comment Text Char"/>
    <w:basedOn w:val="DefaultParagraphFont"/>
    <w:link w:val="CommentText"/>
    <w:uiPriority w:val="99"/>
    <w:rsid w:val="004B677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6774"/>
    <w:rPr>
      <w:b/>
      <w:bCs/>
    </w:rPr>
  </w:style>
  <w:style w:type="character" w:customStyle="1" w:styleId="CommentSubjectChar">
    <w:name w:val="Comment Subject Char"/>
    <w:basedOn w:val="CommentTextChar"/>
    <w:link w:val="CommentSubject"/>
    <w:uiPriority w:val="99"/>
    <w:semiHidden/>
    <w:rsid w:val="004B677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B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74"/>
    <w:rPr>
      <w:rFonts w:ascii="Tahoma" w:eastAsia="Times New Roman" w:hAnsi="Tahoma" w:cs="Tahoma"/>
      <w:sz w:val="16"/>
      <w:szCs w:val="16"/>
    </w:rPr>
  </w:style>
  <w:style w:type="paragraph" w:styleId="ListParagraph">
    <w:name w:val="List Paragraph"/>
    <w:basedOn w:val="Normal"/>
    <w:uiPriority w:val="99"/>
    <w:qFormat/>
    <w:rsid w:val="00C107C6"/>
    <w:pPr>
      <w:ind w:left="720"/>
      <w:contextualSpacing/>
    </w:pPr>
    <w:rPr>
      <w:rFonts w:eastAsia="Calibri"/>
      <w:lang w:val="cs-CZ"/>
    </w:rPr>
  </w:style>
  <w:style w:type="paragraph" w:customStyle="1" w:styleId="Default">
    <w:name w:val="Default"/>
    <w:rsid w:val="00880B4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B6774"/>
    <w:rPr>
      <w:sz w:val="16"/>
      <w:szCs w:val="16"/>
    </w:rPr>
  </w:style>
  <w:style w:type="paragraph" w:styleId="CommentText">
    <w:name w:val="annotation text"/>
    <w:basedOn w:val="Normal"/>
    <w:link w:val="CommentTextChar"/>
    <w:uiPriority w:val="99"/>
    <w:unhideWhenUsed/>
    <w:rsid w:val="004B6774"/>
    <w:pPr>
      <w:spacing w:line="240" w:lineRule="auto"/>
    </w:pPr>
    <w:rPr>
      <w:sz w:val="20"/>
      <w:szCs w:val="20"/>
    </w:rPr>
  </w:style>
  <w:style w:type="character" w:customStyle="1" w:styleId="CommentTextChar">
    <w:name w:val="Comment Text Char"/>
    <w:basedOn w:val="DefaultParagraphFont"/>
    <w:link w:val="CommentText"/>
    <w:uiPriority w:val="99"/>
    <w:rsid w:val="004B677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6774"/>
    <w:rPr>
      <w:b/>
      <w:bCs/>
    </w:rPr>
  </w:style>
  <w:style w:type="character" w:customStyle="1" w:styleId="CommentSubjectChar">
    <w:name w:val="Comment Subject Char"/>
    <w:basedOn w:val="CommentTextChar"/>
    <w:link w:val="CommentSubject"/>
    <w:uiPriority w:val="99"/>
    <w:semiHidden/>
    <w:rsid w:val="004B677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B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74"/>
    <w:rPr>
      <w:rFonts w:ascii="Tahoma" w:eastAsia="Times New Roman" w:hAnsi="Tahoma" w:cs="Tahoma"/>
      <w:sz w:val="16"/>
      <w:szCs w:val="16"/>
    </w:rPr>
  </w:style>
  <w:style w:type="paragraph" w:styleId="ListParagraph">
    <w:name w:val="List Paragraph"/>
    <w:basedOn w:val="Normal"/>
    <w:uiPriority w:val="99"/>
    <w:qFormat/>
    <w:rsid w:val="00C107C6"/>
    <w:pPr>
      <w:ind w:left="720"/>
      <w:contextualSpacing/>
    </w:pPr>
    <w:rPr>
      <w:rFonts w:eastAsia="Calibri"/>
      <w:lang w:val="cs-CZ"/>
    </w:rPr>
  </w:style>
  <w:style w:type="paragraph" w:customStyle="1" w:styleId="Default">
    <w:name w:val="Default"/>
    <w:rsid w:val="00880B4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19811">
      <w:bodyDiv w:val="1"/>
      <w:marLeft w:val="0"/>
      <w:marRight w:val="0"/>
      <w:marTop w:val="0"/>
      <w:marBottom w:val="0"/>
      <w:divBdr>
        <w:top w:val="none" w:sz="0" w:space="0" w:color="auto"/>
        <w:left w:val="none" w:sz="0" w:space="0" w:color="auto"/>
        <w:bottom w:val="none" w:sz="0" w:space="0" w:color="auto"/>
        <w:right w:val="none" w:sz="0" w:space="0" w:color="auto"/>
      </w:divBdr>
    </w:div>
    <w:div w:id="757018349">
      <w:bodyDiv w:val="1"/>
      <w:marLeft w:val="0"/>
      <w:marRight w:val="0"/>
      <w:marTop w:val="0"/>
      <w:marBottom w:val="0"/>
      <w:divBdr>
        <w:top w:val="none" w:sz="0" w:space="0" w:color="auto"/>
        <w:left w:val="none" w:sz="0" w:space="0" w:color="auto"/>
        <w:bottom w:val="none" w:sz="0" w:space="0" w:color="auto"/>
        <w:right w:val="none" w:sz="0" w:space="0" w:color="auto"/>
      </w:divBdr>
    </w:div>
    <w:div w:id="9515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BC983-B4D8-4F24-9271-CBE738AE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5014</Characters>
  <Application>Microsoft Office Word</Application>
  <DocSecurity>0</DocSecurity>
  <Lines>41</Lines>
  <Paragraphs>11</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
      <vt:lpstr/>
      <vt:lpstr/>
    </vt:vector>
  </TitlesOfParts>
  <Company>Bundesministerium der Finanzen</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Eimermann, Dieter (IV B 5)</dc:creator>
  <cp:lastModifiedBy>Huynh, Quyen</cp:lastModifiedBy>
  <cp:revision>2</cp:revision>
  <cp:lastPrinted>2013-01-11T09:15:00Z</cp:lastPrinted>
  <dcterms:created xsi:type="dcterms:W3CDTF">2014-04-07T18:35:00Z</dcterms:created>
  <dcterms:modified xsi:type="dcterms:W3CDTF">2014-04-07T18:35:00Z</dcterms:modified>
</cp:coreProperties>
</file>