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9B68" w14:textId="77777777" w:rsidR="00C3435C" w:rsidRDefault="00C3435C" w:rsidP="00C3435C">
      <w:pPr>
        <w:tabs>
          <w:tab w:val="left" w:pos="142"/>
        </w:tabs>
        <w:spacing w:after="0" w:line="240" w:lineRule="auto"/>
        <w:ind w:hanging="360"/>
        <w:jc w:val="center"/>
        <w:rPr>
          <w:b/>
          <w:bCs/>
        </w:rPr>
      </w:pPr>
      <w:r>
        <w:rPr>
          <w:b/>
          <w:bCs/>
        </w:rPr>
        <w:t xml:space="preserve">Pripomienky SLASPO </w:t>
      </w:r>
    </w:p>
    <w:p w14:paraId="561A205A" w14:textId="2F6CA153" w:rsidR="00E721B8" w:rsidRPr="00C3435C" w:rsidRDefault="00C3435C" w:rsidP="00C3435C">
      <w:pPr>
        <w:tabs>
          <w:tab w:val="left" w:pos="142"/>
        </w:tabs>
        <w:spacing w:after="0" w:line="240" w:lineRule="auto"/>
        <w:ind w:hanging="360"/>
        <w:jc w:val="center"/>
        <w:rPr>
          <w:b/>
          <w:bCs/>
        </w:rPr>
      </w:pPr>
      <w:r>
        <w:rPr>
          <w:b/>
          <w:bCs/>
        </w:rPr>
        <w:t>k n</w:t>
      </w:r>
      <w:r w:rsidRPr="00C3435C">
        <w:rPr>
          <w:b/>
          <w:bCs/>
        </w:rPr>
        <w:t>ávrh</w:t>
      </w:r>
      <w:r>
        <w:rPr>
          <w:b/>
          <w:bCs/>
        </w:rPr>
        <w:t>u</w:t>
      </w:r>
      <w:r w:rsidRPr="00C3435C">
        <w:rPr>
          <w:b/>
          <w:bCs/>
        </w:rPr>
        <w:t xml:space="preserve"> zákona, ktorým sa mení a dopĺňa zákon č. 595/2003 Z. z. o dani z príjmov v znení neskorších predpisov a ktorým sa mení a dopĺňa zákon č. 563/2009 Z. z. o správe daní (daňový poriadok) a o zmene a doplnení niektorých zákonov  </w:t>
      </w:r>
      <w:r w:rsidRPr="00C3435C">
        <w:t>v znení neskorších predpisov.</w:t>
      </w:r>
    </w:p>
    <w:p w14:paraId="3324C1B7" w14:textId="24286B6A" w:rsidR="00C3435C" w:rsidRDefault="00C3435C" w:rsidP="00C3435C">
      <w:pPr>
        <w:tabs>
          <w:tab w:val="left" w:pos="142"/>
        </w:tabs>
        <w:spacing w:after="0" w:line="240" w:lineRule="auto"/>
        <w:ind w:hanging="360"/>
        <w:jc w:val="center"/>
      </w:pPr>
    </w:p>
    <w:p w14:paraId="1070F0F4" w14:textId="5BE87E71" w:rsidR="00E721B8" w:rsidRPr="00B37B76" w:rsidRDefault="00E721B8" w:rsidP="00B37B76">
      <w:pPr>
        <w:pStyle w:val="Odsekzoznamu"/>
        <w:numPr>
          <w:ilvl w:val="0"/>
          <w:numId w:val="10"/>
        </w:numPr>
        <w:tabs>
          <w:tab w:val="left" w:pos="142"/>
        </w:tabs>
        <w:spacing w:after="0" w:line="240" w:lineRule="auto"/>
        <w:jc w:val="both"/>
        <w:rPr>
          <w:rFonts w:cstheme="minorHAnsi"/>
          <w:b/>
          <w:bCs/>
          <w:color w:val="000000" w:themeColor="text1"/>
        </w:rPr>
      </w:pPr>
      <w:r w:rsidRPr="00B37B76">
        <w:rPr>
          <w:rFonts w:cstheme="minorHAnsi"/>
          <w:b/>
          <w:bCs/>
          <w:color w:val="000000" w:themeColor="text1"/>
        </w:rPr>
        <w:t xml:space="preserve">K bodu 2 </w:t>
      </w:r>
      <w:r w:rsidR="002E3168" w:rsidRPr="00B37B76">
        <w:rPr>
          <w:rFonts w:cstheme="minorHAnsi"/>
          <w:b/>
          <w:bCs/>
          <w:color w:val="000000" w:themeColor="text1"/>
        </w:rPr>
        <w:t xml:space="preserve">- </w:t>
      </w:r>
      <w:r w:rsidRPr="00B37B76">
        <w:rPr>
          <w:rFonts w:cstheme="minorHAnsi"/>
          <w:b/>
          <w:bCs/>
          <w:color w:val="000000" w:themeColor="text1"/>
        </w:rPr>
        <w:t>§ 2 písmeno r)</w:t>
      </w:r>
      <w:r w:rsidRPr="00B37B76">
        <w:rPr>
          <w:rFonts w:cstheme="minorHAnsi"/>
          <w:b/>
          <w:bCs/>
          <w:color w:val="000000" w:themeColor="text1"/>
        </w:rPr>
        <w:tab/>
      </w:r>
    </w:p>
    <w:p w14:paraId="419CCDD8" w14:textId="5881E378" w:rsidR="00E721B8" w:rsidRPr="00B37B76" w:rsidRDefault="00E721B8"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Navrhujeme nové znenie písmena r):</w:t>
      </w:r>
    </w:p>
    <w:p w14:paraId="49168945" w14:textId="65649D88" w:rsidR="00E721B8" w:rsidRPr="00B37B76" w:rsidRDefault="00E721B8" w:rsidP="00B37B76">
      <w:pPr>
        <w:tabs>
          <w:tab w:val="left" w:pos="142"/>
        </w:tabs>
        <w:spacing w:after="0" w:line="240" w:lineRule="auto"/>
        <w:jc w:val="both"/>
        <w:rPr>
          <w:rFonts w:cstheme="minorHAnsi"/>
          <w:color w:val="000000" w:themeColor="text1"/>
        </w:rPr>
      </w:pPr>
      <w:r w:rsidRPr="00B37B76">
        <w:rPr>
          <w:rFonts w:cstheme="minorHAnsi"/>
          <w:color w:val="000000" w:themeColor="text1"/>
        </w:rPr>
        <w:t>„</w:t>
      </w:r>
      <w:r w:rsidR="00B66ABA" w:rsidRPr="00B37B76">
        <w:rPr>
          <w:rFonts w:cstheme="minorHAnsi"/>
          <w:color w:val="000000" w:themeColor="text1"/>
        </w:rPr>
        <w:t xml:space="preserve">r) </w:t>
      </w:r>
      <w:r w:rsidRPr="00B37B76">
        <w:rPr>
          <w:rFonts w:cstheme="minorHAnsi"/>
          <w:color w:val="000000" w:themeColor="text1"/>
        </w:rPr>
        <w:t>ekonomickým prepojením je aj vzťah medzi daňovníkom s neobmedzenou daňovou povinnosťou a jeho stálymi prevádzkarňami v zahraničí, ako aj vzťah medzi daňovníkom s obmedzenou daňovou povinnosťou a jeho stálymi prevádzkarňami na území Slovenskej republiky, ako aj vzťah medzi jednotlivými stálymi prevádzkarňami daňovníka a vzťah medzi stálymi prevádzkarňami daňovníkov, ktorí sú vzájomne prepojení podľa písmena n) a vzájomný vzťah medzi týmito stálymi prevádzkarňami a týmito daňovníkmi,“</w:t>
      </w:r>
      <w:r w:rsidRPr="00B37B76">
        <w:rPr>
          <w:rFonts w:cstheme="minorHAnsi"/>
          <w:color w:val="000000" w:themeColor="text1"/>
        </w:rPr>
        <w:tab/>
      </w:r>
    </w:p>
    <w:p w14:paraId="392E3951" w14:textId="3D59AD2C" w:rsidR="00E721B8" w:rsidRPr="00B37B76" w:rsidRDefault="00E721B8" w:rsidP="00B37B76">
      <w:pPr>
        <w:tabs>
          <w:tab w:val="left" w:pos="142"/>
        </w:tabs>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37919EE0" w14:textId="0FC226A5" w:rsidR="00E721B8" w:rsidRPr="00B37B76" w:rsidRDefault="00E721B8"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Navrhujeme doplniť vzťah medzi jednotlivými stálymi prevádzkarňami jedného daňovníka.</w:t>
      </w:r>
    </w:p>
    <w:p w14:paraId="2651428A" w14:textId="16725D43" w:rsidR="002E3168" w:rsidRPr="00B37B76" w:rsidRDefault="002E3168" w:rsidP="00B37B76">
      <w:pPr>
        <w:tabs>
          <w:tab w:val="left" w:pos="142"/>
        </w:tabs>
        <w:spacing w:after="0" w:line="240" w:lineRule="auto"/>
        <w:jc w:val="both"/>
        <w:rPr>
          <w:rFonts w:cstheme="minorHAnsi"/>
          <w:color w:val="000000" w:themeColor="text1"/>
        </w:rPr>
      </w:pPr>
    </w:p>
    <w:p w14:paraId="6C30342F" w14:textId="590F47F5" w:rsidR="002E3168" w:rsidRPr="00B37B76" w:rsidRDefault="002E3168" w:rsidP="00B37B76">
      <w:pPr>
        <w:pStyle w:val="Odsekzoznamu"/>
        <w:numPr>
          <w:ilvl w:val="0"/>
          <w:numId w:val="10"/>
        </w:numPr>
        <w:tabs>
          <w:tab w:val="left" w:pos="142"/>
        </w:tabs>
        <w:spacing w:after="0" w:line="240" w:lineRule="auto"/>
        <w:jc w:val="both"/>
        <w:rPr>
          <w:rFonts w:cstheme="minorHAnsi"/>
          <w:b/>
          <w:bCs/>
          <w:color w:val="000000" w:themeColor="text1"/>
        </w:rPr>
      </w:pPr>
      <w:r w:rsidRPr="00B37B76">
        <w:rPr>
          <w:rFonts w:cstheme="minorHAnsi"/>
          <w:b/>
          <w:bCs/>
          <w:color w:val="000000" w:themeColor="text1"/>
        </w:rPr>
        <w:t xml:space="preserve">K bodu </w:t>
      </w:r>
      <w:r w:rsidR="00B66ABA" w:rsidRPr="00B37B76">
        <w:rPr>
          <w:rFonts w:cstheme="minorHAnsi"/>
          <w:b/>
          <w:bCs/>
          <w:color w:val="000000" w:themeColor="text1"/>
        </w:rPr>
        <w:t xml:space="preserve">6 </w:t>
      </w:r>
      <w:r w:rsidRPr="00B37B76">
        <w:rPr>
          <w:rFonts w:cstheme="minorHAnsi"/>
          <w:b/>
          <w:bCs/>
          <w:color w:val="000000" w:themeColor="text1"/>
        </w:rPr>
        <w:t xml:space="preserve"> </w:t>
      </w:r>
      <w:r w:rsidRPr="00B37B76">
        <w:rPr>
          <w:rFonts w:cstheme="minorHAnsi"/>
          <w:b/>
          <w:bCs/>
          <w:color w:val="000000" w:themeColor="text1"/>
        </w:rPr>
        <w:t xml:space="preserve">- </w:t>
      </w:r>
      <w:r w:rsidR="00B66ABA" w:rsidRPr="00B37B76">
        <w:rPr>
          <w:rFonts w:cstheme="minorHAnsi"/>
          <w:b/>
          <w:bCs/>
          <w:color w:val="000000" w:themeColor="text1"/>
        </w:rPr>
        <w:t xml:space="preserve">§ </w:t>
      </w:r>
      <w:r w:rsidRPr="00B37B76">
        <w:rPr>
          <w:rFonts w:cstheme="minorHAnsi"/>
          <w:b/>
          <w:bCs/>
          <w:color w:val="000000" w:themeColor="text1"/>
        </w:rPr>
        <w:t>17 ods. 5 písm. b)</w:t>
      </w:r>
      <w:r w:rsidRPr="00B37B76">
        <w:rPr>
          <w:rFonts w:cstheme="minorHAnsi"/>
          <w:b/>
          <w:bCs/>
          <w:color w:val="000000" w:themeColor="text1"/>
        </w:rPr>
        <w:tab/>
      </w:r>
    </w:p>
    <w:p w14:paraId="6741FFE1" w14:textId="46154B56" w:rsidR="002E3168" w:rsidRPr="00B37B76" w:rsidRDefault="002E3168"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Navrhujeme za slová „</w:t>
      </w:r>
      <w:r w:rsidRPr="00B37B76">
        <w:rPr>
          <w:rFonts w:cstheme="minorHAnsi"/>
          <w:color w:val="000000" w:themeColor="text1"/>
        </w:rPr>
        <w:t>za významnú kontrolovanú transakciu</w:t>
      </w:r>
      <w:r w:rsidRPr="00B37B76">
        <w:rPr>
          <w:rFonts w:cstheme="minorHAnsi"/>
          <w:color w:val="000000" w:themeColor="text1"/>
        </w:rPr>
        <w:t>“ doplniť slová</w:t>
      </w:r>
      <w:r w:rsidRPr="00B37B76">
        <w:rPr>
          <w:rFonts w:cstheme="minorHAnsi"/>
          <w:color w:val="000000" w:themeColor="text1"/>
        </w:rPr>
        <w:t xml:space="preserve"> </w:t>
      </w:r>
      <w:r w:rsidRPr="00B37B76">
        <w:rPr>
          <w:rFonts w:cstheme="minorHAnsi"/>
          <w:color w:val="000000" w:themeColor="text1"/>
        </w:rPr>
        <w:t>„</w:t>
      </w:r>
      <w:r w:rsidRPr="00B37B76">
        <w:rPr>
          <w:rFonts w:cstheme="minorHAnsi"/>
          <w:color w:val="000000" w:themeColor="text1"/>
        </w:rPr>
        <w:t>alebo skupinu kontrolovaných transakcií</w:t>
      </w:r>
      <w:r w:rsidRPr="00B37B76">
        <w:rPr>
          <w:rFonts w:cstheme="minorHAnsi"/>
          <w:color w:val="000000" w:themeColor="text1"/>
        </w:rPr>
        <w:t>“</w:t>
      </w:r>
      <w:r w:rsidR="00432410" w:rsidRPr="00B37B76">
        <w:rPr>
          <w:rFonts w:cstheme="minorHAnsi"/>
          <w:color w:val="000000" w:themeColor="text1"/>
        </w:rPr>
        <w:t>.</w:t>
      </w:r>
      <w:r w:rsidRPr="00B37B76">
        <w:rPr>
          <w:rFonts w:cstheme="minorHAnsi"/>
          <w:color w:val="000000" w:themeColor="text1"/>
        </w:rPr>
        <w:t xml:space="preserve"> </w:t>
      </w:r>
    </w:p>
    <w:p w14:paraId="7B98B7A9" w14:textId="019A7707" w:rsidR="002E3168" w:rsidRPr="00B37B76" w:rsidRDefault="002E3168" w:rsidP="00B37B76">
      <w:pPr>
        <w:tabs>
          <w:tab w:val="left" w:pos="142"/>
        </w:tabs>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3C707E80" w14:textId="1C3EEA91" w:rsidR="002E3168" w:rsidRPr="00B37B76" w:rsidRDefault="002E3168"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w:t>
      </w:r>
      <w:r w:rsidRPr="00B37B76">
        <w:rPr>
          <w:rFonts w:cstheme="minorHAnsi"/>
          <w:color w:val="000000" w:themeColor="text1"/>
        </w:rPr>
        <w:t>avrhuje</w:t>
      </w:r>
      <w:r w:rsidRPr="00B37B76">
        <w:rPr>
          <w:rFonts w:cstheme="minorHAnsi"/>
          <w:color w:val="000000" w:themeColor="text1"/>
        </w:rPr>
        <w:t>me</w:t>
      </w:r>
      <w:r w:rsidRPr="00B37B76">
        <w:rPr>
          <w:rFonts w:cstheme="minorHAnsi"/>
          <w:color w:val="000000" w:themeColor="text1"/>
        </w:rPr>
        <w:t xml:space="preserve"> zohľadniť prípady, kedy daňovník sleduje významnosť spoločne za skupinu kontrolovaných transakcií</w:t>
      </w:r>
      <w:r w:rsidR="00B66ABA" w:rsidRPr="00B37B76">
        <w:rPr>
          <w:rFonts w:cstheme="minorHAnsi"/>
          <w:color w:val="000000" w:themeColor="text1"/>
        </w:rPr>
        <w:t>.</w:t>
      </w:r>
    </w:p>
    <w:p w14:paraId="34B97240" w14:textId="4960D638" w:rsidR="00B66ABA" w:rsidRPr="00B37B76" w:rsidRDefault="00B66ABA" w:rsidP="00B37B76">
      <w:pPr>
        <w:tabs>
          <w:tab w:val="left" w:pos="142"/>
        </w:tabs>
        <w:spacing w:after="0" w:line="240" w:lineRule="auto"/>
        <w:jc w:val="both"/>
        <w:rPr>
          <w:rFonts w:cstheme="minorHAnsi"/>
          <w:b/>
          <w:bCs/>
          <w:color w:val="000000" w:themeColor="text1"/>
        </w:rPr>
      </w:pPr>
    </w:p>
    <w:p w14:paraId="764D7DC0" w14:textId="2FCCEDC9" w:rsidR="00B66ABA" w:rsidRPr="00B37B76" w:rsidRDefault="00B66ABA" w:rsidP="00B37B76">
      <w:pPr>
        <w:pStyle w:val="Odsekzoznamu"/>
        <w:numPr>
          <w:ilvl w:val="0"/>
          <w:numId w:val="10"/>
        </w:numPr>
        <w:tabs>
          <w:tab w:val="left" w:pos="142"/>
        </w:tabs>
        <w:spacing w:after="0" w:line="240" w:lineRule="auto"/>
        <w:jc w:val="both"/>
        <w:rPr>
          <w:rFonts w:cstheme="minorHAnsi"/>
          <w:color w:val="000000" w:themeColor="text1"/>
        </w:rPr>
      </w:pPr>
      <w:r w:rsidRPr="00B37B76">
        <w:rPr>
          <w:rFonts w:cstheme="minorHAnsi"/>
          <w:b/>
          <w:bCs/>
          <w:color w:val="000000" w:themeColor="text1"/>
        </w:rPr>
        <w:t xml:space="preserve">K bodu 6 - </w:t>
      </w:r>
      <w:r w:rsidRPr="00B37B76">
        <w:rPr>
          <w:rFonts w:cstheme="minorHAnsi"/>
          <w:b/>
          <w:bCs/>
          <w:color w:val="000000" w:themeColor="text1"/>
        </w:rPr>
        <w:t>§</w:t>
      </w:r>
      <w:r w:rsidR="00B528A0" w:rsidRPr="00B37B76">
        <w:rPr>
          <w:rFonts w:cstheme="minorHAnsi"/>
          <w:b/>
          <w:bCs/>
          <w:color w:val="000000" w:themeColor="text1"/>
        </w:rPr>
        <w:t xml:space="preserve"> </w:t>
      </w:r>
      <w:r w:rsidRPr="00B37B76">
        <w:rPr>
          <w:rFonts w:cstheme="minorHAnsi"/>
          <w:b/>
          <w:bCs/>
          <w:color w:val="000000" w:themeColor="text1"/>
        </w:rPr>
        <w:t>17 ods. 5 písm. b) bod 2</w:t>
      </w:r>
      <w:r w:rsidRPr="00B37B76">
        <w:rPr>
          <w:rFonts w:cstheme="minorHAnsi"/>
          <w:color w:val="000000" w:themeColor="text1"/>
        </w:rPr>
        <w:tab/>
      </w:r>
    </w:p>
    <w:p w14:paraId="2B06D155" w14:textId="40807EEC" w:rsidR="00B66ABA" w:rsidRPr="00B37B76" w:rsidRDefault="00B66ABA"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Navrhujeme nové znenie bodu 2:</w:t>
      </w:r>
    </w:p>
    <w:p w14:paraId="7D903055" w14:textId="0BBA4A2D" w:rsidR="00B66ABA" w:rsidRPr="00B37B76" w:rsidRDefault="00B66ABA"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„2. </w:t>
      </w:r>
      <w:r w:rsidRPr="00B37B76">
        <w:rPr>
          <w:rFonts w:cstheme="minorHAnsi"/>
          <w:color w:val="000000" w:themeColor="text1"/>
        </w:rPr>
        <w:t>by bola za porovnateľných okolností a podmienok transakcie ochotná za takéto plnenie zaplatiť, ak by bolo poskytnuté nezávislou osobou, alebo by si takéto plnenie uskutočnila sama vo svoj prospech“</w:t>
      </w:r>
      <w:r w:rsidRPr="00B37B76">
        <w:rPr>
          <w:rFonts w:cstheme="minorHAnsi"/>
          <w:color w:val="000000" w:themeColor="text1"/>
        </w:rPr>
        <w:t>.</w:t>
      </w:r>
    </w:p>
    <w:p w14:paraId="49B82E26" w14:textId="5EE82AAE" w:rsidR="00B66ABA" w:rsidRPr="00B37B76" w:rsidRDefault="00B66ABA" w:rsidP="00B37B76">
      <w:pPr>
        <w:tabs>
          <w:tab w:val="left" w:pos="142"/>
        </w:tabs>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2306FB70" w14:textId="69677C97" w:rsidR="00B66ABA" w:rsidRPr="00B37B76" w:rsidRDefault="00B66ABA"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Z návrhu textu jasne nevyplýva, že sa jedná o okolnosti porovnávanej transakcie a tiež navrhujeme zosúladenie terminológie „plnenie“ </w:t>
      </w:r>
      <w:proofErr w:type="spellStart"/>
      <w:r w:rsidRPr="00B37B76">
        <w:rPr>
          <w:rFonts w:cstheme="minorHAnsi"/>
          <w:color w:val="000000" w:themeColor="text1"/>
        </w:rPr>
        <w:t>vs</w:t>
      </w:r>
      <w:proofErr w:type="spellEnd"/>
      <w:r w:rsidRPr="00B37B76">
        <w:rPr>
          <w:rFonts w:cstheme="minorHAnsi"/>
          <w:color w:val="000000" w:themeColor="text1"/>
        </w:rPr>
        <w:t>. „činnosť“</w:t>
      </w:r>
      <w:r w:rsidR="00B528A0" w:rsidRPr="00B37B76">
        <w:rPr>
          <w:rFonts w:cstheme="minorHAnsi"/>
          <w:color w:val="000000" w:themeColor="text1"/>
        </w:rPr>
        <w:t>.</w:t>
      </w:r>
    </w:p>
    <w:p w14:paraId="4223A378" w14:textId="3B3EE14D" w:rsidR="00B528A0" w:rsidRPr="00B37B76" w:rsidRDefault="00B528A0" w:rsidP="00B37B76">
      <w:pPr>
        <w:spacing w:after="0" w:line="240" w:lineRule="auto"/>
        <w:jc w:val="both"/>
        <w:rPr>
          <w:rFonts w:cstheme="minorHAnsi"/>
        </w:rPr>
      </w:pPr>
      <w:r w:rsidRPr="00B37B76">
        <w:rPr>
          <w:rFonts w:cstheme="minorHAnsi"/>
          <w:color w:val="000000" w:themeColor="text1"/>
        </w:rPr>
        <w:t xml:space="preserve">Zároveň v dôvodovej správe k tomuto bodu </w:t>
      </w:r>
      <w:r w:rsidRPr="00B37B76">
        <w:rPr>
          <w:rFonts w:cstheme="minorHAnsi"/>
        </w:rPr>
        <w:t>odporúčame vypustiť vety „</w:t>
      </w:r>
      <w:r w:rsidRPr="00B37B76">
        <w:rPr>
          <w:rFonts w:cstheme="minorHAnsi"/>
        </w:rPr>
        <w:t>V prípadoch zahr</w:t>
      </w:r>
      <w:r w:rsidR="00B37B76">
        <w:rPr>
          <w:rFonts w:cstheme="minorHAnsi"/>
        </w:rPr>
        <w:t>ň</w:t>
      </w:r>
      <w:r w:rsidRPr="00B37B76">
        <w:rPr>
          <w:rFonts w:cstheme="minorHAnsi"/>
        </w:rPr>
        <w:t>ovania nákladov vynaložených inou osobou v prospech daňovníka do základu dane je potrebné znenie ustanovenia zosúladiť s metodikou uvedenou v kapitole VII Smernice OECD o transferovom oceňovaní pre nadnárodné spoločnosti a správu daní (ďalej len „Smernica OECD“), ktorá bola aktualizovaná v roku 2017“</w:t>
      </w:r>
      <w:r w:rsidR="00B37B76">
        <w:rPr>
          <w:rFonts w:cstheme="minorHAnsi"/>
        </w:rPr>
        <w:t xml:space="preserve"> z dôvodu, že o</w:t>
      </w:r>
      <w:r w:rsidR="00B37B76" w:rsidRPr="00B37B76">
        <w:rPr>
          <w:rFonts w:cstheme="minorHAnsi"/>
        </w:rPr>
        <w:t>dvolávka na §18 a Smernicu OECD v §17 ods. 5, písm. b) absentuje. Odvolávka na §18 a Smernicu OECD sa nachádza iba v §17 ods. 5, písm. a), kde nie je aplikácia Smernice OECD limitovaná na kapitolu VII (pri zistení základu dane je možné aplikovať aj kapitolu X)</w:t>
      </w:r>
      <w:r w:rsidR="00B37B76" w:rsidRPr="00B37B76">
        <w:rPr>
          <w:rFonts w:cstheme="minorHAnsi"/>
        </w:rPr>
        <w:t xml:space="preserve">. </w:t>
      </w:r>
      <w:r w:rsidR="00B37B76" w:rsidRPr="00B37B76">
        <w:rPr>
          <w:rFonts w:cstheme="minorHAnsi"/>
        </w:rPr>
        <w:t xml:space="preserve">V januári 2022 došlo k publikácii novej aktuálnej verzie Smernice OECD (verzia 2022 – transakcie vzniknuté po 1/2022), </w:t>
      </w:r>
      <w:r w:rsidR="00B37B76">
        <w:rPr>
          <w:rFonts w:cstheme="minorHAnsi"/>
        </w:rPr>
        <w:t>odporúča</w:t>
      </w:r>
      <w:r w:rsidR="00B37B76" w:rsidRPr="00B37B76">
        <w:rPr>
          <w:rFonts w:cstheme="minorHAnsi"/>
        </w:rPr>
        <w:t>me neodvolávať sa na verziu 2017 pre jednotný výklad použitia časovej verzie Smernice OECD v závislosti od času vzniku transakcie</w:t>
      </w:r>
      <w:r w:rsidR="00FC4B7E">
        <w:rPr>
          <w:rFonts w:cstheme="minorHAnsi"/>
        </w:rPr>
        <w:t>.</w:t>
      </w:r>
    </w:p>
    <w:p w14:paraId="23D87211" w14:textId="4AE067DF" w:rsidR="00E721B8" w:rsidRPr="00B37B76" w:rsidRDefault="00E721B8" w:rsidP="00B37B76">
      <w:pPr>
        <w:pStyle w:val="Odsekzoznamu"/>
        <w:tabs>
          <w:tab w:val="left" w:pos="142"/>
        </w:tabs>
        <w:spacing w:after="0" w:line="240" w:lineRule="auto"/>
        <w:ind w:left="0"/>
        <w:jc w:val="both"/>
        <w:rPr>
          <w:rFonts w:cstheme="minorHAnsi"/>
          <w:b/>
          <w:bCs/>
          <w:color w:val="000000" w:themeColor="text1"/>
        </w:rPr>
      </w:pPr>
    </w:p>
    <w:p w14:paraId="5F37983D" w14:textId="5AC42C45" w:rsidR="00B66ABA" w:rsidRPr="00B37B76" w:rsidRDefault="00B66ABA" w:rsidP="00B37B76">
      <w:pPr>
        <w:pStyle w:val="Odsekzoznamu"/>
        <w:numPr>
          <w:ilvl w:val="0"/>
          <w:numId w:val="10"/>
        </w:numPr>
        <w:tabs>
          <w:tab w:val="left" w:pos="142"/>
        </w:tabs>
        <w:spacing w:after="0" w:line="240" w:lineRule="auto"/>
        <w:jc w:val="both"/>
        <w:rPr>
          <w:rFonts w:cstheme="minorHAnsi"/>
          <w:color w:val="000000" w:themeColor="text1"/>
        </w:rPr>
      </w:pPr>
      <w:r w:rsidRPr="00B37B76">
        <w:rPr>
          <w:rFonts w:cstheme="minorHAnsi"/>
          <w:b/>
          <w:bCs/>
          <w:color w:val="000000" w:themeColor="text1"/>
        </w:rPr>
        <w:t xml:space="preserve">K bodu 6 - </w:t>
      </w:r>
      <w:r w:rsidRPr="00B37B76">
        <w:rPr>
          <w:rFonts w:cstheme="minorHAnsi"/>
          <w:b/>
          <w:bCs/>
          <w:color w:val="000000" w:themeColor="text1"/>
        </w:rPr>
        <w:t>§17 ods. 5 písm. b) bod 3</w:t>
      </w:r>
      <w:r w:rsidRPr="00B37B76">
        <w:rPr>
          <w:rFonts w:cstheme="minorHAnsi"/>
          <w:b/>
          <w:bCs/>
          <w:color w:val="000000" w:themeColor="text1"/>
        </w:rPr>
        <w:tab/>
      </w:r>
    </w:p>
    <w:p w14:paraId="5796F7C8" w14:textId="19A49A67" w:rsidR="00B66ABA" w:rsidRPr="00B37B76" w:rsidRDefault="00B66ABA"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Navrhujeme nové znenie bodu </w:t>
      </w:r>
      <w:r w:rsidR="00432410" w:rsidRPr="00B37B76">
        <w:rPr>
          <w:rFonts w:cstheme="minorHAnsi"/>
          <w:color w:val="000000" w:themeColor="text1"/>
        </w:rPr>
        <w:t>3</w:t>
      </w:r>
      <w:r w:rsidRPr="00B37B76">
        <w:rPr>
          <w:rFonts w:cstheme="minorHAnsi"/>
          <w:color w:val="000000" w:themeColor="text1"/>
        </w:rPr>
        <w:t>:</w:t>
      </w:r>
      <w:r w:rsidRPr="00B37B76">
        <w:rPr>
          <w:rFonts w:cstheme="minorHAnsi"/>
          <w:color w:val="000000" w:themeColor="text1"/>
        </w:rPr>
        <w:t xml:space="preserve"> </w:t>
      </w:r>
    </w:p>
    <w:p w14:paraId="74B4866E" w14:textId="77777777" w:rsidR="00B66ABA" w:rsidRPr="00B37B76" w:rsidRDefault="00B66ABA" w:rsidP="00B37B76">
      <w:pPr>
        <w:tabs>
          <w:tab w:val="left" w:pos="142"/>
        </w:tabs>
        <w:spacing w:after="0" w:line="240" w:lineRule="auto"/>
        <w:jc w:val="both"/>
        <w:rPr>
          <w:rFonts w:cstheme="minorHAnsi"/>
          <w:color w:val="000000" w:themeColor="text1"/>
        </w:rPr>
      </w:pPr>
      <w:r w:rsidRPr="00B37B76">
        <w:rPr>
          <w:rFonts w:cstheme="minorHAnsi"/>
          <w:color w:val="000000" w:themeColor="text1"/>
        </w:rPr>
        <w:t>„</w:t>
      </w:r>
      <w:r w:rsidRPr="00B37B76">
        <w:rPr>
          <w:rFonts w:cstheme="minorHAnsi"/>
          <w:color w:val="000000" w:themeColor="text1"/>
        </w:rPr>
        <w:t xml:space="preserve">3. </w:t>
      </w:r>
      <w:r w:rsidRPr="00B37B76">
        <w:rPr>
          <w:rFonts w:cstheme="minorHAnsi"/>
          <w:color w:val="000000" w:themeColor="text1"/>
        </w:rPr>
        <w:t>preukáže úhrnnú výšku výdavkov (nákladov) súvisiacich alebo vynaložených na toto plnenie a spôsob ich delenia medzi osoby dosahujúce úžitok z tohto plnenia“</w:t>
      </w:r>
      <w:r w:rsidRPr="00B37B76">
        <w:rPr>
          <w:rFonts w:cstheme="minorHAnsi"/>
          <w:color w:val="000000" w:themeColor="text1"/>
        </w:rPr>
        <w:tab/>
      </w:r>
    </w:p>
    <w:p w14:paraId="01427C7C" w14:textId="1F9499C3" w:rsidR="00B66ABA" w:rsidRPr="00B37B76" w:rsidRDefault="00B66ABA" w:rsidP="00B37B76">
      <w:pPr>
        <w:tabs>
          <w:tab w:val="left" w:pos="142"/>
        </w:tabs>
        <w:spacing w:after="0" w:line="240" w:lineRule="auto"/>
        <w:jc w:val="both"/>
        <w:rPr>
          <w:rFonts w:cstheme="minorHAnsi"/>
          <w:color w:val="000000" w:themeColor="text1"/>
        </w:rPr>
      </w:pPr>
      <w:r w:rsidRPr="00B37B76">
        <w:rPr>
          <w:rFonts w:cstheme="minorHAnsi"/>
          <w:color w:val="000000" w:themeColor="text1"/>
          <w:u w:val="single"/>
        </w:rPr>
        <w:t xml:space="preserve">Odôvodnenie: </w:t>
      </w:r>
      <w:r w:rsidRPr="00B37B76">
        <w:rPr>
          <w:rFonts w:cstheme="minorHAnsi"/>
          <w:color w:val="000000" w:themeColor="text1"/>
        </w:rPr>
        <w:t>Navrhujeme zosúladenie terminológie</w:t>
      </w:r>
      <w:r w:rsidR="00432410" w:rsidRPr="00B37B76">
        <w:rPr>
          <w:rFonts w:cstheme="minorHAnsi"/>
          <w:color w:val="000000" w:themeColor="text1"/>
        </w:rPr>
        <w:t>.</w:t>
      </w:r>
      <w:r w:rsidRPr="00B37B76">
        <w:rPr>
          <w:rFonts w:cstheme="minorHAnsi"/>
          <w:color w:val="000000" w:themeColor="text1"/>
        </w:rPr>
        <w:tab/>
      </w:r>
    </w:p>
    <w:p w14:paraId="3263198B" w14:textId="53D576AE" w:rsidR="00B66ABA" w:rsidRPr="00B37B76" w:rsidRDefault="00B66ABA" w:rsidP="00B37B76">
      <w:pPr>
        <w:pStyle w:val="Odsekzoznamu"/>
        <w:tabs>
          <w:tab w:val="left" w:pos="142"/>
        </w:tabs>
        <w:spacing w:after="0" w:line="240" w:lineRule="auto"/>
        <w:ind w:left="0"/>
        <w:jc w:val="both"/>
        <w:rPr>
          <w:rFonts w:cstheme="minorHAnsi"/>
          <w:b/>
          <w:bCs/>
          <w:color w:val="000000" w:themeColor="text1"/>
        </w:rPr>
      </w:pPr>
    </w:p>
    <w:p w14:paraId="5E1C0E31" w14:textId="2D72A167" w:rsidR="009B739C" w:rsidRPr="00B37B76" w:rsidRDefault="009B739C" w:rsidP="00B37B76">
      <w:pPr>
        <w:pStyle w:val="Odsekzoznamu"/>
        <w:numPr>
          <w:ilvl w:val="0"/>
          <w:numId w:val="10"/>
        </w:numPr>
        <w:tabs>
          <w:tab w:val="left" w:pos="142"/>
        </w:tabs>
        <w:spacing w:after="0" w:line="240" w:lineRule="auto"/>
        <w:jc w:val="both"/>
        <w:rPr>
          <w:rFonts w:cstheme="minorHAnsi"/>
          <w:b/>
          <w:bCs/>
          <w:color w:val="000000" w:themeColor="text1"/>
        </w:rPr>
      </w:pPr>
      <w:r w:rsidRPr="00B37B76">
        <w:rPr>
          <w:rFonts w:cstheme="minorHAnsi"/>
          <w:b/>
          <w:bCs/>
          <w:color w:val="000000" w:themeColor="text1"/>
        </w:rPr>
        <w:t xml:space="preserve">K bodu 7 </w:t>
      </w:r>
      <w:r w:rsidR="00FB13F3" w:rsidRPr="00B37B76">
        <w:rPr>
          <w:rFonts w:cstheme="minorHAnsi"/>
          <w:b/>
          <w:bCs/>
          <w:color w:val="000000" w:themeColor="text1"/>
        </w:rPr>
        <w:t xml:space="preserve">- </w:t>
      </w:r>
      <w:r w:rsidRPr="00B37B76">
        <w:rPr>
          <w:rFonts w:cstheme="minorHAnsi"/>
          <w:b/>
          <w:bCs/>
          <w:color w:val="000000" w:themeColor="text1"/>
        </w:rPr>
        <w:t>§</w:t>
      </w:r>
      <w:r w:rsidR="00616E9D" w:rsidRPr="00B37B76">
        <w:rPr>
          <w:rFonts w:cstheme="minorHAnsi"/>
          <w:b/>
          <w:bCs/>
          <w:color w:val="000000" w:themeColor="text1"/>
        </w:rPr>
        <w:t xml:space="preserve"> </w:t>
      </w:r>
      <w:r w:rsidRPr="00B37B76">
        <w:rPr>
          <w:rFonts w:cstheme="minorHAnsi"/>
          <w:b/>
          <w:bCs/>
          <w:color w:val="000000" w:themeColor="text1"/>
        </w:rPr>
        <w:t>17 ods</w:t>
      </w:r>
      <w:r w:rsidRPr="00B37B76">
        <w:rPr>
          <w:rFonts w:cstheme="minorHAnsi"/>
          <w:b/>
          <w:bCs/>
          <w:color w:val="000000" w:themeColor="text1"/>
        </w:rPr>
        <w:t>.</w:t>
      </w:r>
      <w:r w:rsidRPr="00B37B76">
        <w:rPr>
          <w:rFonts w:cstheme="minorHAnsi"/>
          <w:b/>
          <w:bCs/>
          <w:color w:val="000000" w:themeColor="text1"/>
        </w:rPr>
        <w:t xml:space="preserve"> 6 tretia veta</w:t>
      </w:r>
      <w:r w:rsidRPr="00B37B76">
        <w:rPr>
          <w:rFonts w:cstheme="minorHAnsi"/>
          <w:b/>
          <w:bCs/>
          <w:color w:val="000000" w:themeColor="text1"/>
        </w:rPr>
        <w:tab/>
      </w:r>
    </w:p>
    <w:p w14:paraId="210B9BCC" w14:textId="77777777" w:rsidR="00B37B76" w:rsidRPr="00B37B76" w:rsidRDefault="009B739C" w:rsidP="00B37B76">
      <w:pPr>
        <w:spacing w:after="0" w:line="240" w:lineRule="auto"/>
        <w:jc w:val="both"/>
        <w:rPr>
          <w:rFonts w:cstheme="minorHAnsi"/>
        </w:rPr>
      </w:pPr>
      <w:r w:rsidRPr="00B37B76">
        <w:rPr>
          <w:rFonts w:cstheme="minorHAnsi"/>
          <w:color w:val="000000" w:themeColor="text1"/>
        </w:rPr>
        <w:t xml:space="preserve">Navrhujeme </w:t>
      </w:r>
      <w:r w:rsidR="00652A60" w:rsidRPr="00B37B76">
        <w:rPr>
          <w:rFonts w:cstheme="minorHAnsi"/>
          <w:color w:val="000000" w:themeColor="text1"/>
        </w:rPr>
        <w:t>v</w:t>
      </w:r>
      <w:r w:rsidRPr="00B37B76">
        <w:rPr>
          <w:rFonts w:cstheme="minorHAnsi"/>
          <w:color w:val="000000" w:themeColor="text1"/>
        </w:rPr>
        <w:t xml:space="preserve"> tretej vet</w:t>
      </w:r>
      <w:r w:rsidR="00652A60" w:rsidRPr="00B37B76">
        <w:rPr>
          <w:rFonts w:cstheme="minorHAnsi"/>
          <w:color w:val="000000" w:themeColor="text1"/>
        </w:rPr>
        <w:t xml:space="preserve">e za slová </w:t>
      </w:r>
      <w:r w:rsidRPr="00B37B76">
        <w:rPr>
          <w:rFonts w:cstheme="minorHAnsi"/>
        </w:rPr>
        <w:t>„inej závislej osoby</w:t>
      </w:r>
      <w:r w:rsidR="00652A60" w:rsidRPr="00B37B76">
        <w:rPr>
          <w:rFonts w:cstheme="minorHAnsi"/>
        </w:rPr>
        <w:t>“ doplniť slová</w:t>
      </w:r>
      <w:r w:rsidRPr="00B37B76">
        <w:rPr>
          <w:rFonts w:cstheme="minorHAnsi"/>
        </w:rPr>
        <w:t xml:space="preserve"> </w:t>
      </w:r>
      <w:r w:rsidR="00652A60" w:rsidRPr="00B37B76">
        <w:rPr>
          <w:rFonts w:cstheme="minorHAnsi"/>
        </w:rPr>
        <w:t>„</w:t>
      </w:r>
      <w:r w:rsidRPr="00B37B76">
        <w:rPr>
          <w:rFonts w:cstheme="minorHAnsi"/>
        </w:rPr>
        <w:t>alebo táto osoba vykonala úpravu základu dane</w:t>
      </w:r>
      <w:r w:rsidR="00652A60" w:rsidRPr="00B37B76">
        <w:rPr>
          <w:rFonts w:cstheme="minorHAnsi"/>
        </w:rPr>
        <w:t>“.</w:t>
      </w:r>
      <w:r w:rsidRPr="00B37B76">
        <w:rPr>
          <w:rFonts w:cstheme="minorHAnsi"/>
        </w:rPr>
        <w:t xml:space="preserve"> </w:t>
      </w:r>
    </w:p>
    <w:p w14:paraId="60C0294D" w14:textId="3D55D650" w:rsidR="00616E9D" w:rsidRPr="00B37B76" w:rsidRDefault="00616E9D" w:rsidP="00B37B76">
      <w:pPr>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3F36C595" w14:textId="06FCFBB3" w:rsidR="009B739C" w:rsidRDefault="00616E9D"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w:t>
      </w:r>
      <w:r w:rsidR="009B739C" w:rsidRPr="00B37B76">
        <w:rPr>
          <w:rFonts w:cstheme="minorHAnsi"/>
          <w:color w:val="000000" w:themeColor="text1"/>
        </w:rPr>
        <w:t>avrhujeme zohľadniť situáciu, kedy iná závislá osoba sama vykoná úpravu základu dane na území SR</w:t>
      </w:r>
      <w:r w:rsidRPr="00B37B76">
        <w:rPr>
          <w:rFonts w:cstheme="minorHAnsi"/>
          <w:color w:val="000000" w:themeColor="text1"/>
        </w:rPr>
        <w:t>.</w:t>
      </w:r>
    </w:p>
    <w:p w14:paraId="3250AD90" w14:textId="5C1F353E" w:rsidR="00A74602" w:rsidRDefault="00A74602" w:rsidP="00B37B76">
      <w:pPr>
        <w:tabs>
          <w:tab w:val="left" w:pos="142"/>
        </w:tabs>
        <w:spacing w:after="0" w:line="240" w:lineRule="auto"/>
        <w:jc w:val="both"/>
        <w:rPr>
          <w:rFonts w:cstheme="minorHAnsi"/>
          <w:color w:val="000000" w:themeColor="text1"/>
        </w:rPr>
      </w:pPr>
    </w:p>
    <w:p w14:paraId="344A73C0" w14:textId="77777777" w:rsidR="00A74602" w:rsidRPr="00B37B76" w:rsidRDefault="00A74602" w:rsidP="00B37B76">
      <w:pPr>
        <w:tabs>
          <w:tab w:val="left" w:pos="142"/>
        </w:tabs>
        <w:spacing w:after="0" w:line="240" w:lineRule="auto"/>
        <w:jc w:val="both"/>
        <w:rPr>
          <w:rFonts w:cstheme="minorHAnsi"/>
          <w:color w:val="000000" w:themeColor="text1"/>
        </w:rPr>
      </w:pPr>
    </w:p>
    <w:p w14:paraId="35D07CF1" w14:textId="0915B0D6" w:rsidR="00FB13F3" w:rsidRPr="00B37B76" w:rsidRDefault="00FB13F3" w:rsidP="00B37B76">
      <w:pPr>
        <w:tabs>
          <w:tab w:val="left" w:pos="142"/>
        </w:tabs>
        <w:spacing w:after="0" w:line="240" w:lineRule="auto"/>
        <w:jc w:val="both"/>
        <w:rPr>
          <w:rFonts w:cstheme="minorHAnsi"/>
          <w:color w:val="000000" w:themeColor="text1"/>
        </w:rPr>
      </w:pPr>
    </w:p>
    <w:p w14:paraId="6941225F" w14:textId="4678FF0E" w:rsidR="00FB13F3" w:rsidRPr="00B37B76" w:rsidRDefault="00FB13F3" w:rsidP="00B37B76">
      <w:pPr>
        <w:pStyle w:val="Odsekzoznamu"/>
        <w:numPr>
          <w:ilvl w:val="0"/>
          <w:numId w:val="10"/>
        </w:numPr>
        <w:tabs>
          <w:tab w:val="left" w:pos="142"/>
        </w:tabs>
        <w:spacing w:after="0" w:line="240" w:lineRule="auto"/>
        <w:jc w:val="both"/>
        <w:rPr>
          <w:rFonts w:cstheme="minorHAnsi"/>
          <w:b/>
          <w:bCs/>
          <w:color w:val="000000" w:themeColor="text1"/>
        </w:rPr>
      </w:pPr>
      <w:r w:rsidRPr="00B37B76">
        <w:rPr>
          <w:rFonts w:cstheme="minorHAnsi"/>
          <w:b/>
          <w:bCs/>
          <w:color w:val="000000" w:themeColor="text1"/>
        </w:rPr>
        <w:t xml:space="preserve">K bodu 13 -  </w:t>
      </w:r>
      <w:r w:rsidRPr="00B37B76">
        <w:rPr>
          <w:rFonts w:cstheme="minorHAnsi"/>
          <w:b/>
          <w:bCs/>
          <w:color w:val="000000" w:themeColor="text1"/>
        </w:rPr>
        <w:t>§</w:t>
      </w:r>
      <w:r w:rsidR="003F31F4" w:rsidRPr="00B37B76">
        <w:rPr>
          <w:rFonts w:cstheme="minorHAnsi"/>
          <w:b/>
          <w:bCs/>
          <w:color w:val="000000" w:themeColor="text1"/>
        </w:rPr>
        <w:t xml:space="preserve"> </w:t>
      </w:r>
      <w:r w:rsidRPr="00B37B76">
        <w:rPr>
          <w:rFonts w:cstheme="minorHAnsi"/>
          <w:b/>
          <w:bCs/>
          <w:color w:val="000000" w:themeColor="text1"/>
        </w:rPr>
        <w:t>18 ods. 1</w:t>
      </w:r>
      <w:r w:rsidR="003F31F4" w:rsidRPr="00B37B76">
        <w:rPr>
          <w:rFonts w:cstheme="minorHAnsi"/>
          <w:b/>
          <w:bCs/>
          <w:color w:val="000000" w:themeColor="text1"/>
        </w:rPr>
        <w:t xml:space="preserve"> - </w:t>
      </w:r>
      <w:r w:rsidR="003F31F4" w:rsidRPr="00B37B76">
        <w:rPr>
          <w:rFonts w:cstheme="minorHAnsi"/>
          <w:b/>
          <w:bCs/>
          <w:color w:val="000000" w:themeColor="text1"/>
          <w:highlight w:val="yellow"/>
        </w:rPr>
        <w:t>zásadná</w:t>
      </w:r>
      <w:r w:rsidRPr="00B37B76">
        <w:rPr>
          <w:rFonts w:cstheme="minorHAnsi"/>
          <w:b/>
          <w:bCs/>
          <w:color w:val="000000" w:themeColor="text1"/>
        </w:rPr>
        <w:tab/>
      </w:r>
    </w:p>
    <w:p w14:paraId="49A43CD6" w14:textId="7F9019D8" w:rsidR="00FB13F3" w:rsidRPr="00B37B76" w:rsidRDefault="00FB13F3"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Navrhujeme slová „</w:t>
      </w:r>
      <w:r w:rsidR="00172FFA" w:rsidRPr="00B37B76">
        <w:rPr>
          <w:rFonts w:cstheme="minorHAnsi"/>
          <w:color w:val="000000" w:themeColor="text1"/>
        </w:rPr>
        <w:t xml:space="preserve">podľa </w:t>
      </w:r>
      <w:r w:rsidRPr="00B37B76">
        <w:rPr>
          <w:rFonts w:cstheme="minorHAnsi"/>
        </w:rPr>
        <w:t>strednej hodnoty (mediánu)</w:t>
      </w:r>
      <w:r w:rsidRPr="00B37B76">
        <w:rPr>
          <w:rFonts w:cstheme="minorHAnsi"/>
        </w:rPr>
        <w:t>“</w:t>
      </w:r>
      <w:r w:rsidR="00172FFA" w:rsidRPr="00B37B76">
        <w:rPr>
          <w:rFonts w:cstheme="minorHAnsi"/>
        </w:rPr>
        <w:t xml:space="preserve"> </w:t>
      </w:r>
      <w:r w:rsidRPr="00B37B76">
        <w:rPr>
          <w:rFonts w:cstheme="minorHAnsi"/>
          <w:color w:val="000000" w:themeColor="text1"/>
        </w:rPr>
        <w:t>nahr</w:t>
      </w:r>
      <w:r w:rsidR="00172FFA" w:rsidRPr="00B37B76">
        <w:rPr>
          <w:rFonts w:cstheme="minorHAnsi"/>
          <w:color w:val="000000" w:themeColor="text1"/>
        </w:rPr>
        <w:t>a</w:t>
      </w:r>
      <w:r w:rsidRPr="00B37B76">
        <w:rPr>
          <w:rFonts w:cstheme="minorHAnsi"/>
          <w:color w:val="000000" w:themeColor="text1"/>
        </w:rPr>
        <w:t>diť slo</w:t>
      </w:r>
      <w:r w:rsidR="0039240F" w:rsidRPr="00B37B76">
        <w:rPr>
          <w:rFonts w:cstheme="minorHAnsi"/>
          <w:color w:val="000000" w:themeColor="text1"/>
        </w:rPr>
        <w:t>v</w:t>
      </w:r>
      <w:r w:rsidRPr="00B37B76">
        <w:rPr>
          <w:rFonts w:cstheme="minorHAnsi"/>
          <w:color w:val="000000" w:themeColor="text1"/>
        </w:rPr>
        <w:t xml:space="preserve">ami </w:t>
      </w:r>
      <w:r w:rsidRPr="00B37B76">
        <w:rPr>
          <w:rFonts w:cstheme="minorHAnsi"/>
        </w:rPr>
        <w:t>„</w:t>
      </w:r>
      <w:r w:rsidR="00172FFA" w:rsidRPr="00B37B76">
        <w:rPr>
          <w:rFonts w:cstheme="minorHAnsi"/>
        </w:rPr>
        <w:t xml:space="preserve">na úrovni hodnoty dolného </w:t>
      </w:r>
      <w:proofErr w:type="spellStart"/>
      <w:r w:rsidR="00172FFA" w:rsidRPr="00B37B76">
        <w:rPr>
          <w:rFonts w:cstheme="minorHAnsi"/>
        </w:rPr>
        <w:t>kvartilu</w:t>
      </w:r>
      <w:proofErr w:type="spellEnd"/>
      <w:r w:rsidR="00172FFA" w:rsidRPr="00B37B76">
        <w:rPr>
          <w:rFonts w:cstheme="minorHAnsi"/>
        </w:rPr>
        <w:t>“.</w:t>
      </w:r>
    </w:p>
    <w:p w14:paraId="02D09837" w14:textId="0A78258F" w:rsidR="00FB13F3" w:rsidRPr="00B37B76" w:rsidRDefault="00172FFA" w:rsidP="00B37B76">
      <w:pPr>
        <w:tabs>
          <w:tab w:val="left" w:pos="142"/>
        </w:tabs>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2DE94360" w14:textId="03467CAC" w:rsidR="00FB13F3" w:rsidRPr="00B37B76" w:rsidRDefault="00FB13F3"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Navrhujeme namiesto úpravy na strednú hodnotu (medián) úpravu na úroveň dolného </w:t>
      </w:r>
      <w:proofErr w:type="spellStart"/>
      <w:r w:rsidRPr="00B37B76">
        <w:rPr>
          <w:rFonts w:cstheme="minorHAnsi"/>
          <w:color w:val="000000" w:themeColor="text1"/>
        </w:rPr>
        <w:t>kvartilu</w:t>
      </w:r>
      <w:proofErr w:type="spellEnd"/>
      <w:r w:rsidRPr="00B37B76">
        <w:rPr>
          <w:rFonts w:cstheme="minorHAnsi"/>
          <w:color w:val="000000" w:themeColor="text1"/>
        </w:rPr>
        <w:t xml:space="preserve">, ktorý sa v zmysle Smernice OECD považuje za hodnotu porovnateľnú s trhom. Používanie stredných tendencií sa v zmysle bodu 3.57, na ktorý sa bod 3.62 v súvislosti so strednými tendenciami odvoláva, </w:t>
      </w:r>
      <w:proofErr w:type="spellStart"/>
      <w:r w:rsidRPr="00B37B76">
        <w:rPr>
          <w:rFonts w:cstheme="minorHAnsi"/>
          <w:color w:val="000000" w:themeColor="text1"/>
        </w:rPr>
        <w:t>doporučuje</w:t>
      </w:r>
      <w:proofErr w:type="spellEnd"/>
      <w:r w:rsidRPr="00B37B76">
        <w:rPr>
          <w:rFonts w:cstheme="minorHAnsi"/>
          <w:color w:val="000000" w:themeColor="text1"/>
        </w:rPr>
        <w:t xml:space="preserve"> iba v prípade významných „</w:t>
      </w:r>
      <w:proofErr w:type="spellStart"/>
      <w:r w:rsidRPr="00B37B76">
        <w:rPr>
          <w:rFonts w:cstheme="minorHAnsi"/>
          <w:color w:val="000000" w:themeColor="text1"/>
        </w:rPr>
        <w:t>comparability</w:t>
      </w:r>
      <w:proofErr w:type="spellEnd"/>
      <w:r w:rsidRPr="00B37B76">
        <w:rPr>
          <w:rFonts w:cstheme="minorHAnsi"/>
          <w:color w:val="000000" w:themeColor="text1"/>
        </w:rPr>
        <w:t xml:space="preserve"> </w:t>
      </w:r>
      <w:proofErr w:type="spellStart"/>
      <w:r w:rsidRPr="00B37B76">
        <w:rPr>
          <w:rFonts w:cstheme="minorHAnsi"/>
          <w:color w:val="000000" w:themeColor="text1"/>
        </w:rPr>
        <w:t>defects</w:t>
      </w:r>
      <w:proofErr w:type="spellEnd"/>
      <w:r w:rsidRPr="00B37B76">
        <w:rPr>
          <w:rFonts w:cstheme="minorHAnsi"/>
          <w:color w:val="000000" w:themeColor="text1"/>
        </w:rPr>
        <w:t>“ a v prípade „</w:t>
      </w:r>
      <w:proofErr w:type="spellStart"/>
      <w:r w:rsidRPr="00B37B76">
        <w:rPr>
          <w:rFonts w:cstheme="minorHAnsi"/>
          <w:color w:val="000000" w:themeColor="text1"/>
        </w:rPr>
        <w:t>sizeable</w:t>
      </w:r>
      <w:proofErr w:type="spellEnd"/>
      <w:r w:rsidRPr="00B37B76">
        <w:rPr>
          <w:rFonts w:cstheme="minorHAnsi"/>
          <w:color w:val="000000" w:themeColor="text1"/>
        </w:rPr>
        <w:t xml:space="preserve"> </w:t>
      </w:r>
      <w:proofErr w:type="spellStart"/>
      <w:r w:rsidRPr="00B37B76">
        <w:rPr>
          <w:rFonts w:cstheme="minorHAnsi"/>
          <w:color w:val="000000" w:themeColor="text1"/>
        </w:rPr>
        <w:t>number</w:t>
      </w:r>
      <w:proofErr w:type="spellEnd"/>
      <w:r w:rsidRPr="00B37B76">
        <w:rPr>
          <w:rFonts w:cstheme="minorHAnsi"/>
          <w:color w:val="000000" w:themeColor="text1"/>
        </w:rPr>
        <w:t xml:space="preserve"> of </w:t>
      </w:r>
      <w:proofErr w:type="spellStart"/>
      <w:r w:rsidRPr="00B37B76">
        <w:rPr>
          <w:rFonts w:cstheme="minorHAnsi"/>
          <w:color w:val="000000" w:themeColor="text1"/>
        </w:rPr>
        <w:t>observations</w:t>
      </w:r>
      <w:proofErr w:type="spellEnd"/>
      <w:r w:rsidRPr="00B37B76">
        <w:rPr>
          <w:rFonts w:cstheme="minorHAnsi"/>
          <w:color w:val="000000" w:themeColor="text1"/>
        </w:rPr>
        <w:t>“.</w:t>
      </w:r>
    </w:p>
    <w:p w14:paraId="68CA803B" w14:textId="77777777" w:rsidR="00FB13F3" w:rsidRPr="00B37B76" w:rsidRDefault="00FB13F3"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3.62 „In </w:t>
      </w:r>
      <w:proofErr w:type="spellStart"/>
      <w:r w:rsidRPr="00B37B76">
        <w:rPr>
          <w:rFonts w:cstheme="minorHAnsi"/>
          <w:color w:val="000000" w:themeColor="text1"/>
        </w:rPr>
        <w:t>determining</w:t>
      </w:r>
      <w:proofErr w:type="spellEnd"/>
      <w:r w:rsidRPr="00B37B76">
        <w:rPr>
          <w:rFonts w:cstheme="minorHAnsi"/>
          <w:color w:val="000000" w:themeColor="text1"/>
        </w:rPr>
        <w:t xml:space="preserve"> </w:t>
      </w:r>
      <w:proofErr w:type="spellStart"/>
      <w:r w:rsidRPr="00B37B76">
        <w:rPr>
          <w:rFonts w:cstheme="minorHAnsi"/>
          <w:color w:val="000000" w:themeColor="text1"/>
        </w:rPr>
        <w:t>this</w:t>
      </w:r>
      <w:proofErr w:type="spellEnd"/>
      <w:r w:rsidRPr="00B37B76">
        <w:rPr>
          <w:rFonts w:cstheme="minorHAnsi"/>
          <w:color w:val="000000" w:themeColor="text1"/>
        </w:rPr>
        <w:t xml:space="preserve"> point, </w:t>
      </w:r>
      <w:proofErr w:type="spellStart"/>
      <w:r w:rsidRPr="00B37B76">
        <w:rPr>
          <w:rFonts w:cstheme="minorHAnsi"/>
          <w:color w:val="000000" w:themeColor="text1"/>
        </w:rPr>
        <w:t>where</w:t>
      </w:r>
      <w:proofErr w:type="spellEnd"/>
      <w:r w:rsidRPr="00B37B76">
        <w:rPr>
          <w:rFonts w:cstheme="minorHAnsi"/>
          <w:color w:val="000000" w:themeColor="text1"/>
        </w:rPr>
        <w:t xml:space="preserve"> </w:t>
      </w:r>
      <w:proofErr w:type="spellStart"/>
      <w:r w:rsidRPr="00B37B76">
        <w:rPr>
          <w:rFonts w:cstheme="minorHAnsi"/>
          <w:color w:val="000000" w:themeColor="text1"/>
        </w:rPr>
        <w:t>the</w:t>
      </w:r>
      <w:proofErr w:type="spellEnd"/>
      <w:r w:rsidRPr="00B37B76">
        <w:rPr>
          <w:rFonts w:cstheme="minorHAnsi"/>
          <w:color w:val="000000" w:themeColor="text1"/>
        </w:rPr>
        <w:t xml:space="preserve"> </w:t>
      </w:r>
      <w:proofErr w:type="spellStart"/>
      <w:r w:rsidRPr="00B37B76">
        <w:rPr>
          <w:rFonts w:cstheme="minorHAnsi"/>
          <w:color w:val="000000" w:themeColor="text1"/>
        </w:rPr>
        <w:t>range</w:t>
      </w:r>
      <w:proofErr w:type="spellEnd"/>
      <w:r w:rsidRPr="00B37B76">
        <w:rPr>
          <w:rFonts w:cstheme="minorHAnsi"/>
          <w:color w:val="000000" w:themeColor="text1"/>
        </w:rPr>
        <w:t xml:space="preserve"> </w:t>
      </w:r>
      <w:proofErr w:type="spellStart"/>
      <w:r w:rsidRPr="00B37B76">
        <w:rPr>
          <w:rFonts w:cstheme="minorHAnsi"/>
          <w:color w:val="000000" w:themeColor="text1"/>
        </w:rPr>
        <w:t>comprises</w:t>
      </w:r>
      <w:proofErr w:type="spellEnd"/>
      <w:r w:rsidRPr="00B37B76">
        <w:rPr>
          <w:rFonts w:cstheme="minorHAnsi"/>
          <w:color w:val="000000" w:themeColor="text1"/>
        </w:rPr>
        <w:t xml:space="preserve"> </w:t>
      </w:r>
      <w:proofErr w:type="spellStart"/>
      <w:r w:rsidRPr="00B37B76">
        <w:rPr>
          <w:rFonts w:cstheme="minorHAnsi"/>
          <w:color w:val="000000" w:themeColor="text1"/>
        </w:rPr>
        <w:t>results</w:t>
      </w:r>
      <w:proofErr w:type="spellEnd"/>
      <w:r w:rsidRPr="00B37B76">
        <w:rPr>
          <w:rFonts w:cstheme="minorHAnsi"/>
          <w:color w:val="000000" w:themeColor="text1"/>
        </w:rPr>
        <w:t xml:space="preserve"> of </w:t>
      </w:r>
      <w:proofErr w:type="spellStart"/>
      <w:r w:rsidRPr="00B37B76">
        <w:rPr>
          <w:rFonts w:cstheme="minorHAnsi"/>
          <w:color w:val="000000" w:themeColor="text1"/>
        </w:rPr>
        <w:t>relatively</w:t>
      </w:r>
      <w:proofErr w:type="spellEnd"/>
      <w:r w:rsidRPr="00B37B76">
        <w:rPr>
          <w:rFonts w:cstheme="minorHAnsi"/>
          <w:color w:val="000000" w:themeColor="text1"/>
        </w:rPr>
        <w:t xml:space="preserve"> </w:t>
      </w:r>
      <w:proofErr w:type="spellStart"/>
      <w:r w:rsidRPr="00B37B76">
        <w:rPr>
          <w:rFonts w:cstheme="minorHAnsi"/>
          <w:color w:val="000000" w:themeColor="text1"/>
        </w:rPr>
        <w:t>equal</w:t>
      </w:r>
      <w:proofErr w:type="spellEnd"/>
      <w:r w:rsidRPr="00B37B76">
        <w:rPr>
          <w:rFonts w:cstheme="minorHAnsi"/>
          <w:color w:val="000000" w:themeColor="text1"/>
        </w:rPr>
        <w:t xml:space="preserve"> and </w:t>
      </w:r>
      <w:proofErr w:type="spellStart"/>
      <w:r w:rsidRPr="00B37B76">
        <w:rPr>
          <w:rFonts w:cstheme="minorHAnsi"/>
          <w:color w:val="000000" w:themeColor="text1"/>
        </w:rPr>
        <w:t>high</w:t>
      </w:r>
      <w:proofErr w:type="spellEnd"/>
      <w:r w:rsidRPr="00B37B76">
        <w:rPr>
          <w:rFonts w:cstheme="minorHAnsi"/>
          <w:color w:val="000000" w:themeColor="text1"/>
        </w:rPr>
        <w:t xml:space="preserve"> </w:t>
      </w:r>
      <w:proofErr w:type="spellStart"/>
      <w:r w:rsidRPr="00B37B76">
        <w:rPr>
          <w:rFonts w:cstheme="minorHAnsi"/>
          <w:color w:val="000000" w:themeColor="text1"/>
        </w:rPr>
        <w:t>reliability</w:t>
      </w:r>
      <w:proofErr w:type="spellEnd"/>
      <w:r w:rsidRPr="00B37B76">
        <w:rPr>
          <w:rFonts w:cstheme="minorHAnsi"/>
          <w:color w:val="000000" w:themeColor="text1"/>
        </w:rPr>
        <w:t xml:space="preserve">, </w:t>
      </w:r>
      <w:proofErr w:type="spellStart"/>
      <w:r w:rsidRPr="00B37B76">
        <w:rPr>
          <w:rFonts w:cstheme="minorHAnsi"/>
          <w:color w:val="000000" w:themeColor="text1"/>
        </w:rPr>
        <w:t>it</w:t>
      </w:r>
      <w:proofErr w:type="spellEnd"/>
      <w:r w:rsidRPr="00B37B76">
        <w:rPr>
          <w:rFonts w:cstheme="minorHAnsi"/>
          <w:color w:val="000000" w:themeColor="text1"/>
        </w:rPr>
        <w:t xml:space="preserve"> </w:t>
      </w:r>
      <w:proofErr w:type="spellStart"/>
      <w:r w:rsidRPr="00B37B76">
        <w:rPr>
          <w:rFonts w:cstheme="minorHAnsi"/>
          <w:color w:val="000000" w:themeColor="text1"/>
        </w:rPr>
        <w:t>could</w:t>
      </w:r>
      <w:proofErr w:type="spellEnd"/>
      <w:r w:rsidRPr="00B37B76">
        <w:rPr>
          <w:rFonts w:cstheme="minorHAnsi"/>
          <w:color w:val="000000" w:themeColor="text1"/>
        </w:rPr>
        <w:t xml:space="preserve"> </w:t>
      </w:r>
      <w:proofErr w:type="spellStart"/>
      <w:r w:rsidRPr="00B37B76">
        <w:rPr>
          <w:rFonts w:cstheme="minorHAnsi"/>
          <w:color w:val="000000" w:themeColor="text1"/>
        </w:rPr>
        <w:t>be</w:t>
      </w:r>
      <w:proofErr w:type="spellEnd"/>
      <w:r w:rsidRPr="00B37B76">
        <w:rPr>
          <w:rFonts w:cstheme="minorHAnsi"/>
          <w:color w:val="000000" w:themeColor="text1"/>
        </w:rPr>
        <w:t xml:space="preserve"> </w:t>
      </w:r>
      <w:proofErr w:type="spellStart"/>
      <w:r w:rsidRPr="00B37B76">
        <w:rPr>
          <w:rFonts w:cstheme="minorHAnsi"/>
          <w:color w:val="000000" w:themeColor="text1"/>
        </w:rPr>
        <w:t>argued</w:t>
      </w:r>
      <w:proofErr w:type="spellEnd"/>
      <w:r w:rsidRPr="00B37B76">
        <w:rPr>
          <w:rFonts w:cstheme="minorHAnsi"/>
          <w:color w:val="000000" w:themeColor="text1"/>
        </w:rPr>
        <w:t xml:space="preserve"> </w:t>
      </w:r>
      <w:proofErr w:type="spellStart"/>
      <w:r w:rsidRPr="00B37B76">
        <w:rPr>
          <w:rFonts w:cstheme="minorHAnsi"/>
          <w:color w:val="000000" w:themeColor="text1"/>
        </w:rPr>
        <w:t>that</w:t>
      </w:r>
      <w:proofErr w:type="spellEnd"/>
      <w:r w:rsidRPr="00B37B76">
        <w:rPr>
          <w:rFonts w:cstheme="minorHAnsi"/>
          <w:color w:val="000000" w:themeColor="text1"/>
        </w:rPr>
        <w:t xml:space="preserve"> </w:t>
      </w:r>
      <w:proofErr w:type="spellStart"/>
      <w:r w:rsidRPr="00B37B76">
        <w:rPr>
          <w:rFonts w:cstheme="minorHAnsi"/>
          <w:color w:val="000000" w:themeColor="text1"/>
        </w:rPr>
        <w:t>any</w:t>
      </w:r>
      <w:proofErr w:type="spellEnd"/>
      <w:r w:rsidRPr="00B37B76">
        <w:rPr>
          <w:rFonts w:cstheme="minorHAnsi"/>
          <w:color w:val="000000" w:themeColor="text1"/>
        </w:rPr>
        <w:t xml:space="preserve"> point in </w:t>
      </w:r>
      <w:proofErr w:type="spellStart"/>
      <w:r w:rsidRPr="00B37B76">
        <w:rPr>
          <w:rFonts w:cstheme="minorHAnsi"/>
          <w:color w:val="000000" w:themeColor="text1"/>
        </w:rPr>
        <w:t>the</w:t>
      </w:r>
      <w:proofErr w:type="spellEnd"/>
      <w:r w:rsidRPr="00B37B76">
        <w:rPr>
          <w:rFonts w:cstheme="minorHAnsi"/>
          <w:color w:val="000000" w:themeColor="text1"/>
        </w:rPr>
        <w:t xml:space="preserve"> </w:t>
      </w:r>
      <w:proofErr w:type="spellStart"/>
      <w:r w:rsidRPr="00B37B76">
        <w:rPr>
          <w:rFonts w:cstheme="minorHAnsi"/>
          <w:color w:val="000000" w:themeColor="text1"/>
        </w:rPr>
        <w:t>range</w:t>
      </w:r>
      <w:proofErr w:type="spellEnd"/>
      <w:r w:rsidRPr="00B37B76">
        <w:rPr>
          <w:rFonts w:cstheme="minorHAnsi"/>
          <w:color w:val="000000" w:themeColor="text1"/>
        </w:rPr>
        <w:t xml:space="preserve"> </w:t>
      </w:r>
      <w:proofErr w:type="spellStart"/>
      <w:r w:rsidRPr="00B37B76">
        <w:rPr>
          <w:rFonts w:cstheme="minorHAnsi"/>
          <w:color w:val="000000" w:themeColor="text1"/>
        </w:rPr>
        <w:t>satisfies</w:t>
      </w:r>
      <w:proofErr w:type="spellEnd"/>
      <w:r w:rsidRPr="00B37B76">
        <w:rPr>
          <w:rFonts w:cstheme="minorHAnsi"/>
          <w:color w:val="000000" w:themeColor="text1"/>
        </w:rPr>
        <w:t xml:space="preserve"> </w:t>
      </w:r>
      <w:proofErr w:type="spellStart"/>
      <w:r w:rsidRPr="00B37B76">
        <w:rPr>
          <w:rFonts w:cstheme="minorHAnsi"/>
          <w:color w:val="000000" w:themeColor="text1"/>
        </w:rPr>
        <w:t>the</w:t>
      </w:r>
      <w:proofErr w:type="spellEnd"/>
      <w:r w:rsidRPr="00B37B76">
        <w:rPr>
          <w:rFonts w:cstheme="minorHAnsi"/>
          <w:color w:val="000000" w:themeColor="text1"/>
        </w:rPr>
        <w:t xml:space="preserve"> </w:t>
      </w:r>
      <w:proofErr w:type="spellStart"/>
      <w:r w:rsidRPr="00B37B76">
        <w:rPr>
          <w:rFonts w:cstheme="minorHAnsi"/>
          <w:color w:val="000000" w:themeColor="text1"/>
        </w:rPr>
        <w:t>arm`s</w:t>
      </w:r>
      <w:proofErr w:type="spellEnd"/>
      <w:r w:rsidRPr="00B37B76">
        <w:rPr>
          <w:rFonts w:cstheme="minorHAnsi"/>
          <w:color w:val="000000" w:themeColor="text1"/>
        </w:rPr>
        <w:t xml:space="preserve"> </w:t>
      </w:r>
      <w:proofErr w:type="spellStart"/>
      <w:r w:rsidRPr="00B37B76">
        <w:rPr>
          <w:rFonts w:cstheme="minorHAnsi"/>
          <w:color w:val="000000" w:themeColor="text1"/>
        </w:rPr>
        <w:t>length</w:t>
      </w:r>
      <w:proofErr w:type="spellEnd"/>
      <w:r w:rsidRPr="00B37B76">
        <w:rPr>
          <w:rFonts w:cstheme="minorHAnsi"/>
          <w:color w:val="000000" w:themeColor="text1"/>
        </w:rPr>
        <w:t xml:space="preserve"> </w:t>
      </w:r>
      <w:proofErr w:type="spellStart"/>
      <w:r w:rsidRPr="00B37B76">
        <w:rPr>
          <w:rFonts w:cstheme="minorHAnsi"/>
          <w:color w:val="000000" w:themeColor="text1"/>
        </w:rPr>
        <w:t>principle</w:t>
      </w:r>
      <w:proofErr w:type="spellEnd"/>
      <w:r w:rsidRPr="00B37B76">
        <w:rPr>
          <w:rFonts w:cstheme="minorHAnsi"/>
          <w:color w:val="000000" w:themeColor="text1"/>
        </w:rPr>
        <w:t>.“</w:t>
      </w:r>
    </w:p>
    <w:p w14:paraId="3BA646C7" w14:textId="77777777" w:rsidR="00FB13F3" w:rsidRPr="00B37B76" w:rsidRDefault="00FB13F3" w:rsidP="00B37B76">
      <w:pPr>
        <w:pStyle w:val="Odsekzoznamu"/>
        <w:tabs>
          <w:tab w:val="left" w:pos="142"/>
        </w:tabs>
        <w:spacing w:after="0" w:line="240" w:lineRule="auto"/>
        <w:jc w:val="both"/>
        <w:rPr>
          <w:rFonts w:cstheme="minorHAnsi"/>
          <w:color w:val="000000" w:themeColor="text1"/>
        </w:rPr>
      </w:pPr>
    </w:p>
    <w:p w14:paraId="202DC435" w14:textId="74F616FB" w:rsidR="00FB13F3" w:rsidRPr="00B37B76" w:rsidRDefault="00FB13F3"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Naviac, v navrhovanej textácií sa Smernica OECD „zohľadňuje“, nie striktne aplikuje, čo pravdepodobne neprispeje k zníženiu sporov s daňovou správou.</w:t>
      </w:r>
    </w:p>
    <w:p w14:paraId="528AF8A9" w14:textId="77777777" w:rsidR="00B66ABA" w:rsidRPr="00B37B76" w:rsidRDefault="00B66ABA" w:rsidP="00B37B76">
      <w:pPr>
        <w:pStyle w:val="Odsekzoznamu"/>
        <w:tabs>
          <w:tab w:val="left" w:pos="142"/>
        </w:tabs>
        <w:spacing w:after="0" w:line="240" w:lineRule="auto"/>
        <w:ind w:left="0"/>
        <w:jc w:val="both"/>
        <w:rPr>
          <w:rFonts w:cstheme="minorHAnsi"/>
          <w:b/>
          <w:bCs/>
          <w:color w:val="000000" w:themeColor="text1"/>
        </w:rPr>
      </w:pPr>
    </w:p>
    <w:p w14:paraId="6DEF39C8" w14:textId="77777777" w:rsidR="00B53CF6" w:rsidRPr="00B37B76" w:rsidRDefault="002A776F" w:rsidP="00B37B76">
      <w:pPr>
        <w:pStyle w:val="Odsekzoznamu"/>
        <w:numPr>
          <w:ilvl w:val="0"/>
          <w:numId w:val="10"/>
        </w:numPr>
        <w:tabs>
          <w:tab w:val="left" w:pos="142"/>
        </w:tabs>
        <w:spacing w:after="0" w:line="240" w:lineRule="auto"/>
        <w:jc w:val="both"/>
        <w:rPr>
          <w:rFonts w:cstheme="minorHAnsi"/>
          <w:b/>
          <w:bCs/>
          <w:color w:val="000000" w:themeColor="text1"/>
        </w:rPr>
      </w:pPr>
      <w:r w:rsidRPr="00B37B76">
        <w:rPr>
          <w:rFonts w:cstheme="minorHAnsi"/>
          <w:b/>
          <w:bCs/>
          <w:color w:val="000000" w:themeColor="text1"/>
        </w:rPr>
        <w:t>K</w:t>
      </w:r>
      <w:r w:rsidR="00B53CF6" w:rsidRPr="00B37B76">
        <w:rPr>
          <w:rFonts w:cstheme="minorHAnsi"/>
          <w:b/>
          <w:bCs/>
          <w:color w:val="000000" w:themeColor="text1"/>
        </w:rPr>
        <w:t> </w:t>
      </w:r>
      <w:r w:rsidRPr="00B37B76">
        <w:rPr>
          <w:rFonts w:cstheme="minorHAnsi"/>
          <w:b/>
          <w:bCs/>
          <w:color w:val="000000" w:themeColor="text1"/>
        </w:rPr>
        <w:t>bodu</w:t>
      </w:r>
      <w:r w:rsidR="00B53CF6" w:rsidRPr="00B37B76">
        <w:rPr>
          <w:rFonts w:cstheme="minorHAnsi"/>
          <w:b/>
          <w:bCs/>
          <w:color w:val="000000" w:themeColor="text1"/>
        </w:rPr>
        <w:t xml:space="preserve"> 18 - </w:t>
      </w:r>
      <w:r w:rsidR="00704D22" w:rsidRPr="00B37B76">
        <w:rPr>
          <w:rFonts w:cstheme="minorHAnsi"/>
          <w:b/>
          <w:bCs/>
          <w:color w:val="000000" w:themeColor="text1"/>
        </w:rPr>
        <w:t>§</w:t>
      </w:r>
      <w:r w:rsidR="00B53CF6" w:rsidRPr="00B37B76">
        <w:rPr>
          <w:rFonts w:cstheme="minorHAnsi"/>
          <w:b/>
          <w:bCs/>
          <w:color w:val="000000" w:themeColor="text1"/>
        </w:rPr>
        <w:t xml:space="preserve"> </w:t>
      </w:r>
      <w:r w:rsidR="00704D22" w:rsidRPr="00B37B76">
        <w:rPr>
          <w:rFonts w:cstheme="minorHAnsi"/>
          <w:b/>
          <w:bCs/>
          <w:color w:val="000000" w:themeColor="text1"/>
        </w:rPr>
        <w:t>18 ods</w:t>
      </w:r>
      <w:r w:rsidR="00B53CF6" w:rsidRPr="00B37B76">
        <w:rPr>
          <w:rFonts w:cstheme="minorHAnsi"/>
          <w:b/>
          <w:bCs/>
          <w:color w:val="000000" w:themeColor="text1"/>
        </w:rPr>
        <w:t>.</w:t>
      </w:r>
      <w:r w:rsidR="00704D22" w:rsidRPr="00B37B76">
        <w:rPr>
          <w:rFonts w:cstheme="minorHAnsi"/>
          <w:b/>
          <w:bCs/>
          <w:color w:val="000000" w:themeColor="text1"/>
        </w:rPr>
        <w:t xml:space="preserve"> 3 písmeno b)</w:t>
      </w:r>
      <w:r w:rsidR="00704D22" w:rsidRPr="00B37B76">
        <w:rPr>
          <w:rFonts w:cstheme="minorHAnsi"/>
          <w:b/>
          <w:bCs/>
          <w:color w:val="000000" w:themeColor="text1"/>
        </w:rPr>
        <w:tab/>
      </w:r>
    </w:p>
    <w:p w14:paraId="7BA32EB3" w14:textId="7218D0D7" w:rsidR="00704D22" w:rsidRPr="00B37B76" w:rsidRDefault="00B53CF6" w:rsidP="00E1449F">
      <w:pPr>
        <w:tabs>
          <w:tab w:val="left" w:pos="142"/>
        </w:tabs>
        <w:spacing w:after="0" w:line="240" w:lineRule="auto"/>
        <w:jc w:val="both"/>
        <w:rPr>
          <w:rFonts w:cstheme="minorHAnsi"/>
          <w:b/>
          <w:bCs/>
          <w:color w:val="000000" w:themeColor="text1"/>
        </w:rPr>
      </w:pPr>
      <w:r w:rsidRPr="00B37B76">
        <w:rPr>
          <w:rFonts w:cstheme="minorHAnsi"/>
          <w:color w:val="000000" w:themeColor="text1"/>
        </w:rPr>
        <w:t>Navrhujeme nové znenie písmena b):</w:t>
      </w:r>
    </w:p>
    <w:p w14:paraId="796A7A8C" w14:textId="77777777" w:rsidR="00B53CF6" w:rsidRPr="00B37B76" w:rsidRDefault="00704D22" w:rsidP="00B37B76">
      <w:pPr>
        <w:tabs>
          <w:tab w:val="left" w:pos="142"/>
        </w:tabs>
        <w:spacing w:after="0" w:line="240" w:lineRule="auto"/>
        <w:jc w:val="both"/>
        <w:rPr>
          <w:rFonts w:cstheme="minorHAnsi"/>
          <w:color w:val="000000" w:themeColor="text1"/>
        </w:rPr>
      </w:pPr>
      <w:r w:rsidRPr="00B37B76">
        <w:rPr>
          <w:rFonts w:cstheme="minorHAnsi"/>
          <w:color w:val="000000" w:themeColor="text1"/>
        </w:rPr>
        <w:t>„</w:t>
      </w:r>
      <w:r w:rsidR="00B53CF6" w:rsidRPr="00B37B76">
        <w:rPr>
          <w:rFonts w:cstheme="minorHAnsi"/>
          <w:color w:val="000000" w:themeColor="text1"/>
        </w:rPr>
        <w:t xml:space="preserve">b) </w:t>
      </w:r>
      <w:r w:rsidRPr="00B37B76">
        <w:rPr>
          <w:rFonts w:cstheme="minorHAnsi"/>
          <w:color w:val="000000" w:themeColor="text1"/>
        </w:rPr>
        <w:t>metóda čistého obchodného rozpätia, ktorá zisťuje výšku ziskovej prirážky alebo ziskovej marže z právneho alebo obdobného vzťahu medzi závislými osobami vo vzťahu k nákladom, tržbám alebo inej základni, ktorú porovnáva so ziskovou prirážkou alebo ziskovou maržou používanou vo vzťahu k nezávislým osobám.“</w:t>
      </w:r>
      <w:r w:rsidRPr="00B37B76">
        <w:rPr>
          <w:rFonts w:cstheme="minorHAnsi"/>
          <w:color w:val="000000" w:themeColor="text1"/>
        </w:rPr>
        <w:tab/>
      </w:r>
    </w:p>
    <w:p w14:paraId="44AE0C39" w14:textId="62943E7F" w:rsidR="00B53CF6" w:rsidRPr="00B37B76" w:rsidRDefault="00B53CF6" w:rsidP="00B37B76">
      <w:pPr>
        <w:tabs>
          <w:tab w:val="left" w:pos="142"/>
        </w:tabs>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2D920D55" w14:textId="588C8A0D" w:rsidR="002A776F" w:rsidRPr="00B37B76" w:rsidRDefault="00B53CF6" w:rsidP="00B37B76">
      <w:pPr>
        <w:tabs>
          <w:tab w:val="left" w:pos="142"/>
        </w:tabs>
        <w:spacing w:after="0" w:line="240" w:lineRule="auto"/>
        <w:jc w:val="both"/>
        <w:rPr>
          <w:rFonts w:cstheme="minorHAnsi"/>
          <w:color w:val="000000" w:themeColor="text1"/>
        </w:rPr>
      </w:pPr>
      <w:r w:rsidRPr="00B37B76">
        <w:rPr>
          <w:rFonts w:cstheme="minorHAnsi"/>
          <w:color w:val="000000" w:themeColor="text1"/>
        </w:rPr>
        <w:t>P</w:t>
      </w:r>
      <w:r w:rsidR="00704D22" w:rsidRPr="00B37B76">
        <w:rPr>
          <w:rFonts w:cstheme="minorHAnsi"/>
          <w:color w:val="000000" w:themeColor="text1"/>
        </w:rPr>
        <w:t>ojem "obchodného alebo finančného vzťahu" nie je nahradený pojmom "právneho alebo obdobného vzťahu" ako je tomu pri iných ustanoveniach – zosúladenie terminológie</w:t>
      </w:r>
      <w:r w:rsidRPr="00B37B76">
        <w:rPr>
          <w:rFonts w:cstheme="minorHAnsi"/>
          <w:color w:val="000000" w:themeColor="text1"/>
        </w:rPr>
        <w:t>.</w:t>
      </w:r>
    </w:p>
    <w:p w14:paraId="6FACC8EF" w14:textId="77777777" w:rsidR="002A776F" w:rsidRPr="00B37B76" w:rsidRDefault="002A776F" w:rsidP="00B37B76">
      <w:pPr>
        <w:pStyle w:val="Odsekzoznamu"/>
        <w:tabs>
          <w:tab w:val="left" w:pos="142"/>
        </w:tabs>
        <w:spacing w:after="0" w:line="240" w:lineRule="auto"/>
        <w:jc w:val="both"/>
        <w:rPr>
          <w:rFonts w:cstheme="minorHAnsi"/>
          <w:color w:val="000000" w:themeColor="text1"/>
        </w:rPr>
      </w:pPr>
    </w:p>
    <w:p w14:paraId="01CE7696" w14:textId="58C03BE5" w:rsidR="003F31F4" w:rsidRPr="00B37B76" w:rsidRDefault="003F31F4" w:rsidP="00B37B76">
      <w:pPr>
        <w:pStyle w:val="Odsekzoznamu"/>
        <w:numPr>
          <w:ilvl w:val="0"/>
          <w:numId w:val="10"/>
        </w:numPr>
        <w:tabs>
          <w:tab w:val="left" w:pos="142"/>
        </w:tabs>
        <w:spacing w:after="0" w:line="240" w:lineRule="auto"/>
        <w:jc w:val="both"/>
        <w:rPr>
          <w:rFonts w:cstheme="minorHAnsi"/>
          <w:b/>
          <w:bCs/>
          <w:color w:val="000000" w:themeColor="text1"/>
        </w:rPr>
      </w:pPr>
      <w:r w:rsidRPr="00B37B76">
        <w:rPr>
          <w:rFonts w:cstheme="minorHAnsi"/>
          <w:b/>
          <w:bCs/>
          <w:color w:val="000000" w:themeColor="text1"/>
        </w:rPr>
        <w:t xml:space="preserve">K bodu 20 - </w:t>
      </w:r>
      <w:r w:rsidRPr="00B37B76">
        <w:rPr>
          <w:rFonts w:cstheme="minorHAnsi"/>
          <w:b/>
          <w:bCs/>
          <w:color w:val="000000" w:themeColor="text1"/>
        </w:rPr>
        <w:t>§ 18 ods. 11</w:t>
      </w:r>
      <w:r w:rsidR="00256CB6" w:rsidRPr="00B37B76">
        <w:rPr>
          <w:rFonts w:cstheme="minorHAnsi"/>
          <w:b/>
          <w:bCs/>
          <w:color w:val="000000" w:themeColor="text1"/>
        </w:rPr>
        <w:t xml:space="preserve"> - </w:t>
      </w:r>
      <w:r w:rsidR="00256CB6" w:rsidRPr="00B37B76">
        <w:rPr>
          <w:rFonts w:cstheme="minorHAnsi"/>
          <w:b/>
          <w:bCs/>
          <w:color w:val="000000" w:themeColor="text1"/>
          <w:highlight w:val="yellow"/>
        </w:rPr>
        <w:t>zásadná</w:t>
      </w:r>
      <w:r w:rsidRPr="00B37B76">
        <w:rPr>
          <w:rFonts w:cstheme="minorHAnsi"/>
          <w:b/>
          <w:bCs/>
          <w:color w:val="000000" w:themeColor="text1"/>
        </w:rPr>
        <w:tab/>
      </w:r>
    </w:p>
    <w:p w14:paraId="14585E52" w14:textId="72BF6D33" w:rsidR="003F31F4" w:rsidRPr="00B37B76" w:rsidRDefault="003F31F4" w:rsidP="00B37B76">
      <w:pPr>
        <w:tabs>
          <w:tab w:val="left" w:pos="142"/>
        </w:tabs>
        <w:spacing w:after="0" w:line="240" w:lineRule="auto"/>
        <w:jc w:val="both"/>
        <w:rPr>
          <w:rFonts w:cstheme="minorHAnsi"/>
          <w:color w:val="000000" w:themeColor="text1"/>
        </w:rPr>
      </w:pPr>
      <w:r w:rsidRPr="00B37B76">
        <w:rPr>
          <w:rFonts w:cstheme="minorHAnsi"/>
          <w:color w:val="000000" w:themeColor="text1"/>
        </w:rPr>
        <w:t>Navrhujeme za slová</w:t>
      </w:r>
      <w:r w:rsidRPr="00B37B76">
        <w:rPr>
          <w:rFonts w:cstheme="minorHAnsi"/>
          <w:color w:val="000000" w:themeColor="text1"/>
        </w:rPr>
        <w:t xml:space="preserve"> </w:t>
      </w:r>
      <w:r w:rsidRPr="00B37B76">
        <w:rPr>
          <w:rFonts w:cstheme="minorHAnsi"/>
          <w:color w:val="000000" w:themeColor="text1"/>
        </w:rPr>
        <w:t>„</w:t>
      </w:r>
      <w:r w:rsidRPr="00B37B76">
        <w:rPr>
          <w:rFonts w:cstheme="minorHAnsi"/>
          <w:color w:val="000000" w:themeColor="text1"/>
        </w:rPr>
        <w:t>na výzvu správcu dane alebo finančného riaditeľstva</w:t>
      </w:r>
      <w:r w:rsidR="00256CB6" w:rsidRPr="00B37B76">
        <w:rPr>
          <w:rFonts w:cstheme="minorHAnsi"/>
          <w:color w:val="000000" w:themeColor="text1"/>
        </w:rPr>
        <w:t>“</w:t>
      </w:r>
      <w:r w:rsidRPr="00B37B76">
        <w:rPr>
          <w:rFonts w:cstheme="minorHAnsi"/>
          <w:color w:val="000000" w:themeColor="text1"/>
        </w:rPr>
        <w:t xml:space="preserve"> </w:t>
      </w:r>
      <w:r w:rsidR="00256CB6" w:rsidRPr="00B37B76">
        <w:rPr>
          <w:rFonts w:cstheme="minorHAnsi"/>
          <w:color w:val="000000" w:themeColor="text1"/>
        </w:rPr>
        <w:t>v</w:t>
      </w:r>
      <w:r w:rsidRPr="00B37B76">
        <w:rPr>
          <w:rFonts w:cstheme="minorHAnsi"/>
          <w:color w:val="000000" w:themeColor="text1"/>
        </w:rPr>
        <w:t>ložiť slová</w:t>
      </w:r>
      <w:r w:rsidRPr="00B37B76">
        <w:rPr>
          <w:rFonts w:cstheme="minorHAnsi"/>
          <w:color w:val="000000" w:themeColor="text1"/>
        </w:rPr>
        <w:t xml:space="preserve"> </w:t>
      </w:r>
      <w:r w:rsidRPr="00B37B76">
        <w:rPr>
          <w:rFonts w:cstheme="minorHAnsi"/>
          <w:color w:val="000000" w:themeColor="text1"/>
        </w:rPr>
        <w:t>„</w:t>
      </w:r>
      <w:r w:rsidRPr="00B37B76">
        <w:rPr>
          <w:rFonts w:cstheme="minorHAnsi"/>
          <w:color w:val="000000" w:themeColor="text1"/>
        </w:rPr>
        <w:t>v odôvodnených prípadoch</w:t>
      </w:r>
      <w:r w:rsidRPr="00B37B76">
        <w:rPr>
          <w:rFonts w:cstheme="minorHAnsi"/>
          <w:color w:val="000000" w:themeColor="text1"/>
        </w:rPr>
        <w:t>“</w:t>
      </w:r>
      <w:r w:rsidRPr="00B37B76">
        <w:rPr>
          <w:rFonts w:cstheme="minorHAnsi"/>
          <w:color w:val="000000" w:themeColor="text1"/>
        </w:rPr>
        <w:t xml:space="preserve"> </w:t>
      </w:r>
    </w:p>
    <w:p w14:paraId="285DE6C9" w14:textId="77777777" w:rsidR="003F31F4" w:rsidRPr="00B37B76" w:rsidRDefault="003F31F4"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Alternatívne navrhujeme slová „predloží dokumentáciu do 15 dní od doručenia výzvy aj v štátnom jazyku.“ nahradiť slovami „predloží dokumentáciu na základe doručenia výzvy aj v štátnom jazyku“. </w:t>
      </w:r>
    </w:p>
    <w:p w14:paraId="4AFA790C" w14:textId="047B3DA9" w:rsidR="003F31F4" w:rsidRPr="00B37B76" w:rsidRDefault="003F31F4" w:rsidP="00B37B76">
      <w:pPr>
        <w:tabs>
          <w:tab w:val="left" w:pos="142"/>
        </w:tabs>
        <w:spacing w:after="0" w:line="240" w:lineRule="auto"/>
        <w:jc w:val="both"/>
        <w:rPr>
          <w:rFonts w:cstheme="minorHAnsi"/>
          <w:color w:val="000000" w:themeColor="text1"/>
          <w:u w:val="single"/>
        </w:rPr>
      </w:pPr>
      <w:r w:rsidRPr="00B37B76">
        <w:rPr>
          <w:rFonts w:cstheme="minorHAnsi"/>
          <w:color w:val="000000" w:themeColor="text1"/>
          <w:u w:val="single"/>
        </w:rPr>
        <w:t>Odôvodnenie:</w:t>
      </w:r>
    </w:p>
    <w:p w14:paraId="5B138AB1" w14:textId="3ABDD4AC" w:rsidR="003F31F4" w:rsidRPr="00B37B76" w:rsidRDefault="003F31F4" w:rsidP="009B3BE0">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Navrhujeme obmedziť požiadavku na predloženie v štátnom jazyku na odôvodnené prípady (napr. daňovo nespoľahlivé subjekty) – zvýšenie právnej istoty daňovníka, výrazné zníženie administratívnej náročnosti. </w:t>
      </w:r>
    </w:p>
    <w:p w14:paraId="17BC7FAC" w14:textId="77777777" w:rsidR="003F31F4" w:rsidRPr="00B37B76" w:rsidRDefault="003F31F4"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Upozorňujeme, že v prípade niektorých spoločností môže byť dokumentácia rozsiahla a objektívne nebude možné dodržať lehotu 15 dní. Pokiaľ ale bude táto lehota daná zákonom, nebude mať daňovník možnosť sa so správcom dane dohodnúť na lehote dlhšej ako 15 dní.  </w:t>
      </w:r>
    </w:p>
    <w:p w14:paraId="1D27218B" w14:textId="6C869D18" w:rsidR="003F31F4" w:rsidRPr="00B37B76" w:rsidRDefault="003F31F4" w:rsidP="00B37B76">
      <w:pPr>
        <w:tabs>
          <w:tab w:val="left" w:pos="142"/>
        </w:tabs>
        <w:spacing w:after="0" w:line="240" w:lineRule="auto"/>
        <w:jc w:val="both"/>
        <w:rPr>
          <w:rFonts w:cstheme="minorHAnsi"/>
          <w:color w:val="000000" w:themeColor="text1"/>
        </w:rPr>
      </w:pPr>
      <w:r w:rsidRPr="00B37B76">
        <w:rPr>
          <w:rFonts w:cstheme="minorHAnsi"/>
          <w:color w:val="000000" w:themeColor="text1"/>
        </w:rPr>
        <w:t>Alternatívne odporúčame</w:t>
      </w:r>
      <w:r w:rsidRPr="00B37B76">
        <w:rPr>
          <w:rFonts w:cstheme="minorHAnsi"/>
          <w:color w:val="000000" w:themeColor="text1"/>
        </w:rPr>
        <w:t xml:space="preserve"> naviazať na inštitút indexu daňovej spoľahlivosti (povinnosť predkladať dokumentáciu v štátnom jazyku v prípade daňovo nespoľahlivých subjektov).</w:t>
      </w:r>
    </w:p>
    <w:p w14:paraId="70AED743" w14:textId="284E72B7" w:rsidR="003F31F4" w:rsidRPr="00B37B76" w:rsidRDefault="003F31F4" w:rsidP="00B37B76">
      <w:pPr>
        <w:tabs>
          <w:tab w:val="left" w:pos="142"/>
        </w:tabs>
        <w:spacing w:after="0" w:line="240" w:lineRule="auto"/>
        <w:jc w:val="both"/>
        <w:rPr>
          <w:rFonts w:cstheme="minorHAnsi"/>
          <w:color w:val="000000" w:themeColor="text1"/>
        </w:rPr>
      </w:pPr>
      <w:r w:rsidRPr="00B37B76">
        <w:rPr>
          <w:rFonts w:cstheme="minorHAnsi"/>
          <w:color w:val="000000" w:themeColor="text1"/>
        </w:rPr>
        <w:t xml:space="preserve">Následne je možné určiť samostatne lehoty podľa indexu daňovej spoľahlivosti – najspoľahlivejším subjektom napr. 30 dní (ak pôjde o veľký rozsah) a menej spoľahlivými subjektom nižší počet dní. </w:t>
      </w:r>
    </w:p>
    <w:p w14:paraId="399C30A3" w14:textId="77777777" w:rsidR="003F31F4" w:rsidRPr="00B37B76" w:rsidRDefault="003F31F4" w:rsidP="00B37B76">
      <w:pPr>
        <w:pStyle w:val="Odsekzoznamu"/>
        <w:tabs>
          <w:tab w:val="left" w:pos="142"/>
        </w:tabs>
        <w:spacing w:after="0" w:line="240" w:lineRule="auto"/>
        <w:jc w:val="both"/>
        <w:rPr>
          <w:rFonts w:cstheme="minorHAnsi"/>
          <w:b/>
          <w:bCs/>
          <w:color w:val="000000" w:themeColor="text1"/>
        </w:rPr>
      </w:pPr>
    </w:p>
    <w:p w14:paraId="26E24876" w14:textId="74F2DAFA" w:rsidR="00156170" w:rsidRPr="00B37B76" w:rsidRDefault="00156170" w:rsidP="00B37B76">
      <w:pPr>
        <w:pStyle w:val="Odsekzoznamu"/>
        <w:numPr>
          <w:ilvl w:val="0"/>
          <w:numId w:val="10"/>
        </w:numPr>
        <w:tabs>
          <w:tab w:val="left" w:pos="142"/>
        </w:tabs>
        <w:spacing w:after="0" w:line="240" w:lineRule="auto"/>
        <w:jc w:val="both"/>
        <w:rPr>
          <w:rFonts w:cstheme="minorHAnsi"/>
          <w:b/>
          <w:bCs/>
          <w:color w:val="000000" w:themeColor="text1"/>
        </w:rPr>
      </w:pPr>
      <w:r w:rsidRPr="00B37B76">
        <w:rPr>
          <w:rFonts w:cstheme="minorHAnsi"/>
          <w:b/>
          <w:bCs/>
          <w:color w:val="000000" w:themeColor="text1"/>
        </w:rPr>
        <w:t xml:space="preserve">K bodu 38 </w:t>
      </w:r>
      <w:r w:rsidR="00BA6F08" w:rsidRPr="00D3717C">
        <w:rPr>
          <w:rFonts w:cstheme="minorHAnsi"/>
          <w:color w:val="000000" w:themeColor="text1"/>
        </w:rPr>
        <w:t xml:space="preserve">- </w:t>
      </w:r>
      <w:r w:rsidR="00D3717C" w:rsidRPr="00D3717C">
        <w:rPr>
          <w:rFonts w:cstheme="minorHAnsi"/>
          <w:color w:val="000000" w:themeColor="text1"/>
        </w:rPr>
        <w:t>§ 52zzn ods</w:t>
      </w:r>
      <w:r w:rsidR="00D3717C" w:rsidRPr="00D3717C">
        <w:rPr>
          <w:rFonts w:cstheme="minorHAnsi"/>
          <w:color w:val="000000" w:themeColor="text1"/>
        </w:rPr>
        <w:t xml:space="preserve">ek </w:t>
      </w:r>
      <w:r w:rsidR="00D3717C" w:rsidRPr="00D3717C">
        <w:rPr>
          <w:rFonts w:cstheme="minorHAnsi"/>
          <w:color w:val="000000" w:themeColor="text1"/>
        </w:rPr>
        <w:t>1</w:t>
      </w:r>
      <w:r w:rsidR="00D3717C" w:rsidRPr="00B37B76">
        <w:rPr>
          <w:rFonts w:cstheme="minorHAnsi"/>
          <w:color w:val="000000" w:themeColor="text1"/>
        </w:rPr>
        <w:t xml:space="preserve"> </w:t>
      </w:r>
      <w:r w:rsidR="00D3717C">
        <w:rPr>
          <w:rFonts w:cstheme="minorHAnsi"/>
          <w:color w:val="000000" w:themeColor="text1"/>
        </w:rPr>
        <w:t xml:space="preserve">- </w:t>
      </w:r>
      <w:r w:rsidR="00BA6F08" w:rsidRPr="00B37B76">
        <w:rPr>
          <w:rFonts w:cstheme="minorHAnsi"/>
          <w:b/>
          <w:bCs/>
          <w:color w:val="000000" w:themeColor="text1"/>
          <w:highlight w:val="yellow"/>
        </w:rPr>
        <w:t>zásadná</w:t>
      </w:r>
    </w:p>
    <w:p w14:paraId="5FD3847C" w14:textId="6A1586EA" w:rsidR="0015456B" w:rsidRPr="00B37B76" w:rsidRDefault="00D3717C" w:rsidP="00D3717C">
      <w:pPr>
        <w:tabs>
          <w:tab w:val="left" w:pos="0"/>
        </w:tabs>
        <w:spacing w:after="0" w:line="240" w:lineRule="auto"/>
        <w:ind w:left="-360"/>
        <w:jc w:val="both"/>
        <w:rPr>
          <w:rFonts w:cstheme="minorHAnsi"/>
          <w:color w:val="000000" w:themeColor="text1"/>
        </w:rPr>
      </w:pPr>
      <w:r>
        <w:rPr>
          <w:rFonts w:cstheme="minorHAnsi"/>
          <w:b/>
          <w:bCs/>
          <w:color w:val="000000" w:themeColor="text1"/>
        </w:rPr>
        <w:tab/>
      </w:r>
      <w:r w:rsidR="0015456B" w:rsidRPr="00B37B76">
        <w:rPr>
          <w:rFonts w:cstheme="minorHAnsi"/>
          <w:color w:val="000000" w:themeColor="text1"/>
        </w:rPr>
        <w:t xml:space="preserve">Navrhujeme </w:t>
      </w:r>
      <w:r>
        <w:rPr>
          <w:rFonts w:cstheme="minorHAnsi"/>
          <w:color w:val="000000" w:themeColor="text1"/>
        </w:rPr>
        <w:t>nové</w:t>
      </w:r>
      <w:r w:rsidR="00D30258" w:rsidRPr="00B37B76">
        <w:rPr>
          <w:rFonts w:cstheme="minorHAnsi"/>
          <w:color w:val="000000" w:themeColor="text1"/>
        </w:rPr>
        <w:t xml:space="preserve"> znenie</w:t>
      </w:r>
      <w:r>
        <w:rPr>
          <w:rFonts w:cstheme="minorHAnsi"/>
          <w:color w:val="000000" w:themeColor="text1"/>
        </w:rPr>
        <w:t xml:space="preserve"> odseku 1 v</w:t>
      </w:r>
      <w:r w:rsidR="00D30258" w:rsidRPr="00B37B76">
        <w:rPr>
          <w:rFonts w:cstheme="minorHAnsi"/>
          <w:color w:val="000000" w:themeColor="text1"/>
        </w:rPr>
        <w:t xml:space="preserve"> </w:t>
      </w:r>
      <w:r w:rsidR="00156170" w:rsidRPr="00B37B76">
        <w:rPr>
          <w:rFonts w:cstheme="minorHAnsi"/>
          <w:color w:val="000000" w:themeColor="text1"/>
        </w:rPr>
        <w:t>§ 52zzn:</w:t>
      </w:r>
    </w:p>
    <w:p w14:paraId="3EADFB8A" w14:textId="5D530DB6" w:rsidR="0015456B" w:rsidRPr="00B37B76" w:rsidRDefault="00D940CB" w:rsidP="00B37B76">
      <w:pPr>
        <w:tabs>
          <w:tab w:val="left" w:pos="851"/>
        </w:tabs>
        <w:spacing w:after="0" w:line="240" w:lineRule="auto"/>
        <w:jc w:val="both"/>
        <w:rPr>
          <w:rFonts w:cstheme="minorHAnsi"/>
        </w:rPr>
      </w:pPr>
      <w:r w:rsidRPr="00B37B76">
        <w:rPr>
          <w:rFonts w:eastAsia="Times New Roman" w:cstheme="minorHAnsi"/>
          <w:bCs/>
          <w:kern w:val="36"/>
          <w:lang w:eastAsia="cs-CZ"/>
        </w:rPr>
        <w:t>„</w:t>
      </w:r>
      <w:r w:rsidR="00D3717C">
        <w:rPr>
          <w:rFonts w:eastAsia="Times New Roman" w:cstheme="minorHAnsi"/>
          <w:bCs/>
          <w:kern w:val="36"/>
          <w:lang w:eastAsia="cs-CZ"/>
        </w:rPr>
        <w:t xml:space="preserve">(1) </w:t>
      </w:r>
      <w:r w:rsidR="0015456B" w:rsidRPr="00B37B76">
        <w:rPr>
          <w:rFonts w:eastAsia="Times New Roman" w:cstheme="minorHAnsi"/>
          <w:bCs/>
          <w:kern w:val="36"/>
          <w:lang w:eastAsia="cs-CZ"/>
        </w:rPr>
        <w:t xml:space="preserve">Úpravy </w:t>
      </w:r>
      <w:r w:rsidR="0015456B" w:rsidRPr="00B37B76">
        <w:rPr>
          <w:rFonts w:cstheme="minorHAnsi"/>
        </w:rPr>
        <w:t>základu</w:t>
      </w:r>
      <w:r w:rsidR="0015456B" w:rsidRPr="00B37B76">
        <w:rPr>
          <w:rFonts w:eastAsia="Times New Roman" w:cstheme="minorHAnsi"/>
          <w:bCs/>
          <w:kern w:val="36"/>
          <w:lang w:eastAsia="cs-CZ"/>
        </w:rPr>
        <w:t xml:space="preserve"> dane podľa § 17 ods. 2 písm. d), ktoré vyplývajú z implementácie medzinárodných štandardov pre finančné výkazníctvo IFRS 17 a IFRS 9 poisťovňou, pobočkou poisťovne iného členského štátu, pobočkou zahraničnej poisťovne,  sa zahrnú do základu dane rovnomerne počnúc zdaňovacím obdobím, ktoré začína najskôr 1. januára 2023, najneskôr však do konca štvrtého zdaňovacieho obdobia, ktoré nasleduje po zdaňovacom období, ktoré začalo najskôr 1. januára 2023</w:t>
      </w:r>
      <w:r w:rsidR="00B27DF5" w:rsidRPr="00B37B76">
        <w:rPr>
          <w:rFonts w:eastAsia="Times New Roman" w:cstheme="minorHAnsi"/>
          <w:bCs/>
          <w:kern w:val="36"/>
          <w:lang w:eastAsia="cs-CZ"/>
        </w:rPr>
        <w:t xml:space="preserve">, pričom na </w:t>
      </w:r>
      <w:r w:rsidR="00A94C16" w:rsidRPr="00B37B76">
        <w:rPr>
          <w:rFonts w:eastAsia="Times New Roman" w:cstheme="minorHAnsi"/>
          <w:bCs/>
          <w:kern w:val="36"/>
          <w:lang w:eastAsia="cs-CZ"/>
        </w:rPr>
        <w:lastRenderedPageBreak/>
        <w:t xml:space="preserve">zrušenie </w:t>
      </w:r>
      <w:r w:rsidR="00B27DF5" w:rsidRPr="00B37B76">
        <w:rPr>
          <w:rFonts w:eastAsia="Times New Roman" w:cstheme="minorHAnsi"/>
          <w:bCs/>
          <w:kern w:val="36"/>
          <w:lang w:eastAsia="cs-CZ"/>
        </w:rPr>
        <w:t xml:space="preserve"> technických rezerv tvorených k 31. decembru 2022 sa </w:t>
      </w:r>
      <w:r w:rsidR="00A94C16" w:rsidRPr="00B37B76">
        <w:rPr>
          <w:rFonts w:eastAsia="Times New Roman" w:cstheme="minorHAnsi"/>
          <w:bCs/>
          <w:kern w:val="36"/>
          <w:lang w:eastAsia="cs-CZ"/>
        </w:rPr>
        <w:t xml:space="preserve">nebude aplikovať </w:t>
      </w:r>
      <w:r w:rsidR="00B27DF5" w:rsidRPr="00B37B76">
        <w:rPr>
          <w:rFonts w:eastAsia="Times New Roman" w:cstheme="minorHAnsi"/>
          <w:bCs/>
          <w:kern w:val="36"/>
          <w:lang w:eastAsia="cs-CZ"/>
        </w:rPr>
        <w:t>ustanoveni</w:t>
      </w:r>
      <w:r w:rsidR="003C0043" w:rsidRPr="00B37B76">
        <w:rPr>
          <w:rFonts w:eastAsia="Times New Roman" w:cstheme="minorHAnsi"/>
          <w:bCs/>
          <w:kern w:val="36"/>
          <w:lang w:eastAsia="cs-CZ"/>
        </w:rPr>
        <w:t>e</w:t>
      </w:r>
      <w:r w:rsidR="00B27DF5" w:rsidRPr="00B37B76">
        <w:rPr>
          <w:rFonts w:eastAsia="Times New Roman" w:cstheme="minorHAnsi"/>
          <w:bCs/>
          <w:kern w:val="36"/>
          <w:lang w:eastAsia="cs-CZ"/>
        </w:rPr>
        <w:t xml:space="preserve"> </w:t>
      </w:r>
      <w:r w:rsidR="0015456B" w:rsidRPr="00B37B76">
        <w:rPr>
          <w:rFonts w:eastAsia="Times New Roman" w:cstheme="minorHAnsi"/>
          <w:bCs/>
          <w:kern w:val="36"/>
          <w:lang w:eastAsia="cs-CZ"/>
        </w:rPr>
        <w:t>§ 17 odsek 15</w:t>
      </w:r>
      <w:r w:rsidR="00B27DF5" w:rsidRPr="00B37B76">
        <w:rPr>
          <w:rFonts w:eastAsia="Times New Roman" w:cstheme="minorHAnsi"/>
          <w:bCs/>
          <w:kern w:val="36"/>
          <w:lang w:eastAsia="cs-CZ"/>
        </w:rPr>
        <w:t>.</w:t>
      </w:r>
      <w:r w:rsidRPr="00B37B76">
        <w:rPr>
          <w:rFonts w:eastAsia="Times New Roman" w:cstheme="minorHAnsi"/>
          <w:bCs/>
          <w:kern w:val="36"/>
          <w:lang w:eastAsia="cs-CZ"/>
        </w:rPr>
        <w:t>“</w:t>
      </w:r>
    </w:p>
    <w:p w14:paraId="114821E8" w14:textId="77777777" w:rsidR="0015456B" w:rsidRPr="00B37B76" w:rsidRDefault="0015456B" w:rsidP="00B37B76">
      <w:pPr>
        <w:spacing w:after="0" w:line="240" w:lineRule="auto"/>
        <w:jc w:val="both"/>
        <w:rPr>
          <w:rFonts w:cstheme="minorHAnsi"/>
          <w:u w:val="single"/>
        </w:rPr>
      </w:pPr>
      <w:r w:rsidRPr="00B37B76">
        <w:rPr>
          <w:rFonts w:cstheme="minorHAnsi"/>
          <w:u w:val="single"/>
        </w:rPr>
        <w:t>Odôvodnenie:</w:t>
      </w:r>
    </w:p>
    <w:p w14:paraId="27570CEE" w14:textId="5C9A2492" w:rsidR="00A94C16" w:rsidRPr="00B37B76" w:rsidRDefault="00C705AB" w:rsidP="00B37B76">
      <w:pPr>
        <w:spacing w:after="0" w:line="240" w:lineRule="auto"/>
        <w:jc w:val="both"/>
        <w:rPr>
          <w:rFonts w:cstheme="minorHAnsi"/>
          <w:color w:val="000000" w:themeColor="text1"/>
        </w:rPr>
      </w:pPr>
      <w:r w:rsidRPr="00B37B76">
        <w:rPr>
          <w:rFonts w:cstheme="minorHAnsi"/>
          <w:color w:val="000000" w:themeColor="text1"/>
        </w:rPr>
        <w:t xml:space="preserve">Vzhľadom k tomu, že pri prvotnom uplatnení medzinárodných účtovných štandardov IAS/IFRS poisťovňami a zaisťovňami bola zmena z dôvodu zmeny účtovnej metódy zahrnutá do základu dane v priebehu piatich zdaňovacích období </w:t>
      </w:r>
      <w:r w:rsidRPr="00B37B76">
        <w:rPr>
          <w:rFonts w:cstheme="minorHAnsi"/>
          <w:i/>
          <w:iCs/>
          <w:color w:val="000000" w:themeColor="text1"/>
          <w:lang w:val="en-US"/>
        </w:rPr>
        <w:t>(</w:t>
      </w:r>
      <w:r w:rsidRPr="00B37B76">
        <w:rPr>
          <w:rFonts w:cstheme="minorHAnsi"/>
          <w:i/>
          <w:iCs/>
          <w:color w:val="000000" w:themeColor="text1"/>
        </w:rPr>
        <w:t>§ 10 Opatrenie MF 011053/2006-72 – tzv. prevodového mostíka)</w:t>
      </w:r>
      <w:r w:rsidRPr="00B37B76">
        <w:rPr>
          <w:rFonts w:cstheme="minorHAnsi"/>
          <w:color w:val="000000" w:themeColor="text1"/>
        </w:rPr>
        <w:t xml:space="preserve">, navrhujeme aby aj zmena účtovnej metódy z dôvodu prechodu na štandard IFRS 17 a IFRS 9 bola rovnako zahrnutá v priebehu </w:t>
      </w:r>
      <w:r w:rsidRPr="00B37B76">
        <w:rPr>
          <w:rFonts w:cstheme="minorHAnsi"/>
          <w:b/>
          <w:bCs/>
          <w:color w:val="000000" w:themeColor="text1"/>
        </w:rPr>
        <w:t xml:space="preserve">piatich </w:t>
      </w:r>
      <w:r w:rsidRPr="00B37B76">
        <w:rPr>
          <w:rFonts w:cstheme="minorHAnsi"/>
          <w:color w:val="000000" w:themeColor="text1"/>
        </w:rPr>
        <w:t xml:space="preserve">zdaňovacích období. </w:t>
      </w:r>
      <w:r w:rsidR="00A94C16" w:rsidRPr="00B37B76">
        <w:rPr>
          <w:rFonts w:cstheme="minorHAnsi"/>
          <w:color w:val="000000" w:themeColor="text1"/>
        </w:rPr>
        <w:t xml:space="preserve">Vzhľadom na to, že rozsah zmien v účtovníctve poisťovní bude pri implementácii IFRS 17 a IFRS 9 podobný, ako pri </w:t>
      </w:r>
      <w:r w:rsidR="00743918" w:rsidRPr="00B37B76">
        <w:rPr>
          <w:rFonts w:cstheme="minorHAnsi"/>
          <w:color w:val="000000" w:themeColor="text1"/>
        </w:rPr>
        <w:t>zavedení medzinárodných štandardov, navrhujeme aby aj v tomto prípade bolo použité prechodné obdobie v trvaní 5 rokov. Rovnako dlhé prechodné obdobie je uvedené aj v §52 odsek 11.</w:t>
      </w:r>
    </w:p>
    <w:p w14:paraId="06802D5E" w14:textId="274759A1" w:rsidR="00BA6F08" w:rsidRDefault="00C705AB" w:rsidP="00B37B76">
      <w:pPr>
        <w:spacing w:after="0" w:line="240" w:lineRule="auto"/>
        <w:jc w:val="both"/>
        <w:rPr>
          <w:rFonts w:cstheme="minorHAnsi"/>
          <w:color w:val="000000" w:themeColor="text1"/>
        </w:rPr>
      </w:pPr>
      <w:r w:rsidRPr="00B37B76">
        <w:rPr>
          <w:rFonts w:cstheme="minorHAnsi"/>
          <w:color w:val="000000" w:themeColor="text1"/>
        </w:rPr>
        <w:t xml:space="preserve">Tiež navrhujeme doplniť do zákona, že ustanovenie § 17 odsek 15 sa nebude vzťahovať na zrušenie technických rezerv zaúčtovaných k 31. decembru 2022 z dôvodu prechodu na nový štandard IFRS 17. </w:t>
      </w:r>
      <w:r w:rsidR="00B27DF5" w:rsidRPr="00B37B76">
        <w:rPr>
          <w:rFonts w:cstheme="minorHAnsi"/>
          <w:color w:val="000000" w:themeColor="text1"/>
        </w:rPr>
        <w:t xml:space="preserve">Rozumieme, že úmyslom zákonodarcu je </w:t>
      </w:r>
      <w:r w:rsidR="003D56F7" w:rsidRPr="00B37B76">
        <w:rPr>
          <w:rFonts w:cstheme="minorHAnsi"/>
          <w:color w:val="000000" w:themeColor="text1"/>
        </w:rPr>
        <w:t>zdanenie</w:t>
      </w:r>
      <w:r w:rsidR="00B27DF5" w:rsidRPr="00B37B76">
        <w:rPr>
          <w:rFonts w:cstheme="minorHAnsi"/>
          <w:color w:val="000000" w:themeColor="text1"/>
        </w:rPr>
        <w:t xml:space="preserve"> rozdielu vyplývajúceho z </w:t>
      </w:r>
      <w:r w:rsidR="002A4E1A" w:rsidRPr="00B37B76">
        <w:rPr>
          <w:rFonts w:cstheme="minorHAnsi"/>
          <w:color w:val="000000" w:themeColor="text1"/>
        </w:rPr>
        <w:t>implementácie</w:t>
      </w:r>
      <w:r w:rsidR="00B27DF5" w:rsidRPr="00B37B76">
        <w:rPr>
          <w:rFonts w:cstheme="minorHAnsi"/>
          <w:color w:val="000000" w:themeColor="text1"/>
        </w:rPr>
        <w:t xml:space="preserve"> štandard</w:t>
      </w:r>
      <w:r w:rsidR="002A4E1A" w:rsidRPr="00B37B76">
        <w:rPr>
          <w:rFonts w:cstheme="minorHAnsi"/>
          <w:color w:val="000000" w:themeColor="text1"/>
        </w:rPr>
        <w:t>u</w:t>
      </w:r>
      <w:r w:rsidR="00B27DF5" w:rsidRPr="00B37B76">
        <w:rPr>
          <w:rFonts w:cstheme="minorHAnsi"/>
          <w:color w:val="000000" w:themeColor="text1"/>
        </w:rPr>
        <w:t xml:space="preserve"> IFRS 17 a IFRS 9 v priebehu niekoľkých zdaňovacích období. Vzhľadom však k tomu, že zákon o dani z príjmov obsahuje </w:t>
      </w:r>
      <w:r w:rsidRPr="00B37B76">
        <w:rPr>
          <w:rFonts w:cstheme="minorHAnsi"/>
          <w:color w:val="000000" w:themeColor="text1"/>
        </w:rPr>
        <w:t>špecifické</w:t>
      </w:r>
      <w:r w:rsidR="00B25EC1" w:rsidRPr="00B37B76">
        <w:rPr>
          <w:rFonts w:cstheme="minorHAnsi"/>
          <w:color w:val="000000" w:themeColor="text1"/>
        </w:rPr>
        <w:t xml:space="preserve"> </w:t>
      </w:r>
      <w:r w:rsidR="00B27DF5" w:rsidRPr="00B37B76">
        <w:rPr>
          <w:rFonts w:cstheme="minorHAnsi"/>
          <w:color w:val="000000" w:themeColor="text1"/>
        </w:rPr>
        <w:t>ustanovenie</w:t>
      </w:r>
      <w:r w:rsidR="002A4E1A" w:rsidRPr="00B37B76">
        <w:rPr>
          <w:rFonts w:cstheme="minorHAnsi"/>
          <w:color w:val="000000" w:themeColor="text1"/>
        </w:rPr>
        <w:t>, podľa ktorého sa v prípade z</w:t>
      </w:r>
      <w:r w:rsidR="00B27DF5" w:rsidRPr="00B37B76">
        <w:rPr>
          <w:rFonts w:cstheme="minorHAnsi"/>
          <w:color w:val="000000" w:themeColor="text1"/>
        </w:rPr>
        <w:t>rušenia rezerv na účet nerozdeleného zisku minulých rokov, ktorých tvorba bola uznaná za daňový výdavok</w:t>
      </w:r>
      <w:r w:rsidR="002A4E1A" w:rsidRPr="00B37B76">
        <w:rPr>
          <w:rFonts w:cstheme="minorHAnsi"/>
          <w:color w:val="000000" w:themeColor="text1"/>
        </w:rPr>
        <w:t xml:space="preserve"> tieto dodania v danom zdaňovacom období</w:t>
      </w:r>
      <w:r w:rsidR="00B27DF5" w:rsidRPr="00B37B76">
        <w:rPr>
          <w:rFonts w:cstheme="minorHAnsi"/>
          <w:color w:val="000000" w:themeColor="text1"/>
        </w:rPr>
        <w:t xml:space="preserve">, navrhujeme z dôvodu väčšej právnej istoty priamo v zákone definovať, že toto ustanovenie nebude v prípade </w:t>
      </w:r>
      <w:r w:rsidR="002A4E1A" w:rsidRPr="00B37B76">
        <w:rPr>
          <w:rFonts w:cstheme="minorHAnsi"/>
          <w:color w:val="000000" w:themeColor="text1"/>
        </w:rPr>
        <w:t>implementácie</w:t>
      </w:r>
      <w:r w:rsidR="00B27DF5" w:rsidRPr="00B37B76">
        <w:rPr>
          <w:rFonts w:cstheme="minorHAnsi"/>
          <w:color w:val="000000" w:themeColor="text1"/>
        </w:rPr>
        <w:t xml:space="preserve"> štandard</w:t>
      </w:r>
      <w:r w:rsidR="002A4E1A" w:rsidRPr="00B37B76">
        <w:rPr>
          <w:rFonts w:cstheme="minorHAnsi"/>
          <w:color w:val="000000" w:themeColor="text1"/>
        </w:rPr>
        <w:t>u</w:t>
      </w:r>
      <w:r w:rsidR="00B27DF5" w:rsidRPr="00B37B76">
        <w:rPr>
          <w:rFonts w:cstheme="minorHAnsi"/>
          <w:color w:val="000000" w:themeColor="text1"/>
        </w:rPr>
        <w:t xml:space="preserve"> IFRS 17 a IFRS 9 použit</w:t>
      </w:r>
      <w:r w:rsidR="002A4E1A" w:rsidRPr="00B37B76">
        <w:rPr>
          <w:rFonts w:cstheme="minorHAnsi"/>
          <w:color w:val="000000" w:themeColor="text1"/>
        </w:rPr>
        <w:t xml:space="preserve">é. </w:t>
      </w:r>
    </w:p>
    <w:p w14:paraId="774636E6" w14:textId="77777777" w:rsidR="00A74602" w:rsidRPr="00B37B76" w:rsidRDefault="00A74602" w:rsidP="00B37B76">
      <w:pPr>
        <w:spacing w:after="0" w:line="240" w:lineRule="auto"/>
        <w:jc w:val="both"/>
        <w:rPr>
          <w:rFonts w:cstheme="minorHAnsi"/>
          <w:color w:val="000000" w:themeColor="text1"/>
        </w:rPr>
      </w:pPr>
    </w:p>
    <w:p w14:paraId="30944F21" w14:textId="7E1BC607" w:rsidR="00972C95" w:rsidRPr="00B37B76" w:rsidRDefault="00A74602" w:rsidP="00B37B76">
      <w:pPr>
        <w:spacing w:after="0" w:line="240" w:lineRule="auto"/>
        <w:jc w:val="both"/>
        <w:rPr>
          <w:rFonts w:cstheme="minorHAnsi"/>
          <w:b/>
          <w:bCs/>
          <w:color w:val="000000"/>
        </w:rPr>
      </w:pPr>
      <w:r>
        <w:rPr>
          <w:rFonts w:cstheme="minorHAnsi"/>
          <w:b/>
          <w:bCs/>
          <w:color w:val="000000"/>
        </w:rPr>
        <w:t>10</w:t>
      </w:r>
      <w:r w:rsidR="00972C95" w:rsidRPr="00B37B76">
        <w:rPr>
          <w:rFonts w:cstheme="minorHAnsi"/>
          <w:b/>
          <w:bCs/>
          <w:color w:val="000000"/>
        </w:rPr>
        <w:t xml:space="preserve">.  K  bodu 23 - § 20 ods. 8 </w:t>
      </w:r>
      <w:r w:rsidR="00972C95" w:rsidRPr="00B37B76">
        <w:rPr>
          <w:rFonts w:cstheme="minorHAnsi"/>
          <w:b/>
          <w:bCs/>
        </w:rPr>
        <w:t>–</w:t>
      </w:r>
      <w:r w:rsidR="00972C95" w:rsidRPr="00B37B76">
        <w:rPr>
          <w:rFonts w:cstheme="minorHAnsi"/>
          <w:b/>
          <w:bCs/>
          <w:color w:val="000000"/>
        </w:rPr>
        <w:t xml:space="preserve"> </w:t>
      </w:r>
      <w:r w:rsidR="00972C95" w:rsidRPr="00A74602">
        <w:rPr>
          <w:rFonts w:cstheme="minorHAnsi"/>
          <w:b/>
          <w:bCs/>
          <w:color w:val="000000"/>
          <w:highlight w:val="yellow"/>
        </w:rPr>
        <w:t>zásadná</w:t>
      </w:r>
    </w:p>
    <w:p w14:paraId="44AC7071" w14:textId="77777777" w:rsidR="00972C95" w:rsidRPr="00A74602" w:rsidRDefault="00972C95" w:rsidP="00B37B76">
      <w:pPr>
        <w:spacing w:after="0" w:line="240" w:lineRule="auto"/>
        <w:jc w:val="both"/>
        <w:rPr>
          <w:rFonts w:cstheme="minorHAnsi"/>
        </w:rPr>
      </w:pPr>
      <w:r w:rsidRPr="00A74602">
        <w:rPr>
          <w:rFonts w:cstheme="minorHAnsi"/>
        </w:rPr>
        <w:t xml:space="preserve">Navrhujeme, aby súčasťou predloženého návrhu zákona bol v zmysle zákona č. 400/2015 </w:t>
      </w:r>
      <w:proofErr w:type="spellStart"/>
      <w:r w:rsidRPr="00A74602">
        <w:rPr>
          <w:rFonts w:cstheme="minorHAnsi"/>
        </w:rPr>
        <w:t>Z.z</w:t>
      </w:r>
      <w:proofErr w:type="spellEnd"/>
      <w:r w:rsidRPr="00A74602">
        <w:rPr>
          <w:rFonts w:cstheme="minorHAnsi"/>
        </w:rPr>
        <w:t>. o tvorbe právnych predpisov a o Zbierke zákonov SR návrh novely opatrenia MF 011053/2006-72.</w:t>
      </w:r>
    </w:p>
    <w:p w14:paraId="26627585" w14:textId="77777777" w:rsidR="00972C95" w:rsidRPr="00B37B76" w:rsidRDefault="00972C95" w:rsidP="00B37B76">
      <w:pPr>
        <w:spacing w:after="0" w:line="240" w:lineRule="auto"/>
        <w:jc w:val="both"/>
        <w:rPr>
          <w:rFonts w:cstheme="minorHAnsi"/>
          <w:u w:val="single"/>
        </w:rPr>
      </w:pPr>
      <w:r w:rsidRPr="00B37B76">
        <w:rPr>
          <w:rFonts w:cstheme="minorHAnsi"/>
          <w:u w:val="single"/>
        </w:rPr>
        <w:t>Odôvodnenie:</w:t>
      </w:r>
    </w:p>
    <w:p w14:paraId="43B13586" w14:textId="6554D2B7" w:rsidR="009A1578" w:rsidRPr="00B37B76" w:rsidRDefault="00972C95" w:rsidP="00B37B76">
      <w:pPr>
        <w:spacing w:after="0" w:line="240" w:lineRule="auto"/>
        <w:jc w:val="both"/>
        <w:rPr>
          <w:rFonts w:cstheme="minorHAnsi"/>
          <w:color w:val="000000"/>
        </w:rPr>
      </w:pPr>
      <w:r w:rsidRPr="00B37B76">
        <w:rPr>
          <w:rFonts w:cstheme="minorHAnsi"/>
          <w:color w:val="000000"/>
        </w:rPr>
        <w:t xml:space="preserve">V nadväznosti na novelu zákona je potrebné novelizovať aj Opatrenie </w:t>
      </w:r>
      <w:r w:rsidRPr="00B37B76">
        <w:rPr>
          <w:rFonts w:cstheme="minorHAnsi"/>
        </w:rPr>
        <w:t>MF 011053/2006-72</w:t>
      </w:r>
      <w:r w:rsidR="00A74602">
        <w:rPr>
          <w:rFonts w:cstheme="minorHAnsi"/>
        </w:rPr>
        <w:t xml:space="preserve"> </w:t>
      </w:r>
      <w:proofErr w:type="spellStart"/>
      <w:r w:rsidR="00014004">
        <w:rPr>
          <w:rFonts w:cstheme="minorHAnsi"/>
        </w:rPr>
        <w:t>tak</w:t>
      </w:r>
      <w:r w:rsidRPr="00B37B76">
        <w:rPr>
          <w:rFonts w:cstheme="minorHAnsi"/>
        </w:rPr>
        <w:t>,aby</w:t>
      </w:r>
      <w:proofErr w:type="spellEnd"/>
      <w:r w:rsidRPr="00B37B76">
        <w:rPr>
          <w:rFonts w:cstheme="minorHAnsi"/>
        </w:rPr>
        <w:t xml:space="preserve"> nebolo</w:t>
      </w:r>
      <w:r w:rsidRPr="00B37B76">
        <w:rPr>
          <w:rFonts w:cstheme="minorHAnsi"/>
          <w:color w:val="000000"/>
        </w:rPr>
        <w:t xml:space="preserve"> v rozpore s cieľom novely zákona a nespôsobilo právnu neistotu na strane poisťovní.</w:t>
      </w:r>
    </w:p>
    <w:p w14:paraId="70212ECF" w14:textId="1CF6D0B3" w:rsidR="00972C95" w:rsidRPr="00B37B76" w:rsidRDefault="00972C95" w:rsidP="00B37B76">
      <w:pPr>
        <w:spacing w:after="0" w:line="240" w:lineRule="auto"/>
        <w:jc w:val="both"/>
        <w:rPr>
          <w:rFonts w:cstheme="minorHAnsi"/>
        </w:rPr>
      </w:pPr>
      <w:r w:rsidRPr="00B37B76">
        <w:rPr>
          <w:rFonts w:cstheme="minorHAnsi"/>
          <w:color w:val="000000"/>
        </w:rPr>
        <w:t xml:space="preserve">Navrhujme preto aby </w:t>
      </w:r>
      <w:r w:rsidRPr="00B37B76">
        <w:rPr>
          <w:rFonts w:cstheme="minorHAnsi"/>
        </w:rPr>
        <w:t xml:space="preserve">v súlade so zákonom č. 400/2015 </w:t>
      </w:r>
      <w:proofErr w:type="spellStart"/>
      <w:r w:rsidRPr="00B37B76">
        <w:rPr>
          <w:rFonts w:cstheme="minorHAnsi"/>
        </w:rPr>
        <w:t>Z.z</w:t>
      </w:r>
      <w:proofErr w:type="spellEnd"/>
      <w:r w:rsidRPr="00B37B76">
        <w:rPr>
          <w:rFonts w:cstheme="minorHAnsi"/>
        </w:rPr>
        <w:t>. o tvorbe právnych predpisov a o Zbierke zákonov SR</w:t>
      </w:r>
      <w:r w:rsidRPr="00B37B76">
        <w:rPr>
          <w:rFonts w:cstheme="minorHAnsi"/>
          <w:b/>
          <w:bCs/>
        </w:rPr>
        <w:t xml:space="preserve">, </w:t>
      </w:r>
      <w:r w:rsidRPr="00B37B76">
        <w:rPr>
          <w:rFonts w:cstheme="minorHAnsi"/>
        </w:rPr>
        <w:t>bol súčasťou návrhu zákona v MPK</w:t>
      </w:r>
      <w:r w:rsidRPr="00B37B76">
        <w:rPr>
          <w:rFonts w:cstheme="minorHAnsi"/>
          <w:color w:val="000000"/>
        </w:rPr>
        <w:t xml:space="preserve"> aj návrh novely Opatrenia </w:t>
      </w:r>
      <w:r w:rsidRPr="00B37B76">
        <w:rPr>
          <w:rFonts w:cstheme="minorHAnsi"/>
        </w:rPr>
        <w:t xml:space="preserve">MF 011053/2006-72. Pokiaľ náš návrh predkladateľ z časových dôvodov nemôže akceptovať, žiadame aspoň informáciu o prijatí novely opatrenia v neskoršom legislatívnom procese uviesť do dôvodovej správy a </w:t>
      </w:r>
      <w:r w:rsidRPr="00B37B76">
        <w:rPr>
          <w:rFonts w:cstheme="minorHAnsi"/>
          <w:color w:val="000000"/>
        </w:rPr>
        <w:t xml:space="preserve">doplniť </w:t>
      </w:r>
      <w:r w:rsidRPr="00B37B76">
        <w:rPr>
          <w:rFonts w:cstheme="minorHAnsi"/>
        </w:rPr>
        <w:t xml:space="preserve">v nej </w:t>
      </w:r>
      <w:r w:rsidRPr="00B37B76">
        <w:rPr>
          <w:rFonts w:cstheme="minorHAnsi"/>
          <w:color w:val="000000"/>
        </w:rPr>
        <w:t xml:space="preserve">text: „V nadväznosti na túto úpravu zákona bude upravené </w:t>
      </w:r>
      <w:r w:rsidRPr="00B37B76">
        <w:rPr>
          <w:rFonts w:cstheme="minorHAnsi"/>
        </w:rPr>
        <w:t>Opatrenia MF 011053/2006-72</w:t>
      </w:r>
      <w:r w:rsidR="00F15029" w:rsidRPr="00B37B76">
        <w:rPr>
          <w:rFonts w:cstheme="minorHAnsi"/>
        </w:rPr>
        <w:t>,</w:t>
      </w:r>
      <w:r w:rsidRPr="00B37B76">
        <w:rPr>
          <w:rFonts w:cstheme="minorHAnsi"/>
        </w:rPr>
        <w:t>– najmä pôjde o vypustenie § 9, ktorý upravuje vykazovanie poistných zmlúv</w:t>
      </w:r>
      <w:r w:rsidR="00F4292A" w:rsidRPr="00B37B76">
        <w:rPr>
          <w:rFonts w:cstheme="minorHAnsi"/>
        </w:rPr>
        <w:t>,</w:t>
      </w:r>
      <w:r w:rsidR="00AE1816" w:rsidRPr="00B37B76">
        <w:rPr>
          <w:rFonts w:cstheme="minorHAnsi"/>
        </w:rPr>
        <w:t xml:space="preserve"> s cieľom, aby operácie účtované s vplyvom na výsledok hospodárenia v zmysle medzinárodného účtovného štandardu upravujúceho účtovanie poistných zmlúv (IFRS17) boli súčasťou základu dane u daňovníka, ktorým je poisťovňa, </w:t>
      </w:r>
      <w:r w:rsidR="0068338D" w:rsidRPr="00B37B76">
        <w:rPr>
          <w:rFonts w:cstheme="minorHAnsi"/>
        </w:rPr>
        <w:t xml:space="preserve">pobočka poisťovne iného členského štátu, </w:t>
      </w:r>
      <w:r w:rsidR="00AE1816" w:rsidRPr="00B37B76">
        <w:rPr>
          <w:rFonts w:cstheme="minorHAnsi"/>
        </w:rPr>
        <w:t>pobočka zahraničnej poisťovne, zaisťov</w:t>
      </w:r>
      <w:r w:rsidR="0068338D" w:rsidRPr="00B37B76">
        <w:rPr>
          <w:rFonts w:cstheme="minorHAnsi"/>
        </w:rPr>
        <w:t xml:space="preserve">ňa, </w:t>
      </w:r>
      <w:r w:rsidR="009A1578" w:rsidRPr="00B37B76">
        <w:rPr>
          <w:rFonts w:cstheme="minorHAnsi"/>
        </w:rPr>
        <w:t>pobočka zaisťovne iného členského štátu</w:t>
      </w:r>
      <w:r w:rsidR="00AE1816" w:rsidRPr="00B37B76">
        <w:rPr>
          <w:rFonts w:cstheme="minorHAnsi"/>
        </w:rPr>
        <w:t xml:space="preserve"> a pobočka zahraničnej zaisťovne.</w:t>
      </w:r>
      <w:r w:rsidR="00537AE1" w:rsidRPr="00B37B76">
        <w:rPr>
          <w:rFonts w:cstheme="minorHAnsi"/>
        </w:rPr>
        <w:t>“</w:t>
      </w:r>
    </w:p>
    <w:p w14:paraId="72FD09A6" w14:textId="10E44622" w:rsidR="00A552DE" w:rsidRPr="00B37B76" w:rsidRDefault="00A552DE" w:rsidP="00B37B76">
      <w:pPr>
        <w:spacing w:after="0" w:line="240" w:lineRule="auto"/>
        <w:jc w:val="both"/>
        <w:rPr>
          <w:rFonts w:cstheme="minorHAnsi"/>
          <w:b/>
          <w:bCs/>
          <w:color w:val="000000"/>
        </w:rPr>
      </w:pPr>
    </w:p>
    <w:p w14:paraId="10727319" w14:textId="5C5C5518" w:rsidR="0068338D" w:rsidRPr="00B37B76" w:rsidRDefault="00A74602" w:rsidP="00B37B76">
      <w:pPr>
        <w:spacing w:after="0" w:line="240" w:lineRule="auto"/>
        <w:jc w:val="both"/>
        <w:rPr>
          <w:rFonts w:cstheme="minorHAnsi"/>
          <w:b/>
          <w:bCs/>
          <w:color w:val="000000"/>
        </w:rPr>
      </w:pPr>
      <w:r>
        <w:rPr>
          <w:rFonts w:cstheme="minorHAnsi"/>
          <w:b/>
          <w:bCs/>
          <w:color w:val="000000"/>
        </w:rPr>
        <w:t>11</w:t>
      </w:r>
      <w:r w:rsidR="00A552DE" w:rsidRPr="00B37B76">
        <w:rPr>
          <w:rFonts w:cstheme="minorHAnsi"/>
          <w:b/>
          <w:bCs/>
          <w:color w:val="000000"/>
        </w:rPr>
        <w:t xml:space="preserve">.  </w:t>
      </w:r>
      <w:r w:rsidR="0068338D" w:rsidRPr="00B37B76">
        <w:rPr>
          <w:rFonts w:cstheme="minorHAnsi"/>
          <w:b/>
          <w:bCs/>
          <w:color w:val="000000"/>
        </w:rPr>
        <w:t xml:space="preserve">Doplnenie nového odseku - </w:t>
      </w:r>
      <w:r w:rsidR="0068338D" w:rsidRPr="00634CE3">
        <w:rPr>
          <w:rFonts w:cstheme="minorHAnsi"/>
          <w:b/>
          <w:bCs/>
          <w:color w:val="000000"/>
          <w:highlight w:val="yellow"/>
        </w:rPr>
        <w:t>zásadná</w:t>
      </w:r>
    </w:p>
    <w:p w14:paraId="61E32CC2" w14:textId="6B149A5B" w:rsidR="00A552DE" w:rsidRPr="00B37B76" w:rsidRDefault="00A552DE" w:rsidP="00B37B76">
      <w:pPr>
        <w:spacing w:after="0" w:line="240" w:lineRule="auto"/>
        <w:jc w:val="both"/>
        <w:rPr>
          <w:rFonts w:cstheme="minorHAnsi"/>
          <w:color w:val="000000"/>
        </w:rPr>
      </w:pPr>
      <w:r w:rsidRPr="00B37B76">
        <w:rPr>
          <w:rFonts w:cstheme="minorHAnsi"/>
          <w:color w:val="000000"/>
        </w:rPr>
        <w:t>V § 17 navrhujeme doplniť nový odsek 45, ktorý znie:</w:t>
      </w:r>
    </w:p>
    <w:p w14:paraId="6338FE31" w14:textId="5B781662" w:rsidR="00A552DE" w:rsidRPr="00B37B76" w:rsidRDefault="00634CE3" w:rsidP="00B37B76">
      <w:pPr>
        <w:spacing w:after="0" w:line="240" w:lineRule="auto"/>
        <w:jc w:val="both"/>
        <w:rPr>
          <w:rFonts w:cstheme="minorHAnsi"/>
          <w:color w:val="000000"/>
        </w:rPr>
      </w:pPr>
      <w:r>
        <w:rPr>
          <w:rFonts w:cstheme="minorHAnsi"/>
          <w:color w:val="000000"/>
        </w:rPr>
        <w:t>„</w:t>
      </w:r>
      <w:r w:rsidR="00A552DE" w:rsidRPr="00B37B76">
        <w:rPr>
          <w:rFonts w:cstheme="minorHAnsi"/>
          <w:color w:val="000000"/>
        </w:rPr>
        <w:t xml:space="preserve">Súčasťou základu dane u daňovníka, ktorým je </w:t>
      </w:r>
      <w:r w:rsidR="009A1578" w:rsidRPr="00B37B76">
        <w:rPr>
          <w:rFonts w:cstheme="minorHAnsi"/>
        </w:rPr>
        <w:t>poisťovňa, pobočka poisťovne iného členského štátu, pobočka zahraničnej poisťovne, zaisťovňa, pobočka zaisťovne iného členského štátu a pobočka zahraničnej zaisťovne.</w:t>
      </w:r>
      <w:r w:rsidR="00A552DE" w:rsidRPr="00B37B76">
        <w:rPr>
          <w:rFonts w:cstheme="minorHAnsi"/>
          <w:color w:val="000000"/>
        </w:rPr>
        <w:t>, ktorý pri zisťovaní základu dane alebo daňovej straty postupuje podľa odseku 1 písm. c)</w:t>
      </w:r>
      <w:r w:rsidR="009A1578" w:rsidRPr="00B37B76">
        <w:rPr>
          <w:rFonts w:cstheme="minorHAnsi"/>
          <w:color w:val="000000"/>
        </w:rPr>
        <w:t>,</w:t>
      </w:r>
      <w:r w:rsidR="00A552DE" w:rsidRPr="00B37B76">
        <w:rPr>
          <w:rFonts w:cstheme="minorHAnsi"/>
          <w:color w:val="000000"/>
        </w:rPr>
        <w:t xml:space="preserve"> sú </w:t>
      </w:r>
      <w:r w:rsidR="009A1578" w:rsidRPr="00B37B76">
        <w:rPr>
          <w:rFonts w:cstheme="minorHAnsi"/>
          <w:color w:val="000000"/>
        </w:rPr>
        <w:t xml:space="preserve">operácie </w:t>
      </w:r>
      <w:r w:rsidR="00A552DE" w:rsidRPr="00B37B76">
        <w:rPr>
          <w:rFonts w:cstheme="minorHAnsi"/>
          <w:color w:val="000000"/>
        </w:rPr>
        <w:t xml:space="preserve"> z poistných a zaistných zmlúv účtované </w:t>
      </w:r>
      <w:r w:rsidR="001B226F" w:rsidRPr="00B37B76">
        <w:rPr>
          <w:rFonts w:cstheme="minorHAnsi"/>
          <w:color w:val="000000"/>
        </w:rPr>
        <w:t>s vplyvom na výsledok hospodárenia daňovníka v súlade so štandardom IFRS 17 Poistné zmluvy</w:t>
      </w:r>
      <w:r>
        <w:rPr>
          <w:rFonts w:cstheme="minorHAnsi"/>
          <w:color w:val="000000"/>
        </w:rPr>
        <w:t>“</w:t>
      </w:r>
      <w:r w:rsidR="00A552DE" w:rsidRPr="00B37B76">
        <w:rPr>
          <w:rFonts w:cstheme="minorHAnsi"/>
          <w:color w:val="000000"/>
        </w:rPr>
        <w:t>.</w:t>
      </w:r>
    </w:p>
    <w:p w14:paraId="72C6898B" w14:textId="77777777" w:rsidR="00A552DE" w:rsidRPr="00D3717C" w:rsidRDefault="00A552DE" w:rsidP="00B37B76">
      <w:pPr>
        <w:spacing w:after="0" w:line="240" w:lineRule="auto"/>
        <w:jc w:val="both"/>
        <w:rPr>
          <w:rFonts w:cstheme="minorHAnsi"/>
          <w:color w:val="000000"/>
          <w:u w:val="single"/>
        </w:rPr>
      </w:pPr>
      <w:r w:rsidRPr="00D3717C">
        <w:rPr>
          <w:rFonts w:cstheme="minorHAnsi"/>
          <w:color w:val="000000"/>
          <w:u w:val="single"/>
        </w:rPr>
        <w:t>Odôvodnenie:</w:t>
      </w:r>
    </w:p>
    <w:p w14:paraId="39B35207" w14:textId="0560619B" w:rsidR="009D1930" w:rsidRDefault="00A552DE" w:rsidP="00B37B76">
      <w:pPr>
        <w:spacing w:after="0" w:line="240" w:lineRule="auto"/>
        <w:jc w:val="both"/>
        <w:rPr>
          <w:rFonts w:cstheme="minorHAnsi"/>
          <w:color w:val="000000"/>
        </w:rPr>
      </w:pPr>
      <w:r w:rsidRPr="00B37B76">
        <w:rPr>
          <w:rFonts w:cstheme="minorHAnsi"/>
          <w:color w:val="000000"/>
        </w:rPr>
        <w:t>Za účelom vyššej právnej istoty</w:t>
      </w:r>
      <w:r w:rsidR="002F420D" w:rsidRPr="00B37B76">
        <w:rPr>
          <w:rFonts w:cstheme="minorHAnsi"/>
          <w:color w:val="000000"/>
        </w:rPr>
        <w:t xml:space="preserve"> v súvislosti s implementáciou IFRS 17</w:t>
      </w:r>
      <w:r w:rsidRPr="00B37B76">
        <w:rPr>
          <w:rFonts w:cstheme="minorHAnsi"/>
          <w:color w:val="000000"/>
        </w:rPr>
        <w:t>, navrhujeme doplnenie priamo do zákona, že v prípade účtovania poistných zmlúv s vplyvom na výsledok hospodárenia</w:t>
      </w:r>
      <w:r w:rsidR="00F4570A" w:rsidRPr="00B37B76">
        <w:rPr>
          <w:rFonts w:cstheme="minorHAnsi"/>
          <w:color w:val="000000"/>
        </w:rPr>
        <w:t xml:space="preserve"> podľa IFRS 17 </w:t>
      </w:r>
      <w:r w:rsidRPr="00B37B76">
        <w:rPr>
          <w:rFonts w:cstheme="minorHAnsi"/>
          <w:color w:val="000000"/>
        </w:rPr>
        <w:t xml:space="preserve"> tieto </w:t>
      </w:r>
      <w:r w:rsidR="00F4570A" w:rsidRPr="00B37B76">
        <w:rPr>
          <w:rFonts w:cstheme="minorHAnsi"/>
          <w:color w:val="000000"/>
        </w:rPr>
        <w:t xml:space="preserve">operácie </w:t>
      </w:r>
      <w:r w:rsidRPr="00B37B76">
        <w:rPr>
          <w:rFonts w:cstheme="minorHAnsi"/>
          <w:color w:val="000000"/>
        </w:rPr>
        <w:t>ostávajú súčasťou základu dane v súlade s účtovníctvom. Rovnaká logika je pritom použitá aj v dôvodovej správe</w:t>
      </w:r>
      <w:r w:rsidR="009D1930" w:rsidRPr="00B37B76">
        <w:rPr>
          <w:rFonts w:cstheme="minorHAnsi"/>
          <w:color w:val="000000"/>
        </w:rPr>
        <w:t>.</w:t>
      </w:r>
    </w:p>
    <w:p w14:paraId="5D8D3725" w14:textId="77777777" w:rsidR="00870C6B" w:rsidRDefault="00870C6B" w:rsidP="00B37B76">
      <w:pPr>
        <w:spacing w:after="0" w:line="240" w:lineRule="auto"/>
        <w:jc w:val="both"/>
        <w:rPr>
          <w:rFonts w:cstheme="minorHAnsi"/>
          <w:color w:val="000000"/>
        </w:rPr>
      </w:pPr>
    </w:p>
    <w:p w14:paraId="2A7C71BD" w14:textId="203E6A04" w:rsidR="00D3717C" w:rsidRPr="009B3BE0" w:rsidRDefault="00634CE3" w:rsidP="00B37B76">
      <w:pPr>
        <w:spacing w:after="0" w:line="240" w:lineRule="auto"/>
        <w:jc w:val="both"/>
        <w:rPr>
          <w:rFonts w:cstheme="minorHAnsi"/>
        </w:rPr>
      </w:pPr>
      <w:r w:rsidRPr="009B3BE0">
        <w:rPr>
          <w:rFonts w:cstheme="minorHAnsi"/>
        </w:rPr>
        <w:t>SLASPO, 19.7.2022</w:t>
      </w:r>
    </w:p>
    <w:sectPr w:rsidR="00D3717C" w:rsidRPr="009B3BE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DC90" w14:textId="77777777" w:rsidR="008B0D3E" w:rsidRDefault="008B0D3E" w:rsidP="00176DDF">
      <w:pPr>
        <w:spacing w:after="0" w:line="240" w:lineRule="auto"/>
      </w:pPr>
      <w:r>
        <w:separator/>
      </w:r>
    </w:p>
  </w:endnote>
  <w:endnote w:type="continuationSeparator" w:id="0">
    <w:p w14:paraId="745C1FB7" w14:textId="77777777" w:rsidR="008B0D3E" w:rsidRDefault="008B0D3E" w:rsidP="0017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60615"/>
      <w:docPartObj>
        <w:docPartGallery w:val="Page Numbers (Bottom of Page)"/>
        <w:docPartUnique/>
      </w:docPartObj>
    </w:sdtPr>
    <w:sdtContent>
      <w:p w14:paraId="4BE78C9F" w14:textId="6B448879" w:rsidR="00361859" w:rsidRDefault="00361859">
        <w:pPr>
          <w:pStyle w:val="Pta"/>
          <w:jc w:val="right"/>
        </w:pPr>
        <w:r>
          <w:fldChar w:fldCharType="begin"/>
        </w:r>
        <w:r>
          <w:instrText>PAGE   \* MERGEFORMAT</w:instrText>
        </w:r>
        <w:r>
          <w:fldChar w:fldCharType="separate"/>
        </w:r>
        <w:r>
          <w:t>2</w:t>
        </w:r>
        <w:r>
          <w:fldChar w:fldCharType="end"/>
        </w:r>
      </w:p>
    </w:sdtContent>
  </w:sdt>
  <w:p w14:paraId="6026B8BF" w14:textId="77777777" w:rsidR="00361859" w:rsidRDefault="0036185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89561" w14:textId="77777777" w:rsidR="008B0D3E" w:rsidRDefault="008B0D3E" w:rsidP="00176DDF">
      <w:pPr>
        <w:spacing w:after="0" w:line="240" w:lineRule="auto"/>
      </w:pPr>
      <w:r>
        <w:separator/>
      </w:r>
    </w:p>
  </w:footnote>
  <w:footnote w:type="continuationSeparator" w:id="0">
    <w:p w14:paraId="35C4FCEC" w14:textId="77777777" w:rsidR="008B0D3E" w:rsidRDefault="008B0D3E" w:rsidP="0017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F7A"/>
    <w:multiLevelType w:val="hybridMultilevel"/>
    <w:tmpl w:val="BD922B6E"/>
    <w:lvl w:ilvl="0" w:tplc="726E570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920628"/>
    <w:multiLevelType w:val="hybridMultilevel"/>
    <w:tmpl w:val="B85E8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79C6AC8"/>
    <w:multiLevelType w:val="hybridMultilevel"/>
    <w:tmpl w:val="A5C60C8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21AF6091"/>
    <w:multiLevelType w:val="hybridMultilevel"/>
    <w:tmpl w:val="E4FC2058"/>
    <w:lvl w:ilvl="0" w:tplc="27B4B28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32477BBF"/>
    <w:multiLevelType w:val="hybridMultilevel"/>
    <w:tmpl w:val="06A2C360"/>
    <w:lvl w:ilvl="0" w:tplc="E7A665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51D76B37"/>
    <w:multiLevelType w:val="hybridMultilevel"/>
    <w:tmpl w:val="361079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57061D6"/>
    <w:multiLevelType w:val="hybridMultilevel"/>
    <w:tmpl w:val="8D28BE30"/>
    <w:lvl w:ilvl="0" w:tplc="E93C2CB6">
      <w:start w:val="1"/>
      <w:numFmt w:val="decimal"/>
      <w:lvlText w:val="%1."/>
      <w:lvlJc w:val="left"/>
      <w:pPr>
        <w:ind w:left="2651" w:hanging="360"/>
      </w:pPr>
      <w:rPr>
        <w:b w:val="0"/>
      </w:rPr>
    </w:lvl>
    <w:lvl w:ilvl="1" w:tplc="041B0019" w:tentative="1">
      <w:start w:val="1"/>
      <w:numFmt w:val="lowerLetter"/>
      <w:lvlText w:val="%2."/>
      <w:lvlJc w:val="left"/>
      <w:pPr>
        <w:ind w:left="3306" w:hanging="360"/>
      </w:pPr>
    </w:lvl>
    <w:lvl w:ilvl="2" w:tplc="041B001B" w:tentative="1">
      <w:start w:val="1"/>
      <w:numFmt w:val="lowerRoman"/>
      <w:lvlText w:val="%3."/>
      <w:lvlJc w:val="right"/>
      <w:pPr>
        <w:ind w:left="4026" w:hanging="180"/>
      </w:pPr>
    </w:lvl>
    <w:lvl w:ilvl="3" w:tplc="041B000F" w:tentative="1">
      <w:start w:val="1"/>
      <w:numFmt w:val="decimal"/>
      <w:lvlText w:val="%4."/>
      <w:lvlJc w:val="left"/>
      <w:pPr>
        <w:ind w:left="4746" w:hanging="360"/>
      </w:pPr>
    </w:lvl>
    <w:lvl w:ilvl="4" w:tplc="041B0019" w:tentative="1">
      <w:start w:val="1"/>
      <w:numFmt w:val="lowerLetter"/>
      <w:lvlText w:val="%5."/>
      <w:lvlJc w:val="left"/>
      <w:pPr>
        <w:ind w:left="5466" w:hanging="360"/>
      </w:pPr>
    </w:lvl>
    <w:lvl w:ilvl="5" w:tplc="041B001B" w:tentative="1">
      <w:start w:val="1"/>
      <w:numFmt w:val="lowerRoman"/>
      <w:lvlText w:val="%6."/>
      <w:lvlJc w:val="right"/>
      <w:pPr>
        <w:ind w:left="6186" w:hanging="180"/>
      </w:pPr>
    </w:lvl>
    <w:lvl w:ilvl="6" w:tplc="041B000F" w:tentative="1">
      <w:start w:val="1"/>
      <w:numFmt w:val="decimal"/>
      <w:lvlText w:val="%7."/>
      <w:lvlJc w:val="left"/>
      <w:pPr>
        <w:ind w:left="6906" w:hanging="360"/>
      </w:pPr>
    </w:lvl>
    <w:lvl w:ilvl="7" w:tplc="041B0019" w:tentative="1">
      <w:start w:val="1"/>
      <w:numFmt w:val="lowerLetter"/>
      <w:lvlText w:val="%8."/>
      <w:lvlJc w:val="left"/>
      <w:pPr>
        <w:ind w:left="7626" w:hanging="360"/>
      </w:pPr>
    </w:lvl>
    <w:lvl w:ilvl="8" w:tplc="041B001B" w:tentative="1">
      <w:start w:val="1"/>
      <w:numFmt w:val="lowerRoman"/>
      <w:lvlText w:val="%9."/>
      <w:lvlJc w:val="right"/>
      <w:pPr>
        <w:ind w:left="8346" w:hanging="180"/>
      </w:pPr>
    </w:lvl>
  </w:abstractNum>
  <w:abstractNum w:abstractNumId="7" w15:restartNumberingAfterBreak="0">
    <w:nsid w:val="6B125786"/>
    <w:multiLevelType w:val="hybridMultilevel"/>
    <w:tmpl w:val="C826DCA4"/>
    <w:lvl w:ilvl="0" w:tplc="76B8E4EC">
      <w:start w:val="38"/>
      <w:numFmt w:val="decimal"/>
      <w:lvlText w:val="%1."/>
      <w:lvlJc w:val="left"/>
      <w:pPr>
        <w:ind w:left="720" w:hanging="360"/>
      </w:pPr>
      <w:rPr>
        <w:rFonts w:eastAsia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2CD7EAE"/>
    <w:multiLevelType w:val="hybridMultilevel"/>
    <w:tmpl w:val="06F08F4E"/>
    <w:lvl w:ilvl="0" w:tplc="041B000F">
      <w:start w:val="3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87F7103"/>
    <w:multiLevelType w:val="hybridMultilevel"/>
    <w:tmpl w:val="97180F2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69190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140843">
    <w:abstractNumId w:val="6"/>
  </w:num>
  <w:num w:numId="3" w16cid:durableId="1071661485">
    <w:abstractNumId w:val="8"/>
  </w:num>
  <w:num w:numId="4" w16cid:durableId="1601527266">
    <w:abstractNumId w:val="2"/>
  </w:num>
  <w:num w:numId="5" w16cid:durableId="1243178926">
    <w:abstractNumId w:val="7"/>
  </w:num>
  <w:num w:numId="6" w16cid:durableId="1807889374">
    <w:abstractNumId w:val="4"/>
  </w:num>
  <w:num w:numId="7" w16cid:durableId="1744256104">
    <w:abstractNumId w:val="3"/>
  </w:num>
  <w:num w:numId="8" w16cid:durableId="1888370882">
    <w:abstractNumId w:val="1"/>
  </w:num>
  <w:num w:numId="9" w16cid:durableId="1336878705">
    <w:abstractNumId w:val="9"/>
  </w:num>
  <w:num w:numId="10" w16cid:durableId="1537546081">
    <w:abstractNumId w:val="0"/>
  </w:num>
  <w:num w:numId="11" w16cid:durableId="676927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0C"/>
    <w:rsid w:val="00010D66"/>
    <w:rsid w:val="00014004"/>
    <w:rsid w:val="0003061D"/>
    <w:rsid w:val="000F3111"/>
    <w:rsid w:val="001141E1"/>
    <w:rsid w:val="0015456B"/>
    <w:rsid w:val="00156170"/>
    <w:rsid w:val="00172FFA"/>
    <w:rsid w:val="00176DDF"/>
    <w:rsid w:val="001B226F"/>
    <w:rsid w:val="001D470C"/>
    <w:rsid w:val="002116D8"/>
    <w:rsid w:val="00222744"/>
    <w:rsid w:val="00256CB6"/>
    <w:rsid w:val="002A4E1A"/>
    <w:rsid w:val="002A776F"/>
    <w:rsid w:val="002E3168"/>
    <w:rsid w:val="002F420D"/>
    <w:rsid w:val="003135C7"/>
    <w:rsid w:val="00361859"/>
    <w:rsid w:val="0039240F"/>
    <w:rsid w:val="003948D8"/>
    <w:rsid w:val="003C0043"/>
    <w:rsid w:val="003D56F7"/>
    <w:rsid w:val="003F31F4"/>
    <w:rsid w:val="00432410"/>
    <w:rsid w:val="00457361"/>
    <w:rsid w:val="004764CB"/>
    <w:rsid w:val="004C4F3B"/>
    <w:rsid w:val="004E0F40"/>
    <w:rsid w:val="00537AE1"/>
    <w:rsid w:val="00616E9D"/>
    <w:rsid w:val="006332F5"/>
    <w:rsid w:val="00634CE3"/>
    <w:rsid w:val="00652A60"/>
    <w:rsid w:val="0068338D"/>
    <w:rsid w:val="006B1A2F"/>
    <w:rsid w:val="00704D22"/>
    <w:rsid w:val="00743918"/>
    <w:rsid w:val="007A649F"/>
    <w:rsid w:val="007D531A"/>
    <w:rsid w:val="007E1AC9"/>
    <w:rsid w:val="008441E7"/>
    <w:rsid w:val="00870C6B"/>
    <w:rsid w:val="008B0D3E"/>
    <w:rsid w:val="008B1C8F"/>
    <w:rsid w:val="008B3F0E"/>
    <w:rsid w:val="008D0460"/>
    <w:rsid w:val="0091782D"/>
    <w:rsid w:val="0096492C"/>
    <w:rsid w:val="00972C95"/>
    <w:rsid w:val="00973324"/>
    <w:rsid w:val="00994B74"/>
    <w:rsid w:val="00997242"/>
    <w:rsid w:val="009A1578"/>
    <w:rsid w:val="009B3BE0"/>
    <w:rsid w:val="009B739C"/>
    <w:rsid w:val="009D1930"/>
    <w:rsid w:val="00A0143B"/>
    <w:rsid w:val="00A2602D"/>
    <w:rsid w:val="00A3365E"/>
    <w:rsid w:val="00A552DE"/>
    <w:rsid w:val="00A70308"/>
    <w:rsid w:val="00A73F44"/>
    <w:rsid w:val="00A74602"/>
    <w:rsid w:val="00A94C16"/>
    <w:rsid w:val="00AD7C52"/>
    <w:rsid w:val="00AE1816"/>
    <w:rsid w:val="00B25EC1"/>
    <w:rsid w:val="00B27DF5"/>
    <w:rsid w:val="00B31615"/>
    <w:rsid w:val="00B37B76"/>
    <w:rsid w:val="00B528A0"/>
    <w:rsid w:val="00B53CF6"/>
    <w:rsid w:val="00B64830"/>
    <w:rsid w:val="00B66ABA"/>
    <w:rsid w:val="00B67AB6"/>
    <w:rsid w:val="00BA6F08"/>
    <w:rsid w:val="00C3435C"/>
    <w:rsid w:val="00C42953"/>
    <w:rsid w:val="00C705AB"/>
    <w:rsid w:val="00CA6106"/>
    <w:rsid w:val="00CA6AF4"/>
    <w:rsid w:val="00CD7257"/>
    <w:rsid w:val="00D2141A"/>
    <w:rsid w:val="00D30258"/>
    <w:rsid w:val="00D3717C"/>
    <w:rsid w:val="00D940CB"/>
    <w:rsid w:val="00DA4871"/>
    <w:rsid w:val="00E1449F"/>
    <w:rsid w:val="00E721B8"/>
    <w:rsid w:val="00E86C33"/>
    <w:rsid w:val="00EC020C"/>
    <w:rsid w:val="00F15029"/>
    <w:rsid w:val="00F4292A"/>
    <w:rsid w:val="00F4570A"/>
    <w:rsid w:val="00F71824"/>
    <w:rsid w:val="00FB13F3"/>
    <w:rsid w:val="00FC4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39D1"/>
  <w15:chartTrackingRefBased/>
  <w15:docId w15:val="{C595975C-BF86-44DE-9E6C-80CC88E8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C020C"/>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EC020C"/>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EC020C"/>
  </w:style>
  <w:style w:type="character" w:styleId="Odkaznakomentr">
    <w:name w:val="annotation reference"/>
    <w:basedOn w:val="Predvolenpsmoodseku"/>
    <w:uiPriority w:val="99"/>
    <w:semiHidden/>
    <w:unhideWhenUsed/>
    <w:rsid w:val="00997242"/>
    <w:rPr>
      <w:sz w:val="16"/>
      <w:szCs w:val="16"/>
    </w:rPr>
  </w:style>
  <w:style w:type="paragraph" w:styleId="Textkomentra">
    <w:name w:val="annotation text"/>
    <w:basedOn w:val="Normlny"/>
    <w:link w:val="TextkomentraChar"/>
    <w:uiPriority w:val="99"/>
    <w:semiHidden/>
    <w:unhideWhenUsed/>
    <w:rsid w:val="00997242"/>
    <w:pPr>
      <w:spacing w:line="240" w:lineRule="auto"/>
    </w:pPr>
    <w:rPr>
      <w:sz w:val="20"/>
      <w:szCs w:val="20"/>
    </w:rPr>
  </w:style>
  <w:style w:type="character" w:customStyle="1" w:styleId="TextkomentraChar">
    <w:name w:val="Text komentára Char"/>
    <w:basedOn w:val="Predvolenpsmoodseku"/>
    <w:link w:val="Textkomentra"/>
    <w:uiPriority w:val="99"/>
    <w:semiHidden/>
    <w:rsid w:val="00997242"/>
    <w:rPr>
      <w:sz w:val="20"/>
      <w:szCs w:val="20"/>
    </w:rPr>
  </w:style>
  <w:style w:type="paragraph" w:styleId="Predmetkomentra">
    <w:name w:val="annotation subject"/>
    <w:basedOn w:val="Textkomentra"/>
    <w:next w:val="Textkomentra"/>
    <w:link w:val="PredmetkomentraChar"/>
    <w:uiPriority w:val="99"/>
    <w:semiHidden/>
    <w:unhideWhenUsed/>
    <w:rsid w:val="00997242"/>
    <w:rPr>
      <w:b/>
      <w:bCs/>
    </w:rPr>
  </w:style>
  <w:style w:type="character" w:customStyle="1" w:styleId="PredmetkomentraChar">
    <w:name w:val="Predmet komentára Char"/>
    <w:basedOn w:val="TextkomentraChar"/>
    <w:link w:val="Predmetkomentra"/>
    <w:uiPriority w:val="99"/>
    <w:semiHidden/>
    <w:rsid w:val="00997242"/>
    <w:rPr>
      <w:b/>
      <w:bCs/>
      <w:sz w:val="20"/>
      <w:szCs w:val="20"/>
    </w:rPr>
  </w:style>
  <w:style w:type="paragraph" w:styleId="Hlavika">
    <w:name w:val="header"/>
    <w:basedOn w:val="Normlny"/>
    <w:link w:val="HlavikaChar"/>
    <w:uiPriority w:val="99"/>
    <w:unhideWhenUsed/>
    <w:rsid w:val="0036185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61859"/>
  </w:style>
  <w:style w:type="paragraph" w:styleId="Pta">
    <w:name w:val="footer"/>
    <w:basedOn w:val="Normlny"/>
    <w:link w:val="PtaChar"/>
    <w:uiPriority w:val="99"/>
    <w:unhideWhenUsed/>
    <w:rsid w:val="00361859"/>
    <w:pPr>
      <w:tabs>
        <w:tab w:val="center" w:pos="4536"/>
        <w:tab w:val="right" w:pos="9072"/>
      </w:tabs>
      <w:spacing w:after="0" w:line="240" w:lineRule="auto"/>
    </w:pPr>
  </w:style>
  <w:style w:type="character" w:customStyle="1" w:styleId="PtaChar">
    <w:name w:val="Päta Char"/>
    <w:basedOn w:val="Predvolenpsmoodseku"/>
    <w:link w:val="Pta"/>
    <w:uiPriority w:val="99"/>
    <w:rsid w:val="0036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2836">
      <w:bodyDiv w:val="1"/>
      <w:marLeft w:val="0"/>
      <w:marRight w:val="0"/>
      <w:marTop w:val="0"/>
      <w:marBottom w:val="0"/>
      <w:divBdr>
        <w:top w:val="none" w:sz="0" w:space="0" w:color="auto"/>
        <w:left w:val="none" w:sz="0" w:space="0" w:color="auto"/>
        <w:bottom w:val="none" w:sz="0" w:space="0" w:color="auto"/>
        <w:right w:val="none" w:sz="0" w:space="0" w:color="auto"/>
      </w:divBdr>
    </w:div>
    <w:div w:id="359203790">
      <w:bodyDiv w:val="1"/>
      <w:marLeft w:val="0"/>
      <w:marRight w:val="0"/>
      <w:marTop w:val="0"/>
      <w:marBottom w:val="0"/>
      <w:divBdr>
        <w:top w:val="none" w:sz="0" w:space="0" w:color="auto"/>
        <w:left w:val="none" w:sz="0" w:space="0" w:color="auto"/>
        <w:bottom w:val="none" w:sz="0" w:space="0" w:color="auto"/>
        <w:right w:val="none" w:sz="0" w:space="0" w:color="auto"/>
      </w:divBdr>
    </w:div>
    <w:div w:id="604197476">
      <w:bodyDiv w:val="1"/>
      <w:marLeft w:val="0"/>
      <w:marRight w:val="0"/>
      <w:marTop w:val="0"/>
      <w:marBottom w:val="0"/>
      <w:divBdr>
        <w:top w:val="none" w:sz="0" w:space="0" w:color="auto"/>
        <w:left w:val="none" w:sz="0" w:space="0" w:color="auto"/>
        <w:bottom w:val="none" w:sz="0" w:space="0" w:color="auto"/>
        <w:right w:val="none" w:sz="0" w:space="0" w:color="auto"/>
      </w:divBdr>
    </w:div>
    <w:div w:id="628709766">
      <w:bodyDiv w:val="1"/>
      <w:marLeft w:val="0"/>
      <w:marRight w:val="0"/>
      <w:marTop w:val="0"/>
      <w:marBottom w:val="0"/>
      <w:divBdr>
        <w:top w:val="none" w:sz="0" w:space="0" w:color="auto"/>
        <w:left w:val="none" w:sz="0" w:space="0" w:color="auto"/>
        <w:bottom w:val="none" w:sz="0" w:space="0" w:color="auto"/>
        <w:right w:val="none" w:sz="0" w:space="0" w:color="auto"/>
      </w:divBdr>
    </w:div>
    <w:div w:id="775829116">
      <w:bodyDiv w:val="1"/>
      <w:marLeft w:val="0"/>
      <w:marRight w:val="0"/>
      <w:marTop w:val="0"/>
      <w:marBottom w:val="0"/>
      <w:divBdr>
        <w:top w:val="none" w:sz="0" w:space="0" w:color="auto"/>
        <w:left w:val="none" w:sz="0" w:space="0" w:color="auto"/>
        <w:bottom w:val="none" w:sz="0" w:space="0" w:color="auto"/>
        <w:right w:val="none" w:sz="0" w:space="0" w:color="auto"/>
      </w:divBdr>
    </w:div>
    <w:div w:id="1125153261">
      <w:bodyDiv w:val="1"/>
      <w:marLeft w:val="0"/>
      <w:marRight w:val="0"/>
      <w:marTop w:val="0"/>
      <w:marBottom w:val="0"/>
      <w:divBdr>
        <w:top w:val="none" w:sz="0" w:space="0" w:color="auto"/>
        <w:left w:val="none" w:sz="0" w:space="0" w:color="auto"/>
        <w:bottom w:val="none" w:sz="0" w:space="0" w:color="auto"/>
        <w:right w:val="none" w:sz="0" w:space="0" w:color="auto"/>
      </w:divBdr>
    </w:div>
    <w:div w:id="1348142537">
      <w:bodyDiv w:val="1"/>
      <w:marLeft w:val="0"/>
      <w:marRight w:val="0"/>
      <w:marTop w:val="0"/>
      <w:marBottom w:val="0"/>
      <w:divBdr>
        <w:top w:val="none" w:sz="0" w:space="0" w:color="auto"/>
        <w:left w:val="none" w:sz="0" w:space="0" w:color="auto"/>
        <w:bottom w:val="none" w:sz="0" w:space="0" w:color="auto"/>
        <w:right w:val="none" w:sz="0" w:space="0" w:color="auto"/>
      </w:divBdr>
    </w:div>
    <w:div w:id="1361056306">
      <w:bodyDiv w:val="1"/>
      <w:marLeft w:val="0"/>
      <w:marRight w:val="0"/>
      <w:marTop w:val="0"/>
      <w:marBottom w:val="0"/>
      <w:divBdr>
        <w:top w:val="none" w:sz="0" w:space="0" w:color="auto"/>
        <w:left w:val="none" w:sz="0" w:space="0" w:color="auto"/>
        <w:bottom w:val="none" w:sz="0" w:space="0" w:color="auto"/>
        <w:right w:val="none" w:sz="0" w:space="0" w:color="auto"/>
      </w:divBdr>
    </w:div>
    <w:div w:id="1466655044">
      <w:bodyDiv w:val="1"/>
      <w:marLeft w:val="0"/>
      <w:marRight w:val="0"/>
      <w:marTop w:val="0"/>
      <w:marBottom w:val="0"/>
      <w:divBdr>
        <w:top w:val="none" w:sz="0" w:space="0" w:color="auto"/>
        <w:left w:val="none" w:sz="0" w:space="0" w:color="auto"/>
        <w:bottom w:val="none" w:sz="0" w:space="0" w:color="auto"/>
        <w:right w:val="none" w:sz="0" w:space="0" w:color="auto"/>
      </w:divBdr>
    </w:div>
    <w:div w:id="1701203693">
      <w:bodyDiv w:val="1"/>
      <w:marLeft w:val="0"/>
      <w:marRight w:val="0"/>
      <w:marTop w:val="0"/>
      <w:marBottom w:val="0"/>
      <w:divBdr>
        <w:top w:val="none" w:sz="0" w:space="0" w:color="auto"/>
        <w:left w:val="none" w:sz="0" w:space="0" w:color="auto"/>
        <w:bottom w:val="none" w:sz="0" w:space="0" w:color="auto"/>
        <w:right w:val="none" w:sz="0" w:space="0" w:color="auto"/>
      </w:divBdr>
    </w:div>
    <w:div w:id="1838304058">
      <w:bodyDiv w:val="1"/>
      <w:marLeft w:val="0"/>
      <w:marRight w:val="0"/>
      <w:marTop w:val="0"/>
      <w:marBottom w:val="0"/>
      <w:divBdr>
        <w:top w:val="none" w:sz="0" w:space="0" w:color="auto"/>
        <w:left w:val="none" w:sz="0" w:space="0" w:color="auto"/>
        <w:bottom w:val="none" w:sz="0" w:space="0" w:color="auto"/>
        <w:right w:val="none" w:sz="0" w:space="0" w:color="auto"/>
      </w:divBdr>
    </w:div>
    <w:div w:id="1843008716">
      <w:bodyDiv w:val="1"/>
      <w:marLeft w:val="0"/>
      <w:marRight w:val="0"/>
      <w:marTop w:val="0"/>
      <w:marBottom w:val="0"/>
      <w:divBdr>
        <w:top w:val="none" w:sz="0" w:space="0" w:color="auto"/>
        <w:left w:val="none" w:sz="0" w:space="0" w:color="auto"/>
        <w:bottom w:val="none" w:sz="0" w:space="0" w:color="auto"/>
        <w:right w:val="none" w:sz="0" w:space="0" w:color="auto"/>
      </w:divBdr>
    </w:div>
    <w:div w:id="2056734355">
      <w:bodyDiv w:val="1"/>
      <w:marLeft w:val="0"/>
      <w:marRight w:val="0"/>
      <w:marTop w:val="0"/>
      <w:marBottom w:val="0"/>
      <w:divBdr>
        <w:top w:val="none" w:sz="0" w:space="0" w:color="auto"/>
        <w:left w:val="none" w:sz="0" w:space="0" w:color="auto"/>
        <w:bottom w:val="none" w:sz="0" w:space="0" w:color="auto"/>
        <w:right w:val="none" w:sz="0" w:space="0" w:color="auto"/>
      </w:divBdr>
    </w:div>
    <w:div w:id="21262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3</Pages>
  <Words>1519</Words>
  <Characters>8661</Characters>
  <Application>Microsoft Office Word</Application>
  <DocSecurity>0</DocSecurity>
  <Lines>72</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Liptáková,  (Alena)</dc:creator>
  <cp:keywords/>
  <dc:description/>
  <cp:lastModifiedBy>maria.lehotska</cp:lastModifiedBy>
  <cp:revision>19</cp:revision>
  <dcterms:created xsi:type="dcterms:W3CDTF">2022-07-19T12:30:00Z</dcterms:created>
  <dcterms:modified xsi:type="dcterms:W3CDTF">2022-07-20T10:54:00Z</dcterms:modified>
</cp:coreProperties>
</file>