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D2C" w:rsidRDefault="00BD7D2C" w:rsidP="00BD7D2C">
      <w:pPr>
        <w:pStyle w:val="Odsekzoznamu"/>
        <w:numPr>
          <w:ilvl w:val="0"/>
          <w:numId w:val="1"/>
        </w:numPr>
        <w:rPr>
          <w:color w:val="1F497D"/>
        </w:rPr>
      </w:pPr>
      <w:r>
        <w:rPr>
          <w:color w:val="1F497D"/>
        </w:rPr>
        <w:t xml:space="preserve">čo sa týka </w:t>
      </w:r>
      <w:proofErr w:type="spellStart"/>
      <w:r>
        <w:rPr>
          <w:color w:val="1F497D"/>
        </w:rPr>
        <w:t>wordingu</w:t>
      </w:r>
      <w:proofErr w:type="spellEnd"/>
      <w:r>
        <w:rPr>
          <w:color w:val="1F497D"/>
        </w:rPr>
        <w:t>, v tejto etape išlo najmä o rozdelenie dokumentov, takže do znenia dokumentov sme nezasahovali, keďže ich obsah vychádza z obsahu pôvodnej jednej dohody; pri finálnej úprave by však bolo vhodné zamerať sa na obsah dohody tak, aby sme sa zmestili na jeden list A4; podľa nášho názoru sú niektoré ustanovenia v zmluve zbytočné (napr. záväzok Poistníka riadne a včas platiť poistné) a niektoré sú problematické (napr. viazanie výpovede zo strany Poistníka na súhlas Banky);</w:t>
      </w:r>
    </w:p>
    <w:p w:rsidR="00BD7D2C" w:rsidRDefault="00BD7D2C" w:rsidP="00BD7D2C">
      <w:pPr>
        <w:pStyle w:val="Odsekzoznamu"/>
        <w:numPr>
          <w:ilvl w:val="0"/>
          <w:numId w:val="1"/>
        </w:numPr>
        <w:rPr>
          <w:color w:val="1F497D"/>
        </w:rPr>
      </w:pPr>
      <w:r>
        <w:rPr>
          <w:color w:val="1F497D"/>
        </w:rPr>
        <w:t>čo sa týka podpisovania, treba jednoznačne určiť, akým spôsobom bude podpisovaná rámcová dohoda. Zatiaľ predpokladáme individuálny režim, t.j. jedna poisťovňa  - jedna banka;</w:t>
      </w:r>
    </w:p>
    <w:p w:rsidR="00BD7D2C" w:rsidRDefault="00BD7D2C" w:rsidP="00BD7D2C">
      <w:pPr>
        <w:pStyle w:val="Odsekzoznamu"/>
        <w:numPr>
          <w:ilvl w:val="0"/>
          <w:numId w:val="1"/>
        </w:numPr>
        <w:rPr>
          <w:color w:val="1F497D"/>
        </w:rPr>
      </w:pPr>
      <w:r>
        <w:rPr>
          <w:color w:val="1F497D"/>
        </w:rPr>
        <w:t>v rámcovej dohode by sme radi riešili aj ďalšie procesné veci, nielen výmenu „oznámenia o vzniku záložného práva“; z nášho pohľadu je vhodné jednoznačne povedať, čo sa od poisťovne očakáva po doručení podkladov od banky – čo ak poisťovňa nebude evidovať poistnú zmluvu, pre ktorú banka zašle oznámenie o vzniku záložného práva? Bude tiež potrebné riešiť možnosti ukončenia a dôsledky ukončenia rámcovej zmluvy...</w:t>
      </w:r>
    </w:p>
    <w:p w:rsidR="00BD7D2C" w:rsidRDefault="00BD7D2C" w:rsidP="00BD7D2C">
      <w:pPr>
        <w:pStyle w:val="Odsekzoznamu"/>
        <w:numPr>
          <w:ilvl w:val="0"/>
          <w:numId w:val="1"/>
        </w:numPr>
        <w:rPr>
          <w:color w:val="1F497D"/>
        </w:rPr>
      </w:pPr>
      <w:r>
        <w:rPr>
          <w:color w:val="1F497D"/>
        </w:rPr>
        <w:t xml:space="preserve">ustanovenie o postupe poisťovne v prípade viacerých vinkulácií/záložných práv by sme radi videli v osobitnej formulárovej dohode a nie v rámcovej zmluve. Máme za to, že je to vhodnejšie najmä z týchto dôvodov: </w:t>
      </w:r>
    </w:p>
    <w:p w:rsidR="00BD7D2C" w:rsidRDefault="00BD7D2C" w:rsidP="00BD7D2C">
      <w:pPr>
        <w:pStyle w:val="Odsekzoznamu"/>
        <w:numPr>
          <w:ilvl w:val="1"/>
          <w:numId w:val="1"/>
        </w:numPr>
        <w:rPr>
          <w:color w:val="1F497D"/>
        </w:rPr>
      </w:pPr>
      <w:r>
        <w:rPr>
          <w:color w:val="1F497D"/>
        </w:rPr>
        <w:t>ak to bude uvedené vo formulárovej dohode, bude tento režim platiť počas celej doby platnosti formulárovej dohody; ak to bude v rámcovej zmluve, bude to viazané na rámcovú zmluvu. Ak by sa model, na ktorom práve pracujeme, neosvedčil a došlo by k ukončeniu rámcovej zmluvy, mohli by vzniknúť pochybnosti o tom, ako má poisťovňa postupovať v prípade existencie viacerých vinkulácií, pretože použiteľnosť ustanovenia zanikne spolu s rámcovou zmluvou</w:t>
      </w:r>
    </w:p>
    <w:p w:rsidR="00BD7D2C" w:rsidRDefault="00BD7D2C" w:rsidP="00BD7D2C">
      <w:pPr>
        <w:pStyle w:val="Odsekzoznamu"/>
        <w:numPr>
          <w:ilvl w:val="1"/>
          <w:numId w:val="1"/>
        </w:numPr>
        <w:rPr>
          <w:color w:val="1F497D"/>
        </w:rPr>
      </w:pPr>
      <w:r>
        <w:rPr>
          <w:color w:val="1F497D"/>
        </w:rPr>
        <w:t>predmetné ustanovenie môže slúžiť ako dôležité interpretačné pravidlo v prípade, ak sa bude formulárová dohoda podpisovať k nehnuteľnosti, ku ktorej je viazaná vinkulácia na základe doteraz používaných tlačív. Keďže existuje množstvo rôznych tlačív s rôznymi zneniami, nevieme jednoznačne povedať, ako sú formulované. Ak nie je pôvodná vinkulácia formulovaná ako neodvolateľný príkaz zo strany poisteného, môže vzniknúť otázka, či nemáme novo podpísanú formulárovú dohodu brať ako prejav vôle klienta, ktorý má nahradiť pôvodnú vinkuláciu (teda chce zrušiť pôvodnú vinkuláciu a nahradiť ju novou v plnom rozsahu). Aby mali poisťovne jednotný režim, bolo by dobré mať ustanovenie o výplate poistného plnenia v prípade viacerých vinkulácií v dokumente, ktorý podpisuje aj poistený.</w:t>
      </w:r>
    </w:p>
    <w:p w:rsidR="009425F9" w:rsidRDefault="009425F9"/>
    <w:sectPr w:rsidR="009425F9" w:rsidSect="009425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D41244"/>
    <w:multiLevelType w:val="hybridMultilevel"/>
    <w:tmpl w:val="5F88594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D7D2C"/>
    <w:rsid w:val="001837FA"/>
    <w:rsid w:val="00242AF0"/>
    <w:rsid w:val="00316633"/>
    <w:rsid w:val="00827E2A"/>
    <w:rsid w:val="008E6EF9"/>
    <w:rsid w:val="009425F9"/>
    <w:rsid w:val="00BD7D2C"/>
    <w:rsid w:val="00C11027"/>
    <w:rsid w:val="00E24483"/>
    <w:rsid w:val="00E90C5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425F9"/>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D7D2C"/>
    <w:pPr>
      <w:spacing w:after="0" w:line="240" w:lineRule="auto"/>
      <w:ind w:left="720"/>
    </w:pPr>
    <w:rPr>
      <w:rFonts w:ascii="Calibri" w:hAnsi="Calibri" w:cs="Times New Roman"/>
      <w:lang w:eastAsia="sk-SK"/>
    </w:rPr>
  </w:style>
</w:styles>
</file>

<file path=word/webSettings.xml><?xml version="1.0" encoding="utf-8"?>
<w:webSettings xmlns:r="http://schemas.openxmlformats.org/officeDocument/2006/relationships" xmlns:w="http://schemas.openxmlformats.org/wordprocessingml/2006/main">
  <w:divs>
    <w:div w:id="96654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2144</Characters>
  <Application>Microsoft Office Word</Application>
  <DocSecurity>0</DocSecurity>
  <Lines>17</Lines>
  <Paragraphs>5</Paragraphs>
  <ScaleCrop>false</ScaleCrop>
  <Company>Hewlett-Packard Company</Company>
  <LinksUpToDate>false</LinksUpToDate>
  <CharactersWithSpaces>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lehotska</dc:creator>
  <cp:lastModifiedBy>lehotska</cp:lastModifiedBy>
  <cp:revision>1</cp:revision>
  <dcterms:created xsi:type="dcterms:W3CDTF">2012-11-20T13:31:00Z</dcterms:created>
  <dcterms:modified xsi:type="dcterms:W3CDTF">2012-11-20T13:31:00Z</dcterms:modified>
</cp:coreProperties>
</file>