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3AD9" w:rsidRDefault="00DA3B3A" w:rsidP="00DA3B3A">
      <w:pPr>
        <w:spacing w:line="240" w:lineRule="auto"/>
        <w:jc w:val="center"/>
        <w:rPr>
          <w:rStyle w:val="CEAGraphTitle"/>
          <w:b/>
          <w:sz w:val="20"/>
          <w:szCs w:val="20"/>
        </w:rPr>
      </w:pPr>
      <w:r>
        <w:rPr>
          <w:rStyle w:val="CEAGraphTitle"/>
          <w:b/>
          <w:sz w:val="20"/>
          <w:szCs w:val="20"/>
        </w:rPr>
        <w:t>3</w:t>
      </w:r>
      <w:r w:rsidRPr="00DA3B3A">
        <w:rPr>
          <w:rStyle w:val="CEAGraphTitle"/>
          <w:b/>
          <w:sz w:val="20"/>
          <w:szCs w:val="20"/>
          <w:vertAlign w:val="superscript"/>
        </w:rPr>
        <w:t>RD</w:t>
      </w:r>
      <w:r>
        <w:rPr>
          <w:rStyle w:val="CEAGraphTitle"/>
          <w:b/>
          <w:sz w:val="20"/>
          <w:szCs w:val="20"/>
        </w:rPr>
        <w:t xml:space="preserve"> DRAFT INSURANCE EUROPE KEY MESSAGES ON THE E</w:t>
      </w:r>
      <w:r w:rsidR="00934EFF">
        <w:rPr>
          <w:rStyle w:val="CEAGraphTitle"/>
          <w:b/>
          <w:sz w:val="20"/>
          <w:szCs w:val="20"/>
        </w:rPr>
        <w:t xml:space="preserve">UROPEAN </w:t>
      </w:r>
      <w:r>
        <w:rPr>
          <w:rStyle w:val="CEAGraphTitle"/>
          <w:b/>
          <w:sz w:val="20"/>
          <w:szCs w:val="20"/>
        </w:rPr>
        <w:t>C</w:t>
      </w:r>
      <w:r w:rsidR="00934EFF">
        <w:rPr>
          <w:rStyle w:val="CEAGraphTitle"/>
          <w:b/>
          <w:sz w:val="20"/>
          <w:szCs w:val="20"/>
        </w:rPr>
        <w:t>OMMISSION’S</w:t>
      </w:r>
      <w:r>
        <w:rPr>
          <w:rStyle w:val="CEAGraphTitle"/>
          <w:b/>
          <w:sz w:val="20"/>
          <w:szCs w:val="20"/>
        </w:rPr>
        <w:t xml:space="preserve"> PROPOSED GENERAL DATA PROTECTION REGULATION</w:t>
      </w:r>
    </w:p>
    <w:p w:rsidR="00DA3B3A" w:rsidRDefault="00DA3B3A" w:rsidP="00DA3B3A">
      <w:pPr>
        <w:spacing w:line="240" w:lineRule="auto"/>
        <w:jc w:val="center"/>
        <w:rPr>
          <w:rStyle w:val="CEAGraphTitle"/>
          <w:sz w:val="20"/>
          <w:szCs w:val="20"/>
        </w:rPr>
      </w:pPr>
    </w:p>
    <w:p w:rsidR="00F97D86" w:rsidRPr="00FE0CEE" w:rsidRDefault="00DA3B3A" w:rsidP="00DA3B3A">
      <w:pPr>
        <w:rPr>
          <w:rStyle w:val="CEAGraphTitle"/>
          <w:sz w:val="20"/>
          <w:szCs w:val="20"/>
          <w:u w:val="single"/>
        </w:rPr>
      </w:pPr>
      <w:r w:rsidRPr="00FE0CEE">
        <w:rPr>
          <w:rStyle w:val="CEAGraphTitle"/>
          <w:sz w:val="20"/>
          <w:szCs w:val="20"/>
          <w:u w:val="single"/>
        </w:rPr>
        <w:t>Introduction</w:t>
      </w:r>
    </w:p>
    <w:p w:rsidR="00FE0CEE" w:rsidRDefault="00FE0CEE" w:rsidP="00FE0CEE">
      <w:pPr>
        <w:pStyle w:val="NoSpacing"/>
        <w:spacing w:after="120" w:line="288" w:lineRule="auto"/>
        <w:jc w:val="both"/>
        <w:rPr>
          <w:rFonts w:ascii="Verdana" w:hAnsi="Verdana"/>
          <w:sz w:val="17"/>
          <w:szCs w:val="17"/>
        </w:rPr>
      </w:pPr>
      <w:r w:rsidRPr="006E769B">
        <w:rPr>
          <w:rFonts w:ascii="Verdana" w:hAnsi="Verdana"/>
          <w:sz w:val="17"/>
          <w:szCs w:val="17"/>
        </w:rPr>
        <w:t>Collecting and processing personal data are core insurance activities. To ensure that insurance premiums fairly reflect actual risk</w:t>
      </w:r>
      <w:r>
        <w:rPr>
          <w:rFonts w:ascii="Verdana" w:hAnsi="Verdana"/>
          <w:sz w:val="17"/>
          <w:szCs w:val="17"/>
        </w:rPr>
        <w:t>s</w:t>
      </w:r>
      <w:r w:rsidRPr="006E769B">
        <w:rPr>
          <w:rFonts w:ascii="Verdana" w:hAnsi="Verdana"/>
          <w:sz w:val="17"/>
          <w:szCs w:val="17"/>
        </w:rPr>
        <w:t xml:space="preserve">, insurance companies need to collect relevant personal details from customers. </w:t>
      </w:r>
      <w:r>
        <w:rPr>
          <w:rFonts w:ascii="Verdana" w:hAnsi="Verdana"/>
          <w:sz w:val="17"/>
          <w:szCs w:val="17"/>
        </w:rPr>
        <w:t xml:space="preserve">They then assess the risks </w:t>
      </w:r>
      <w:r w:rsidRPr="006E769B">
        <w:rPr>
          <w:rFonts w:ascii="Verdana" w:hAnsi="Verdana"/>
          <w:sz w:val="17"/>
          <w:szCs w:val="17"/>
        </w:rPr>
        <w:t>based on</w:t>
      </w:r>
      <w:r>
        <w:rPr>
          <w:rFonts w:ascii="Verdana" w:hAnsi="Verdana"/>
          <w:sz w:val="17"/>
          <w:szCs w:val="17"/>
        </w:rPr>
        <w:t xml:space="preserve"> </w:t>
      </w:r>
      <w:r w:rsidRPr="006E769B">
        <w:rPr>
          <w:rFonts w:ascii="Verdana" w:hAnsi="Verdana"/>
          <w:sz w:val="17"/>
          <w:szCs w:val="17"/>
        </w:rPr>
        <w:t>th</w:t>
      </w:r>
      <w:r>
        <w:rPr>
          <w:rFonts w:ascii="Verdana" w:hAnsi="Verdana"/>
          <w:sz w:val="17"/>
          <w:szCs w:val="17"/>
        </w:rPr>
        <w:t>at</w:t>
      </w:r>
      <w:r w:rsidRPr="006E769B">
        <w:rPr>
          <w:rFonts w:ascii="Verdana" w:hAnsi="Verdana"/>
          <w:sz w:val="17"/>
          <w:szCs w:val="17"/>
        </w:rPr>
        <w:t xml:space="preserve"> information and</w:t>
      </w:r>
      <w:r>
        <w:rPr>
          <w:rFonts w:ascii="Verdana" w:hAnsi="Verdana"/>
          <w:sz w:val="17"/>
          <w:szCs w:val="17"/>
        </w:rPr>
        <w:t xml:space="preserve"> on underwriting</w:t>
      </w:r>
      <w:r w:rsidRPr="006E769B">
        <w:rPr>
          <w:rFonts w:ascii="Verdana" w:hAnsi="Verdana"/>
          <w:sz w:val="17"/>
          <w:szCs w:val="17"/>
        </w:rPr>
        <w:t xml:space="preserve"> guidelines</w:t>
      </w:r>
      <w:r>
        <w:rPr>
          <w:rFonts w:ascii="Verdana" w:hAnsi="Verdana"/>
          <w:sz w:val="17"/>
          <w:szCs w:val="17"/>
        </w:rPr>
        <w:t xml:space="preserve">. </w:t>
      </w:r>
    </w:p>
    <w:p w:rsidR="00FE0CEE" w:rsidRPr="006E769B" w:rsidRDefault="00FE0CEE" w:rsidP="00FE0CEE">
      <w:pPr>
        <w:pStyle w:val="NoSpacing"/>
        <w:spacing w:after="120" w:line="288" w:lineRule="auto"/>
        <w:jc w:val="both"/>
        <w:rPr>
          <w:rFonts w:ascii="Verdana" w:hAnsi="Verdana"/>
          <w:sz w:val="17"/>
          <w:szCs w:val="17"/>
        </w:rPr>
      </w:pPr>
      <w:r w:rsidRPr="00FA2538">
        <w:rPr>
          <w:rFonts w:ascii="Verdana" w:hAnsi="Verdana"/>
          <w:sz w:val="17"/>
          <w:szCs w:val="17"/>
        </w:rPr>
        <w:t>Risk assessment is economically efficient, as it allows the price of the insurance to reflect the cost of providing it.</w:t>
      </w:r>
      <w:r>
        <w:rPr>
          <w:rFonts w:ascii="Verdana" w:hAnsi="Verdana"/>
          <w:sz w:val="17"/>
          <w:szCs w:val="17"/>
        </w:rPr>
        <w:t xml:space="preserve"> </w:t>
      </w:r>
      <w:r w:rsidRPr="00715C1D">
        <w:rPr>
          <w:rFonts w:ascii="Verdana" w:hAnsi="Verdana"/>
          <w:sz w:val="17"/>
          <w:szCs w:val="17"/>
        </w:rPr>
        <w:t>If insurers are not able to properly assess risks, there can be a significant negative impact not only on (re)insurers but also on consumers, as premiums could increase, insurance coverage could decrease and some products might be withdrawn from the market entirely.</w:t>
      </w:r>
      <w:r>
        <w:rPr>
          <w:rFonts w:ascii="Verdana" w:hAnsi="Verdana"/>
          <w:sz w:val="17"/>
          <w:szCs w:val="17"/>
        </w:rPr>
        <w:t xml:space="preserve"> </w:t>
      </w:r>
      <w:r w:rsidRPr="006E769B">
        <w:rPr>
          <w:rFonts w:ascii="Verdana" w:hAnsi="Verdana"/>
          <w:sz w:val="17"/>
          <w:szCs w:val="17"/>
        </w:rPr>
        <w:t xml:space="preserve">It is </w:t>
      </w:r>
      <w:r>
        <w:rPr>
          <w:rFonts w:ascii="Verdana" w:hAnsi="Verdana"/>
          <w:sz w:val="17"/>
          <w:szCs w:val="17"/>
        </w:rPr>
        <w:t>crucial</w:t>
      </w:r>
      <w:r w:rsidRPr="006E769B">
        <w:rPr>
          <w:rFonts w:ascii="Verdana" w:hAnsi="Verdana"/>
          <w:sz w:val="17"/>
          <w:szCs w:val="17"/>
        </w:rPr>
        <w:t xml:space="preserve"> that legal frameworks for data protection achieve the </w:t>
      </w:r>
      <w:r>
        <w:rPr>
          <w:rFonts w:ascii="Verdana" w:hAnsi="Verdana"/>
          <w:sz w:val="17"/>
          <w:szCs w:val="17"/>
        </w:rPr>
        <w:t>correct</w:t>
      </w:r>
      <w:r w:rsidRPr="006E769B">
        <w:rPr>
          <w:rFonts w:ascii="Verdana" w:hAnsi="Verdana"/>
          <w:sz w:val="17"/>
          <w:szCs w:val="17"/>
        </w:rPr>
        <w:t xml:space="preserve"> balance between the rights of individuals and the </w:t>
      </w:r>
      <w:r>
        <w:rPr>
          <w:rFonts w:ascii="Verdana" w:hAnsi="Verdana"/>
          <w:sz w:val="17"/>
          <w:szCs w:val="17"/>
        </w:rPr>
        <w:t>ability</w:t>
      </w:r>
      <w:r w:rsidRPr="006E769B">
        <w:rPr>
          <w:rFonts w:ascii="Verdana" w:hAnsi="Verdana"/>
          <w:sz w:val="17"/>
          <w:szCs w:val="17"/>
        </w:rPr>
        <w:t xml:space="preserve"> of insurers to deliver services</w:t>
      </w:r>
      <w:r>
        <w:rPr>
          <w:rFonts w:ascii="Verdana" w:hAnsi="Verdana"/>
          <w:sz w:val="17"/>
          <w:szCs w:val="17"/>
        </w:rPr>
        <w:t xml:space="preserve"> to their</w:t>
      </w:r>
      <w:r w:rsidRPr="006E769B">
        <w:rPr>
          <w:rFonts w:ascii="Verdana" w:hAnsi="Verdana"/>
          <w:sz w:val="17"/>
          <w:szCs w:val="17"/>
        </w:rPr>
        <w:t xml:space="preserve"> customers</w:t>
      </w:r>
      <w:r>
        <w:rPr>
          <w:rFonts w:ascii="Verdana" w:hAnsi="Verdana"/>
          <w:sz w:val="17"/>
          <w:szCs w:val="17"/>
        </w:rPr>
        <w:t xml:space="preserve"> at the right price</w:t>
      </w:r>
      <w:r w:rsidRPr="006E769B">
        <w:rPr>
          <w:rFonts w:ascii="Verdana" w:hAnsi="Verdana"/>
          <w:sz w:val="17"/>
          <w:szCs w:val="17"/>
        </w:rPr>
        <w:t>.</w:t>
      </w:r>
      <w:r>
        <w:rPr>
          <w:rFonts w:ascii="Verdana" w:hAnsi="Verdana"/>
          <w:sz w:val="17"/>
          <w:szCs w:val="17"/>
        </w:rPr>
        <w:t xml:space="preserve"> </w:t>
      </w:r>
    </w:p>
    <w:p w:rsidR="00FE0CEE" w:rsidRPr="006E769B" w:rsidRDefault="00FE0CEE" w:rsidP="00FE0CEE">
      <w:pPr>
        <w:pStyle w:val="NoSpacing"/>
        <w:spacing w:after="120" w:line="288" w:lineRule="auto"/>
        <w:jc w:val="both"/>
        <w:rPr>
          <w:rFonts w:ascii="Verdana" w:hAnsi="Verdana"/>
          <w:sz w:val="17"/>
          <w:szCs w:val="17"/>
        </w:rPr>
      </w:pPr>
      <w:r>
        <w:rPr>
          <w:rFonts w:ascii="Verdana" w:hAnsi="Verdana"/>
          <w:sz w:val="17"/>
          <w:szCs w:val="17"/>
        </w:rPr>
        <w:t xml:space="preserve">Insurance Europe welcomes the </w:t>
      </w:r>
      <w:r w:rsidRPr="006E769B">
        <w:rPr>
          <w:rFonts w:ascii="Verdana" w:hAnsi="Verdana"/>
          <w:sz w:val="17"/>
          <w:szCs w:val="17"/>
        </w:rPr>
        <w:t>E</w:t>
      </w:r>
      <w:r>
        <w:rPr>
          <w:rFonts w:ascii="Verdana" w:hAnsi="Verdana"/>
          <w:sz w:val="17"/>
          <w:szCs w:val="17"/>
        </w:rPr>
        <w:t xml:space="preserve">uropean Commission’s </w:t>
      </w:r>
      <w:r w:rsidR="00934EFF">
        <w:rPr>
          <w:rFonts w:ascii="Verdana" w:hAnsi="Verdana"/>
          <w:sz w:val="17"/>
          <w:szCs w:val="17"/>
        </w:rPr>
        <w:t xml:space="preserve">(EC) </w:t>
      </w:r>
      <w:r w:rsidRPr="006E769B">
        <w:rPr>
          <w:rFonts w:ascii="Verdana" w:hAnsi="Verdana"/>
          <w:sz w:val="17"/>
          <w:szCs w:val="17"/>
        </w:rPr>
        <w:t>proposals</w:t>
      </w:r>
      <w:r>
        <w:rPr>
          <w:rFonts w:ascii="Verdana" w:hAnsi="Verdana"/>
          <w:sz w:val="17"/>
          <w:szCs w:val="17"/>
        </w:rPr>
        <w:t xml:space="preserve"> (January 2012)</w:t>
      </w:r>
      <w:r w:rsidRPr="006E769B">
        <w:rPr>
          <w:rFonts w:ascii="Verdana" w:hAnsi="Verdana"/>
          <w:sz w:val="17"/>
          <w:szCs w:val="17"/>
        </w:rPr>
        <w:t xml:space="preserve"> for </w:t>
      </w:r>
      <w:r w:rsidR="006014B5">
        <w:rPr>
          <w:rFonts w:ascii="Verdana" w:hAnsi="Verdana"/>
          <w:sz w:val="17"/>
          <w:szCs w:val="17"/>
        </w:rPr>
        <w:t>a</w:t>
      </w:r>
      <w:r w:rsidRPr="006E769B">
        <w:rPr>
          <w:rFonts w:ascii="Verdana" w:hAnsi="Verdana"/>
          <w:sz w:val="17"/>
          <w:szCs w:val="17"/>
        </w:rPr>
        <w:t xml:space="preserve"> reform of the legal framework for data protection</w:t>
      </w:r>
      <w:r>
        <w:rPr>
          <w:rFonts w:ascii="Verdana" w:hAnsi="Verdana"/>
          <w:sz w:val="17"/>
          <w:szCs w:val="17"/>
        </w:rPr>
        <w:t xml:space="preserve">. </w:t>
      </w:r>
      <w:r w:rsidRPr="006E769B">
        <w:rPr>
          <w:rFonts w:ascii="Verdana" w:hAnsi="Verdana"/>
          <w:sz w:val="17"/>
          <w:szCs w:val="17"/>
        </w:rPr>
        <w:t xml:space="preserve">However, </w:t>
      </w:r>
      <w:r>
        <w:rPr>
          <w:rFonts w:ascii="Verdana" w:hAnsi="Verdana"/>
          <w:sz w:val="17"/>
          <w:szCs w:val="17"/>
        </w:rPr>
        <w:t>it</w:t>
      </w:r>
      <w:r w:rsidRPr="006E769B">
        <w:rPr>
          <w:rFonts w:ascii="Verdana" w:hAnsi="Verdana"/>
          <w:sz w:val="17"/>
          <w:szCs w:val="17"/>
        </w:rPr>
        <w:t xml:space="preserve"> is concerned that parts of the proposed EC </w:t>
      </w:r>
      <w:r>
        <w:rPr>
          <w:rFonts w:ascii="Verdana" w:hAnsi="Verdana"/>
          <w:sz w:val="17"/>
          <w:szCs w:val="17"/>
        </w:rPr>
        <w:t xml:space="preserve">General Data Protection </w:t>
      </w:r>
      <w:r w:rsidRPr="006E769B">
        <w:rPr>
          <w:rFonts w:ascii="Verdana" w:hAnsi="Verdana"/>
          <w:sz w:val="17"/>
          <w:szCs w:val="17"/>
        </w:rPr>
        <w:t>Regulation may have unintended consequences</w:t>
      </w:r>
      <w:r>
        <w:rPr>
          <w:rFonts w:ascii="Verdana" w:hAnsi="Verdana"/>
          <w:sz w:val="17"/>
          <w:szCs w:val="17"/>
        </w:rPr>
        <w:t xml:space="preserve"> for insurers</w:t>
      </w:r>
      <w:r w:rsidRPr="006E769B">
        <w:rPr>
          <w:rFonts w:ascii="Verdana" w:hAnsi="Verdana"/>
          <w:sz w:val="17"/>
          <w:szCs w:val="17"/>
        </w:rPr>
        <w:t xml:space="preserve">. </w:t>
      </w:r>
    </w:p>
    <w:p w:rsidR="0043493A" w:rsidRPr="00F97381" w:rsidRDefault="00F97381" w:rsidP="006A25E3">
      <w:pPr>
        <w:pStyle w:val="ListParagraph"/>
        <w:numPr>
          <w:ilvl w:val="0"/>
          <w:numId w:val="18"/>
        </w:numPr>
        <w:rPr>
          <w:rStyle w:val="CEAGraphTitle"/>
          <w:sz w:val="20"/>
          <w:szCs w:val="20"/>
          <w:u w:val="single"/>
        </w:rPr>
      </w:pPr>
      <w:r w:rsidRPr="00F97381">
        <w:rPr>
          <w:rStyle w:val="CEAGraphTitle"/>
          <w:sz w:val="20"/>
          <w:szCs w:val="20"/>
          <w:u w:val="single"/>
        </w:rPr>
        <w:t>Insurance specific concerns w</w:t>
      </w:r>
      <w:r w:rsidR="0043493A" w:rsidRPr="00F97381">
        <w:rPr>
          <w:rStyle w:val="CEAGraphTitle"/>
          <w:sz w:val="20"/>
          <w:szCs w:val="20"/>
          <w:u w:val="single"/>
        </w:rPr>
        <w:t>ith regard to the proposed</w:t>
      </w:r>
      <w:r w:rsidR="004F0038">
        <w:rPr>
          <w:rStyle w:val="CEAGraphTitle"/>
          <w:sz w:val="20"/>
          <w:szCs w:val="20"/>
          <w:u w:val="single"/>
        </w:rPr>
        <w:t xml:space="preserve"> EC General Data P</w:t>
      </w:r>
      <w:r w:rsidR="00FE0CEE">
        <w:rPr>
          <w:rStyle w:val="CEAGraphTitle"/>
          <w:sz w:val="20"/>
          <w:szCs w:val="20"/>
          <w:u w:val="single"/>
        </w:rPr>
        <w:t>rotection</w:t>
      </w:r>
      <w:r w:rsidR="0043493A" w:rsidRPr="00F97381">
        <w:rPr>
          <w:rStyle w:val="CEAGraphTitle"/>
          <w:sz w:val="20"/>
          <w:szCs w:val="20"/>
          <w:u w:val="single"/>
        </w:rPr>
        <w:t xml:space="preserve"> Regulation </w:t>
      </w:r>
    </w:p>
    <w:p w:rsidR="0043493A" w:rsidRPr="00DA3B3A" w:rsidRDefault="0043493A" w:rsidP="00DA3B3A">
      <w:pPr>
        <w:rPr>
          <w:rStyle w:val="CEAGraphTitle"/>
          <w:szCs w:val="17"/>
        </w:rPr>
      </w:pPr>
    </w:p>
    <w:p w:rsidR="00DA3B3A" w:rsidRPr="00A50222" w:rsidRDefault="00DA3B3A" w:rsidP="006A25E3">
      <w:pPr>
        <w:pStyle w:val="ListParagraph"/>
        <w:numPr>
          <w:ilvl w:val="0"/>
          <w:numId w:val="17"/>
        </w:numPr>
        <w:rPr>
          <w:rStyle w:val="CEAGraphTitle"/>
          <w:b/>
          <w:szCs w:val="17"/>
          <w:u w:val="single"/>
        </w:rPr>
      </w:pPr>
      <w:r w:rsidRPr="00A50222">
        <w:rPr>
          <w:rStyle w:val="CEAGraphTitle"/>
          <w:b/>
          <w:szCs w:val="17"/>
          <w:u w:val="single"/>
        </w:rPr>
        <w:t>Consent</w:t>
      </w:r>
    </w:p>
    <w:p w:rsidR="00A50222" w:rsidRDefault="00DA3B3A" w:rsidP="006014B5">
      <w:pPr>
        <w:pBdr>
          <w:top w:val="single" w:sz="4" w:space="1" w:color="auto"/>
          <w:left w:val="single" w:sz="4" w:space="4" w:color="auto"/>
          <w:bottom w:val="single" w:sz="4" w:space="1" w:color="auto"/>
          <w:right w:val="single" w:sz="4" w:space="5" w:color="auto"/>
        </w:pBdr>
        <w:spacing w:after="120"/>
        <w:rPr>
          <w:rStyle w:val="CEAGraphTitle"/>
          <w:szCs w:val="17"/>
        </w:rPr>
      </w:pPr>
      <w:r w:rsidRPr="00A50222">
        <w:rPr>
          <w:rStyle w:val="CEAGraphTitle"/>
          <w:szCs w:val="17"/>
          <w:u w:val="single"/>
        </w:rPr>
        <w:t>Preamble 25</w:t>
      </w:r>
      <w:r w:rsidRPr="00DA3B3A">
        <w:rPr>
          <w:rStyle w:val="CEAGraphTitle"/>
          <w:szCs w:val="17"/>
        </w:rPr>
        <w:t xml:space="preserve">: </w:t>
      </w:r>
      <w:r w:rsidRPr="00A50222">
        <w:rPr>
          <w:rStyle w:val="CEAGraphTitle"/>
          <w:i/>
          <w:szCs w:val="17"/>
        </w:rPr>
        <w:t xml:space="preserve">“Consent should </w:t>
      </w:r>
      <w:r w:rsidRPr="0043493A">
        <w:rPr>
          <w:rStyle w:val="CEAGraphTitle"/>
          <w:b/>
          <w:i/>
          <w:szCs w:val="17"/>
        </w:rPr>
        <w:t>be given explicitly</w:t>
      </w:r>
      <w:r w:rsidRPr="00A50222">
        <w:rPr>
          <w:rStyle w:val="CEAGraphTitle"/>
          <w:i/>
          <w:szCs w:val="17"/>
        </w:rPr>
        <w:t xml:space="preserve"> by any appropriate method enabling a freely given specific and informed indication of the data subject’s wishes, either by a statement or by a clear affirmative action by the data subject, ensuring that individuals are aware that they give their consent to the processing of personal data, including by ticking a box when visiting an Internet website or by any other statement or conduct which clearly indicates in this context </w:t>
      </w:r>
      <w:r w:rsidR="00A50222" w:rsidRPr="00A50222">
        <w:rPr>
          <w:rStyle w:val="CEAGraphTitle"/>
          <w:i/>
          <w:szCs w:val="17"/>
        </w:rPr>
        <w:t>the data subject’s acceptance of the proposed processing of their personal data. Silence or inactivity should therefore not constitute consent. Consent should cover all processing activities carried out for the same purpose or purposes. If the data subject’s consent is to be given following an electronic request, the request must be clear, concise and not unnecessarily disruptive to the use of the service for which it is provided”</w:t>
      </w:r>
      <w:r w:rsidR="00A50222">
        <w:rPr>
          <w:rStyle w:val="CEAGraphTitle"/>
          <w:szCs w:val="17"/>
        </w:rPr>
        <w:t>.</w:t>
      </w:r>
    </w:p>
    <w:p w:rsidR="00A50222" w:rsidRDefault="00A50222" w:rsidP="006014B5">
      <w:pPr>
        <w:pBdr>
          <w:top w:val="single" w:sz="4" w:space="1" w:color="auto"/>
          <w:left w:val="single" w:sz="4" w:space="4" w:color="auto"/>
          <w:bottom w:val="single" w:sz="4" w:space="1" w:color="auto"/>
          <w:right w:val="single" w:sz="4" w:space="5" w:color="auto"/>
        </w:pBdr>
        <w:spacing w:after="120"/>
        <w:rPr>
          <w:rStyle w:val="CEAGraphTitle"/>
          <w:i/>
          <w:szCs w:val="17"/>
        </w:rPr>
      </w:pPr>
      <w:r w:rsidRPr="00A50222">
        <w:rPr>
          <w:rStyle w:val="CEAGraphTitle"/>
          <w:szCs w:val="17"/>
          <w:u w:val="single"/>
        </w:rPr>
        <w:t>Article 4par.8</w:t>
      </w:r>
      <w:r>
        <w:rPr>
          <w:rStyle w:val="CEAGraphTitle"/>
          <w:szCs w:val="17"/>
        </w:rPr>
        <w:t xml:space="preserve">: </w:t>
      </w:r>
      <w:r w:rsidRPr="00A50222">
        <w:rPr>
          <w:rStyle w:val="CEAGraphTitle"/>
          <w:i/>
          <w:szCs w:val="17"/>
        </w:rPr>
        <w:t xml:space="preserve">“The data subject’s consent means any freely given </w:t>
      </w:r>
      <w:r w:rsidRPr="0043493A">
        <w:rPr>
          <w:rStyle w:val="CEAGraphTitle"/>
          <w:b/>
          <w:i/>
          <w:szCs w:val="17"/>
        </w:rPr>
        <w:t>specific, informed and explicit indication</w:t>
      </w:r>
      <w:r w:rsidRPr="00A50222">
        <w:rPr>
          <w:rStyle w:val="CEAGraphTitle"/>
          <w:i/>
          <w:szCs w:val="17"/>
        </w:rPr>
        <w:t xml:space="preserve"> of his or her wishes by which the data subject, e</w:t>
      </w:r>
      <w:r w:rsidR="0051748E">
        <w:rPr>
          <w:rStyle w:val="CEAGraphTitle"/>
          <w:i/>
          <w:szCs w:val="17"/>
        </w:rPr>
        <w:t>ither by a statement or</w:t>
      </w:r>
      <w:r w:rsidRPr="00A50222">
        <w:rPr>
          <w:rStyle w:val="CEAGraphTitle"/>
          <w:i/>
          <w:szCs w:val="17"/>
        </w:rPr>
        <w:t xml:space="preserve"> by a clear affirmative action, signifies agreement to personal data relating to them being processed</w:t>
      </w:r>
      <w:r>
        <w:rPr>
          <w:rStyle w:val="CEAGraphTitle"/>
          <w:i/>
          <w:szCs w:val="17"/>
        </w:rPr>
        <w:t>”</w:t>
      </w:r>
      <w:r w:rsidRPr="00A50222">
        <w:rPr>
          <w:rStyle w:val="CEAGraphTitle"/>
          <w:i/>
          <w:szCs w:val="17"/>
        </w:rPr>
        <w:t xml:space="preserve">. </w:t>
      </w:r>
    </w:p>
    <w:p w:rsidR="00681BBA" w:rsidRDefault="004F74A9" w:rsidP="004F74A9">
      <w:pPr>
        <w:pStyle w:val="CEABullet-Level1"/>
        <w:spacing w:after="120"/>
        <w:ind w:left="714" w:hanging="357"/>
        <w:rPr>
          <w:rFonts w:cs="Frutiger LT Std 45 Light"/>
          <w:lang w:val="en-GB"/>
        </w:rPr>
      </w:pPr>
      <w:r w:rsidRPr="004F74A9">
        <w:rPr>
          <w:rFonts w:cs="Frutiger LT Std 45 Light"/>
          <w:lang w:val="en-GB"/>
        </w:rPr>
        <w:t xml:space="preserve">Insurance Europe </w:t>
      </w:r>
      <w:r w:rsidRPr="00B943A6">
        <w:rPr>
          <w:rFonts w:cs="Frutiger LT Std 45 Light"/>
          <w:u w:val="single"/>
          <w:lang w:val="en-GB"/>
        </w:rPr>
        <w:t>believes</w:t>
      </w:r>
      <w:r w:rsidRPr="004F74A9">
        <w:rPr>
          <w:rFonts w:cs="Frutiger LT Std 45 Light"/>
          <w:lang w:val="en-GB"/>
        </w:rPr>
        <w:t xml:space="preserve"> the requirements of and for consent </w:t>
      </w:r>
      <w:r w:rsidRPr="00681BBA">
        <w:rPr>
          <w:rFonts w:cs="Frutiger LT Std 45 Light"/>
          <w:u w:val="single"/>
          <w:lang w:val="en-GB"/>
        </w:rPr>
        <w:t>must be proportionate</w:t>
      </w:r>
      <w:r w:rsidRPr="004F74A9">
        <w:rPr>
          <w:rFonts w:cs="Frutiger LT Std 45 Light"/>
          <w:lang w:val="en-GB"/>
        </w:rPr>
        <w:t xml:space="preserve"> to the purposes for which the consent is obtained</w:t>
      </w:r>
      <w:r w:rsidR="0051748E">
        <w:rPr>
          <w:rFonts w:cs="Frutiger LT Std 45 Light"/>
          <w:lang w:val="en-GB"/>
        </w:rPr>
        <w:t>. It should not prevent</w:t>
      </w:r>
      <w:r w:rsidRPr="004F74A9">
        <w:rPr>
          <w:rFonts w:cs="Frutiger LT Std 45 Light"/>
          <w:lang w:val="en-GB"/>
        </w:rPr>
        <w:t xml:space="preserve"> the insurer from delivering necessary services to the </w:t>
      </w:r>
      <w:r w:rsidR="00F97D86">
        <w:rPr>
          <w:rFonts w:cs="Frutiger LT Std 45 Light"/>
          <w:lang w:val="en-GB"/>
        </w:rPr>
        <w:t>consumer</w:t>
      </w:r>
      <w:r w:rsidRPr="004F74A9">
        <w:rPr>
          <w:rFonts w:cs="Frutiger LT Std 45 Light"/>
          <w:lang w:val="en-GB"/>
        </w:rPr>
        <w:t>.</w:t>
      </w:r>
    </w:p>
    <w:p w:rsidR="00BD5EF2" w:rsidRPr="00B943A6" w:rsidRDefault="0073634A" w:rsidP="00FC2AB3">
      <w:pPr>
        <w:pStyle w:val="CEABullet-Level1"/>
        <w:spacing w:after="120"/>
        <w:ind w:hanging="357"/>
        <w:rPr>
          <w:lang w:val="en-GB"/>
        </w:rPr>
      </w:pPr>
      <w:r w:rsidRPr="00B943A6">
        <w:rPr>
          <w:lang w:val="en-GB"/>
        </w:rPr>
        <w:t xml:space="preserve">Insurance Europe </w:t>
      </w:r>
      <w:r w:rsidRPr="00B943A6">
        <w:rPr>
          <w:u w:val="single"/>
          <w:lang w:val="en-GB"/>
        </w:rPr>
        <w:t>believes</w:t>
      </w:r>
      <w:r w:rsidRPr="00B943A6">
        <w:rPr>
          <w:lang w:val="en-GB"/>
        </w:rPr>
        <w:t xml:space="preserve"> </w:t>
      </w:r>
      <w:r w:rsidR="00D029CA">
        <w:rPr>
          <w:lang w:val="en-GB"/>
        </w:rPr>
        <w:t>any</w:t>
      </w:r>
      <w:r w:rsidRPr="00B943A6">
        <w:rPr>
          <w:lang w:val="en-GB"/>
        </w:rPr>
        <w:t xml:space="preserve"> </w:t>
      </w:r>
      <w:r w:rsidR="00CF09CC" w:rsidRPr="00B943A6">
        <w:rPr>
          <w:lang w:val="en-GB"/>
        </w:rPr>
        <w:t xml:space="preserve">changes to the rules of consent </w:t>
      </w:r>
      <w:r w:rsidR="0051748E">
        <w:rPr>
          <w:u w:val="single"/>
          <w:lang w:val="en-GB"/>
        </w:rPr>
        <w:t>could negatively impact</w:t>
      </w:r>
      <w:r w:rsidRPr="00B943A6">
        <w:rPr>
          <w:u w:val="single"/>
          <w:lang w:val="en-GB"/>
        </w:rPr>
        <w:t xml:space="preserve"> renewal</w:t>
      </w:r>
      <w:r w:rsidRPr="00B943A6">
        <w:rPr>
          <w:lang w:val="en-GB"/>
        </w:rPr>
        <w:t xml:space="preserve"> of</w:t>
      </w:r>
      <w:r w:rsidR="0051748E">
        <w:rPr>
          <w:lang w:val="en-GB"/>
        </w:rPr>
        <w:t xml:space="preserve"> same classes of</w:t>
      </w:r>
      <w:r w:rsidRPr="00B943A6">
        <w:rPr>
          <w:lang w:val="en-GB"/>
        </w:rPr>
        <w:t xml:space="preserve"> insurance contract</w:t>
      </w:r>
      <w:r w:rsidR="00BD5EF2" w:rsidRPr="00B943A6">
        <w:rPr>
          <w:lang w:val="en-GB"/>
        </w:rPr>
        <w:t>s</w:t>
      </w:r>
      <w:r w:rsidRPr="00B943A6">
        <w:rPr>
          <w:lang w:val="en-GB"/>
        </w:rPr>
        <w:t xml:space="preserve">. </w:t>
      </w:r>
      <w:r w:rsidR="00BD5EF2" w:rsidRPr="00B943A6">
        <w:rPr>
          <w:lang w:val="en-GB"/>
        </w:rPr>
        <w:t xml:space="preserve">This would have negative </w:t>
      </w:r>
      <w:r w:rsidR="0051748E">
        <w:rPr>
          <w:lang w:val="en-GB"/>
        </w:rPr>
        <w:t>implications</w:t>
      </w:r>
      <w:r w:rsidR="00BD5EF2" w:rsidRPr="00B943A6">
        <w:rPr>
          <w:lang w:val="en-GB"/>
        </w:rPr>
        <w:t xml:space="preserve"> for both insurers and consumers.</w:t>
      </w:r>
    </w:p>
    <w:p w:rsidR="00F16E54" w:rsidRDefault="00BD5EF2" w:rsidP="00FC2AB3">
      <w:pPr>
        <w:pStyle w:val="CEABullet-Level2"/>
        <w:spacing w:after="120"/>
        <w:ind w:hanging="357"/>
        <w:rPr>
          <w:rFonts w:eastAsia="Calibri"/>
          <w:lang w:val="en-GB"/>
        </w:rPr>
      </w:pPr>
      <w:r w:rsidRPr="00510951">
        <w:rPr>
          <w:rFonts w:cs="Frutiger LT Std 45 Light"/>
          <w:lang w:val="en-GB"/>
        </w:rPr>
        <w:t>For instance</w:t>
      </w:r>
      <w:r w:rsidRPr="00B943A6">
        <w:rPr>
          <w:rFonts w:cs="Frutiger LT Std 45 Light"/>
          <w:lang w:val="en-GB"/>
        </w:rPr>
        <w:t xml:space="preserve">, </w:t>
      </w:r>
      <w:r w:rsidR="00D029CA" w:rsidRPr="00B943A6">
        <w:rPr>
          <w:rFonts w:eastAsia="Calibri"/>
          <w:lang w:val="en-GB"/>
        </w:rPr>
        <w:t>in some countries</w:t>
      </w:r>
      <w:r w:rsidR="00D029CA">
        <w:rPr>
          <w:rFonts w:cs="Frutiger LT Std 45 Light"/>
          <w:lang w:val="en-GB"/>
        </w:rPr>
        <w:t xml:space="preserve">, </w:t>
      </w:r>
      <w:r w:rsidR="0051748E">
        <w:rPr>
          <w:rFonts w:cs="Frutiger LT Std 45 Light"/>
          <w:lang w:val="en-GB"/>
        </w:rPr>
        <w:t>and for some classes of</w:t>
      </w:r>
      <w:r w:rsidR="0073634A" w:rsidRPr="00B943A6">
        <w:rPr>
          <w:rFonts w:eastAsia="Calibri"/>
          <w:lang w:val="en-GB"/>
        </w:rPr>
        <w:t xml:space="preserve"> </w:t>
      </w:r>
      <w:r w:rsidR="00F16E54" w:rsidRPr="00B943A6">
        <w:rPr>
          <w:rFonts w:eastAsia="Calibri"/>
          <w:lang w:val="en-GB"/>
        </w:rPr>
        <w:t xml:space="preserve">insurance </w:t>
      </w:r>
      <w:r w:rsidR="0051748E">
        <w:rPr>
          <w:rFonts w:eastAsia="Calibri"/>
          <w:lang w:val="en-GB"/>
        </w:rPr>
        <w:t xml:space="preserve">renewal for a further policy period occurs automatically unless the consumer has actively opted out of the insurance product </w:t>
      </w:r>
      <w:r w:rsidR="00783DDF">
        <w:rPr>
          <w:rFonts w:eastAsia="Calibri"/>
          <w:lang w:val="en-GB"/>
        </w:rPr>
        <w:t>beforehand</w:t>
      </w:r>
      <w:r w:rsidR="00FC2AB3" w:rsidRPr="002C74D1">
        <w:rPr>
          <w:rFonts w:eastAsia="Calibri"/>
          <w:lang w:val="en-GB"/>
        </w:rPr>
        <w:t>.</w:t>
      </w:r>
      <w:r w:rsidR="00783DDF">
        <w:rPr>
          <w:rFonts w:eastAsia="Calibri"/>
          <w:lang w:val="en-GB"/>
        </w:rPr>
        <w:t xml:space="preserve"> This ensures that consumers retain insurance cove should they forget to actively enter into a new policy contract for insurance upon expiry of their existing policy period.</w:t>
      </w:r>
      <w:r w:rsidR="00FC2AB3" w:rsidRPr="002C74D1">
        <w:rPr>
          <w:rFonts w:eastAsia="Calibri"/>
          <w:lang w:val="en-GB"/>
        </w:rPr>
        <w:t xml:space="preserve"> </w:t>
      </w:r>
      <w:r w:rsidR="00FC2AB3" w:rsidRPr="00B943A6">
        <w:rPr>
          <w:rFonts w:eastAsia="Calibri"/>
          <w:lang w:val="en-GB"/>
        </w:rPr>
        <w:t xml:space="preserve">Under the </w:t>
      </w:r>
      <w:r w:rsidR="00FC2AB3" w:rsidRPr="002C74D1">
        <w:rPr>
          <w:rFonts w:eastAsia="Calibri"/>
          <w:lang w:val="en-GB"/>
        </w:rPr>
        <w:t>current</w:t>
      </w:r>
      <w:r w:rsidR="00783DDF">
        <w:rPr>
          <w:rFonts w:eastAsia="Calibri"/>
          <w:lang w:val="en-GB"/>
        </w:rPr>
        <w:t xml:space="preserve"> provisions, it is not clear whether the consent given upon entering into the original policy period would remain valid for subsequent policy periods renewed in this manner. </w:t>
      </w:r>
    </w:p>
    <w:p w:rsidR="00783DDF" w:rsidRPr="004F74A9" w:rsidRDefault="00783DDF" w:rsidP="00783DDF">
      <w:pPr>
        <w:pStyle w:val="CEABullet-Level1"/>
        <w:spacing w:after="120"/>
        <w:ind w:left="714" w:hanging="357"/>
        <w:rPr>
          <w:rFonts w:cs="Frutiger LT Std 45 Light"/>
          <w:lang w:val="en-GB"/>
        </w:rPr>
      </w:pPr>
      <w:r w:rsidRPr="004F74A9">
        <w:rPr>
          <w:rStyle w:val="CEAGraphTitle"/>
          <w:szCs w:val="17"/>
          <w:lang w:val="en-GB"/>
        </w:rPr>
        <w:t xml:space="preserve">Insurance Europe </w:t>
      </w:r>
      <w:r>
        <w:rPr>
          <w:rStyle w:val="CEAGraphTitle"/>
          <w:szCs w:val="17"/>
          <w:u w:val="single"/>
          <w:lang w:val="en-GB"/>
        </w:rPr>
        <w:t>is concerned</w:t>
      </w:r>
      <w:r w:rsidRPr="004F74A9">
        <w:rPr>
          <w:rStyle w:val="CEAGraphTitle"/>
          <w:szCs w:val="17"/>
          <w:lang w:val="en-GB"/>
        </w:rPr>
        <w:t xml:space="preserve"> the introduction of “explicit” consent will be </w:t>
      </w:r>
      <w:r w:rsidRPr="004F74A9">
        <w:rPr>
          <w:rStyle w:val="CEAGraphTitle"/>
          <w:szCs w:val="17"/>
          <w:u w:val="single"/>
          <w:lang w:val="en-GB"/>
        </w:rPr>
        <w:t>unnecessarily burdensome</w:t>
      </w:r>
      <w:r w:rsidRPr="004F74A9">
        <w:rPr>
          <w:rStyle w:val="CEAGraphTitle"/>
          <w:szCs w:val="17"/>
          <w:lang w:val="en-GB"/>
        </w:rPr>
        <w:t xml:space="preserve"> </w:t>
      </w:r>
      <w:r>
        <w:rPr>
          <w:rStyle w:val="CEAGraphTitle"/>
          <w:szCs w:val="17"/>
          <w:lang w:val="en-GB"/>
        </w:rPr>
        <w:t>for</w:t>
      </w:r>
      <w:r w:rsidRPr="004F74A9">
        <w:rPr>
          <w:rStyle w:val="CEAGraphTitle"/>
          <w:szCs w:val="17"/>
          <w:lang w:val="en-GB"/>
        </w:rPr>
        <w:t xml:space="preserve"> insurers with </w:t>
      </w:r>
      <w:r w:rsidRPr="004F74A9">
        <w:rPr>
          <w:rStyle w:val="CEAGraphTitle"/>
          <w:szCs w:val="17"/>
          <w:u w:val="single"/>
          <w:lang w:val="en-GB"/>
        </w:rPr>
        <w:t>no added value for consumers</w:t>
      </w:r>
      <w:r w:rsidRPr="004F74A9">
        <w:rPr>
          <w:rStyle w:val="CEAGraphTitle"/>
          <w:szCs w:val="17"/>
          <w:lang w:val="en-GB"/>
        </w:rPr>
        <w:t>.</w:t>
      </w:r>
    </w:p>
    <w:p w:rsidR="00783DDF" w:rsidRPr="00B943A6" w:rsidRDefault="00783DDF" w:rsidP="00783DDF">
      <w:pPr>
        <w:pStyle w:val="CEABullet-Level2"/>
        <w:spacing w:after="120"/>
        <w:ind w:hanging="357"/>
        <w:rPr>
          <w:rFonts w:eastAsia="Calibri"/>
          <w:lang w:val="en-GB"/>
        </w:rPr>
      </w:pPr>
      <w:commentRangeStart w:id="0"/>
      <w:r w:rsidRPr="00A339A4">
        <w:rPr>
          <w:rFonts w:eastAsia="Calibri"/>
          <w:lang w:val="en-GB"/>
        </w:rPr>
        <w:lastRenderedPageBreak/>
        <w:t>For example</w:t>
      </w:r>
      <w:commentRangeEnd w:id="0"/>
      <w:r w:rsidR="0036339B" w:rsidRPr="00A339A4">
        <w:rPr>
          <w:rStyle w:val="CommentReference"/>
          <w:rFonts w:cs="Times New Roman"/>
          <w:color w:val="auto"/>
          <w:lang w:val="en-GB"/>
        </w:rPr>
        <w:commentReference w:id="0"/>
      </w:r>
      <w:r w:rsidRPr="00681BBA">
        <w:rPr>
          <w:rFonts w:eastAsia="Calibri"/>
          <w:lang w:val="en-GB"/>
        </w:rPr>
        <w:t>, the m</w:t>
      </w:r>
      <w:r>
        <w:rPr>
          <w:rFonts w:eastAsia="Calibri"/>
          <w:lang w:val="en-GB"/>
        </w:rPr>
        <w:t xml:space="preserve">ajority of insurance products </w:t>
      </w:r>
      <w:proofErr w:type="gramStart"/>
      <w:r>
        <w:rPr>
          <w:rFonts w:eastAsia="Calibri"/>
          <w:lang w:val="en-GB"/>
        </w:rPr>
        <w:t>is</w:t>
      </w:r>
      <w:proofErr w:type="gramEnd"/>
      <w:r w:rsidRPr="00681BBA">
        <w:rPr>
          <w:rFonts w:eastAsia="Calibri"/>
          <w:lang w:val="en-GB"/>
        </w:rPr>
        <w:t xml:space="preserve"> sold via an intermediary (</w:t>
      </w:r>
      <w:proofErr w:type="spellStart"/>
      <w:r w:rsidRPr="00681BBA">
        <w:rPr>
          <w:rFonts w:eastAsia="Calibri"/>
          <w:lang w:val="en-GB"/>
        </w:rPr>
        <w:t>eg</w:t>
      </w:r>
      <w:proofErr w:type="spellEnd"/>
      <w:r w:rsidRPr="00681BBA">
        <w:rPr>
          <w:rFonts w:eastAsia="Calibri"/>
          <w:lang w:val="en-GB"/>
        </w:rPr>
        <w:t xml:space="preserve"> broker</w:t>
      </w:r>
      <w:r>
        <w:rPr>
          <w:rFonts w:eastAsia="Calibri"/>
          <w:lang w:val="en-GB"/>
        </w:rPr>
        <w:t xml:space="preserve"> o</w:t>
      </w:r>
      <w:r w:rsidRPr="00681BBA">
        <w:rPr>
          <w:rFonts w:eastAsia="Calibri"/>
          <w:lang w:val="en-GB"/>
        </w:rPr>
        <w:t xml:space="preserve"> independent advisors) or </w:t>
      </w:r>
      <w:r>
        <w:rPr>
          <w:rFonts w:eastAsia="Calibri"/>
          <w:lang w:val="en-GB"/>
        </w:rPr>
        <w:t xml:space="preserve">other </w:t>
      </w:r>
      <w:r w:rsidRPr="00681BBA">
        <w:rPr>
          <w:rFonts w:eastAsia="Calibri"/>
          <w:lang w:val="en-GB"/>
        </w:rPr>
        <w:t xml:space="preserve">third parties. </w:t>
      </w:r>
      <w:r w:rsidRPr="00B943A6">
        <w:rPr>
          <w:rFonts w:eastAsia="Calibri"/>
          <w:lang w:val="en-GB"/>
        </w:rPr>
        <w:t xml:space="preserve">Currently, it is sufficient for the </w:t>
      </w:r>
      <w:r>
        <w:rPr>
          <w:rFonts w:eastAsia="Calibri"/>
          <w:lang w:val="en-GB"/>
        </w:rPr>
        <w:t>consumer</w:t>
      </w:r>
      <w:r w:rsidRPr="00B943A6">
        <w:rPr>
          <w:rFonts w:eastAsia="Calibri"/>
          <w:lang w:val="en-GB"/>
        </w:rPr>
        <w:t xml:space="preserve"> to give his/her consent to the intermediary; the </w:t>
      </w:r>
      <w:r>
        <w:rPr>
          <w:rFonts w:eastAsia="Calibri"/>
          <w:lang w:val="en-GB"/>
        </w:rPr>
        <w:t>consumer</w:t>
      </w:r>
      <w:r w:rsidRPr="00B943A6">
        <w:rPr>
          <w:rFonts w:eastAsia="Calibri"/>
          <w:lang w:val="en-GB"/>
        </w:rPr>
        <w:t xml:space="preserve"> is not required to reconfirm his/her consent to the insurer. The consent given to the intermediary </w:t>
      </w:r>
      <w:r>
        <w:rPr>
          <w:rFonts w:eastAsia="Calibri"/>
          <w:lang w:val="en-GB"/>
        </w:rPr>
        <w:t>covers</w:t>
      </w:r>
      <w:r w:rsidRPr="00B943A6">
        <w:rPr>
          <w:rFonts w:eastAsia="Calibri"/>
          <w:lang w:val="en-GB"/>
        </w:rPr>
        <w:t xml:space="preserve"> for all purposes concerning the insurance contract </w:t>
      </w:r>
      <w:r>
        <w:rPr>
          <w:rFonts w:eastAsia="Calibri"/>
          <w:lang w:val="en-GB"/>
        </w:rPr>
        <w:t>and its entire duration</w:t>
      </w:r>
      <w:r w:rsidRPr="00B943A6">
        <w:rPr>
          <w:rFonts w:eastAsia="Calibri"/>
          <w:lang w:val="en-GB"/>
        </w:rPr>
        <w:t xml:space="preserve">. However, with the </w:t>
      </w:r>
      <w:r>
        <w:rPr>
          <w:rFonts w:eastAsia="Calibri"/>
          <w:lang w:val="en-GB"/>
        </w:rPr>
        <w:t>EC’s</w:t>
      </w:r>
      <w:r w:rsidRPr="00B943A6">
        <w:rPr>
          <w:rFonts w:eastAsia="Calibri"/>
          <w:lang w:val="en-GB"/>
        </w:rPr>
        <w:t xml:space="preserve"> proposal this would not be the case anymore; implied consent will be insufficient and the </w:t>
      </w:r>
      <w:r>
        <w:rPr>
          <w:rFonts w:eastAsia="Calibri"/>
          <w:lang w:val="en-GB"/>
        </w:rPr>
        <w:t>consumer</w:t>
      </w:r>
      <w:r w:rsidRPr="00B943A6">
        <w:rPr>
          <w:rFonts w:eastAsia="Calibri"/>
          <w:lang w:val="en-GB"/>
        </w:rPr>
        <w:t xml:space="preserve"> </w:t>
      </w:r>
      <w:r>
        <w:rPr>
          <w:rFonts w:eastAsia="Calibri"/>
          <w:lang w:val="en-GB"/>
        </w:rPr>
        <w:t>would have to</w:t>
      </w:r>
      <w:r w:rsidRPr="00B943A6">
        <w:rPr>
          <w:rFonts w:eastAsia="Calibri"/>
          <w:lang w:val="en-GB"/>
        </w:rPr>
        <w:t xml:space="preserve"> give </w:t>
      </w:r>
      <w:r>
        <w:rPr>
          <w:rFonts w:eastAsia="Calibri"/>
          <w:lang w:val="en-GB"/>
        </w:rPr>
        <w:t xml:space="preserve">each time </w:t>
      </w:r>
      <w:r w:rsidRPr="00B943A6">
        <w:rPr>
          <w:rFonts w:eastAsia="Calibri"/>
          <w:lang w:val="en-GB"/>
        </w:rPr>
        <w:t xml:space="preserve">its explicit consent </w:t>
      </w:r>
      <w:r>
        <w:rPr>
          <w:rFonts w:eastAsia="Calibri"/>
          <w:lang w:val="en-GB"/>
        </w:rPr>
        <w:t xml:space="preserve">to </w:t>
      </w:r>
      <w:r w:rsidRPr="00B943A6">
        <w:rPr>
          <w:rFonts w:eastAsia="Calibri"/>
          <w:lang w:val="en-GB"/>
        </w:rPr>
        <w:t xml:space="preserve">both the intermediary and the insurer. </w:t>
      </w:r>
    </w:p>
    <w:p w:rsidR="00A0081B" w:rsidRPr="00B943A6" w:rsidRDefault="00FC2AB3" w:rsidP="00FC2AB3">
      <w:pPr>
        <w:pStyle w:val="CEABullet-Level1"/>
        <w:spacing w:after="120"/>
        <w:rPr>
          <w:rStyle w:val="CEAGraphTitle"/>
          <w:szCs w:val="17"/>
          <w:lang w:val="en-GB"/>
        </w:rPr>
      </w:pPr>
      <w:r w:rsidRPr="00B943A6">
        <w:rPr>
          <w:rStyle w:val="CEAGraphTitle"/>
          <w:szCs w:val="17"/>
          <w:lang w:val="en-GB"/>
        </w:rPr>
        <w:t xml:space="preserve">Therefore, </w:t>
      </w:r>
      <w:r w:rsidR="0073634A" w:rsidRPr="00B943A6">
        <w:rPr>
          <w:rStyle w:val="CEAGraphTitle"/>
          <w:szCs w:val="17"/>
          <w:lang w:val="en-GB"/>
        </w:rPr>
        <w:t xml:space="preserve">Insurance Europe </w:t>
      </w:r>
      <w:r w:rsidR="0073634A" w:rsidRPr="00B943A6">
        <w:rPr>
          <w:rStyle w:val="CEAGraphTitle"/>
          <w:szCs w:val="17"/>
          <w:u w:val="single"/>
          <w:lang w:val="en-GB"/>
        </w:rPr>
        <w:t>calls for</w:t>
      </w:r>
      <w:r w:rsidR="0073634A" w:rsidRPr="00B943A6">
        <w:rPr>
          <w:rStyle w:val="CEAGraphTitle"/>
          <w:szCs w:val="17"/>
          <w:lang w:val="en-GB"/>
        </w:rPr>
        <w:t xml:space="preserve"> </w:t>
      </w:r>
      <w:r w:rsidR="0073634A" w:rsidRPr="00B943A6">
        <w:rPr>
          <w:rStyle w:val="CEAGraphTitle"/>
          <w:b/>
          <w:i/>
          <w:szCs w:val="17"/>
          <w:lang w:val="en-GB"/>
        </w:rPr>
        <w:t>a removal of “explicit”</w:t>
      </w:r>
      <w:r w:rsidRPr="00B943A6">
        <w:rPr>
          <w:rStyle w:val="CEAGraphTitle"/>
          <w:b/>
          <w:i/>
          <w:szCs w:val="17"/>
          <w:lang w:val="en-GB"/>
        </w:rPr>
        <w:t xml:space="preserve"> consent</w:t>
      </w:r>
      <w:r w:rsidRPr="00B943A6">
        <w:rPr>
          <w:rStyle w:val="CEAGraphTitle"/>
          <w:szCs w:val="17"/>
          <w:lang w:val="en-GB"/>
        </w:rPr>
        <w:t xml:space="preserve"> and </w:t>
      </w:r>
      <w:r w:rsidRPr="007D6975">
        <w:rPr>
          <w:rStyle w:val="CEAGraphTitle"/>
          <w:szCs w:val="17"/>
          <w:u w:val="single"/>
          <w:lang w:val="en-GB"/>
        </w:rPr>
        <w:t xml:space="preserve">advocates </w:t>
      </w:r>
      <w:r w:rsidRPr="00B943A6">
        <w:rPr>
          <w:rStyle w:val="CEAGraphTitle"/>
          <w:szCs w:val="17"/>
          <w:lang w:val="en-GB"/>
        </w:rPr>
        <w:t xml:space="preserve">the </w:t>
      </w:r>
      <w:r w:rsidR="00A0081B" w:rsidRPr="00B943A6">
        <w:rPr>
          <w:rStyle w:val="CEAGraphTitle"/>
          <w:szCs w:val="17"/>
          <w:lang w:val="en-GB"/>
        </w:rPr>
        <w:t>current definition o</w:t>
      </w:r>
      <w:r w:rsidRPr="00B943A6">
        <w:rPr>
          <w:rStyle w:val="CEAGraphTitle"/>
          <w:szCs w:val="17"/>
          <w:lang w:val="en-GB"/>
        </w:rPr>
        <w:t>f</w:t>
      </w:r>
      <w:r w:rsidR="00A0081B" w:rsidRPr="00B943A6">
        <w:rPr>
          <w:rStyle w:val="CEAGraphTitle"/>
          <w:szCs w:val="17"/>
          <w:lang w:val="en-GB"/>
        </w:rPr>
        <w:t xml:space="preserve"> consent as in Directive 95/46/EC. </w:t>
      </w:r>
    </w:p>
    <w:p w:rsidR="00A50222" w:rsidRDefault="00A50222" w:rsidP="00FC2AB3">
      <w:pPr>
        <w:pBdr>
          <w:top w:val="single" w:sz="4" w:space="1" w:color="auto"/>
          <w:left w:val="single" w:sz="4" w:space="4" w:color="auto"/>
          <w:bottom w:val="single" w:sz="4" w:space="1" w:color="auto"/>
          <w:right w:val="single" w:sz="4" w:space="4" w:color="auto"/>
        </w:pBdr>
        <w:spacing w:after="120"/>
        <w:rPr>
          <w:rStyle w:val="CEAGraphTitle"/>
          <w:i/>
          <w:szCs w:val="17"/>
        </w:rPr>
      </w:pPr>
      <w:r w:rsidRPr="00A50222">
        <w:rPr>
          <w:rStyle w:val="CEAGraphTitle"/>
          <w:szCs w:val="17"/>
          <w:u w:val="single"/>
        </w:rPr>
        <w:t>Article 7par.3</w:t>
      </w:r>
      <w:r>
        <w:rPr>
          <w:rStyle w:val="CEAGraphTitle"/>
          <w:szCs w:val="17"/>
        </w:rPr>
        <w:t xml:space="preserve">: </w:t>
      </w:r>
      <w:r w:rsidRPr="00A50222">
        <w:rPr>
          <w:rStyle w:val="CEAGraphTitle"/>
          <w:i/>
          <w:szCs w:val="17"/>
        </w:rPr>
        <w:t xml:space="preserve">“The data subject shall have the right to </w:t>
      </w:r>
      <w:r w:rsidRPr="0043493A">
        <w:rPr>
          <w:rStyle w:val="CEAGraphTitle"/>
          <w:b/>
          <w:i/>
          <w:szCs w:val="17"/>
        </w:rPr>
        <w:t>withdraw his or her consent at any time</w:t>
      </w:r>
      <w:r w:rsidRPr="00A50222">
        <w:rPr>
          <w:rStyle w:val="CEAGraphTitle"/>
          <w:i/>
          <w:szCs w:val="17"/>
        </w:rPr>
        <w:t>. The withdrawal of consent shall not affect the lawfulness of processing based on consent before its withdrawal”.</w:t>
      </w:r>
    </w:p>
    <w:p w:rsidR="002C74D1" w:rsidRDefault="0043493A" w:rsidP="002C74D1">
      <w:pPr>
        <w:pStyle w:val="CEABullet-Level1"/>
        <w:spacing w:after="120"/>
        <w:rPr>
          <w:rStyle w:val="CEAGraphTitle"/>
          <w:szCs w:val="17"/>
          <w:lang w:val="en-GB"/>
        </w:rPr>
      </w:pPr>
      <w:r w:rsidRPr="002C74D1">
        <w:rPr>
          <w:rStyle w:val="CEAGraphTitle"/>
          <w:lang w:val="en-GB"/>
        </w:rPr>
        <w:t>Insurance</w:t>
      </w:r>
      <w:r w:rsidRPr="002C74D1">
        <w:rPr>
          <w:rStyle w:val="CEAGraphTitle"/>
          <w:szCs w:val="17"/>
          <w:lang w:val="en-GB"/>
        </w:rPr>
        <w:t xml:space="preserve"> Europe is </w:t>
      </w:r>
      <w:r w:rsidR="00FC2AB3" w:rsidRPr="002C74D1">
        <w:rPr>
          <w:rStyle w:val="CEAGraphTitle"/>
          <w:szCs w:val="17"/>
          <w:u w:val="single"/>
          <w:lang w:val="en-GB"/>
        </w:rPr>
        <w:t>concerned</w:t>
      </w:r>
      <w:r w:rsidRPr="002C74D1">
        <w:rPr>
          <w:rStyle w:val="CEAGraphTitle"/>
          <w:szCs w:val="17"/>
          <w:lang w:val="en-GB"/>
        </w:rPr>
        <w:t xml:space="preserve"> the proposed data subject’s right to withdraw consent </w:t>
      </w:r>
      <w:r w:rsidR="00DA0B13" w:rsidRPr="002C74D1">
        <w:rPr>
          <w:rStyle w:val="CEAGraphTitle"/>
          <w:szCs w:val="17"/>
          <w:lang w:val="en-GB"/>
        </w:rPr>
        <w:t xml:space="preserve">would </w:t>
      </w:r>
      <w:r w:rsidR="00DA0B13" w:rsidRPr="002C74D1">
        <w:rPr>
          <w:rStyle w:val="CEAGraphTitle"/>
          <w:szCs w:val="17"/>
          <w:u w:val="single"/>
          <w:lang w:val="en-GB"/>
        </w:rPr>
        <w:t xml:space="preserve">hinder the </w:t>
      </w:r>
      <w:r w:rsidR="0086263E">
        <w:rPr>
          <w:rStyle w:val="CEAGraphTitle"/>
          <w:szCs w:val="17"/>
          <w:u w:val="single"/>
          <w:lang w:val="en-GB"/>
        </w:rPr>
        <w:t>execution</w:t>
      </w:r>
      <w:r w:rsidR="00DA0B13" w:rsidRPr="002C74D1">
        <w:rPr>
          <w:rStyle w:val="CEAGraphTitle"/>
          <w:szCs w:val="17"/>
          <w:u w:val="single"/>
          <w:lang w:val="en-GB"/>
        </w:rPr>
        <w:t xml:space="preserve"> of the contract</w:t>
      </w:r>
      <w:r w:rsidR="002C74D1">
        <w:rPr>
          <w:rStyle w:val="CEAGraphTitle"/>
          <w:szCs w:val="17"/>
          <w:u w:val="single"/>
          <w:lang w:val="en-GB"/>
        </w:rPr>
        <w:t xml:space="preserve">, </w:t>
      </w:r>
      <w:r w:rsidR="00DA0B13" w:rsidRPr="002C74D1">
        <w:rPr>
          <w:rStyle w:val="CEAGraphTitle"/>
          <w:szCs w:val="17"/>
          <w:lang w:val="en-GB"/>
        </w:rPr>
        <w:t xml:space="preserve">lead to an </w:t>
      </w:r>
      <w:r w:rsidR="00DA0B13" w:rsidRPr="002C74D1">
        <w:rPr>
          <w:rStyle w:val="CEAGraphTitle"/>
          <w:szCs w:val="17"/>
          <w:u w:val="single"/>
          <w:lang w:val="en-GB"/>
        </w:rPr>
        <w:t>unauthorised cancellation</w:t>
      </w:r>
      <w:r w:rsidR="002C74D1">
        <w:rPr>
          <w:rStyle w:val="CEAGraphTitle"/>
          <w:szCs w:val="17"/>
          <w:lang w:val="en-GB"/>
        </w:rPr>
        <w:t xml:space="preserve"> and conflict with other</w:t>
      </w:r>
      <w:r w:rsidR="00F97D86">
        <w:rPr>
          <w:rStyle w:val="CEAGraphTitle"/>
          <w:szCs w:val="17"/>
          <w:lang w:val="en-GB"/>
        </w:rPr>
        <w:t xml:space="preserve"> pieces of </w:t>
      </w:r>
      <w:r w:rsidR="002C74D1">
        <w:rPr>
          <w:rStyle w:val="CEAGraphTitle"/>
          <w:szCs w:val="17"/>
          <w:lang w:val="en-GB"/>
        </w:rPr>
        <w:t xml:space="preserve">legislation. </w:t>
      </w:r>
      <w:r w:rsidR="00DA0B13" w:rsidRPr="002C74D1">
        <w:rPr>
          <w:rStyle w:val="CEAGraphTitle"/>
          <w:szCs w:val="17"/>
          <w:lang w:val="en-GB"/>
        </w:rPr>
        <w:t xml:space="preserve"> </w:t>
      </w:r>
    </w:p>
    <w:p w:rsidR="00783DDF" w:rsidRDefault="002C74D1" w:rsidP="006A2E6C">
      <w:pPr>
        <w:pStyle w:val="CEABullet-Level2"/>
        <w:spacing w:after="120"/>
        <w:ind w:left="1797" w:hanging="357"/>
        <w:rPr>
          <w:rStyle w:val="CEAGraphTitle"/>
          <w:szCs w:val="17"/>
          <w:lang w:val="en-GB"/>
        </w:rPr>
      </w:pPr>
      <w:r w:rsidRPr="00A339A4">
        <w:rPr>
          <w:rStyle w:val="CEAGraphTitle"/>
          <w:szCs w:val="17"/>
          <w:lang w:val="en-GB"/>
        </w:rPr>
        <w:t>For instance</w:t>
      </w:r>
      <w:r w:rsidRPr="00783DDF">
        <w:rPr>
          <w:rStyle w:val="CEAGraphTitle"/>
          <w:szCs w:val="17"/>
          <w:lang w:val="en-GB"/>
        </w:rPr>
        <w:t xml:space="preserve">, based on </w:t>
      </w:r>
      <w:r w:rsidR="007459B2" w:rsidRPr="007459B2">
        <w:rPr>
          <w:rStyle w:val="CEAGraphTitle"/>
          <w:szCs w:val="17"/>
          <w:u w:val="single"/>
          <w:lang w:val="en-GB"/>
        </w:rPr>
        <w:t xml:space="preserve">insurance </w:t>
      </w:r>
      <w:r w:rsidRPr="007459B2">
        <w:rPr>
          <w:rStyle w:val="CEAGraphTitle"/>
          <w:szCs w:val="17"/>
          <w:u w:val="single"/>
          <w:lang w:val="en-GB"/>
        </w:rPr>
        <w:t>contract</w:t>
      </w:r>
      <w:r w:rsidRPr="00783DDF">
        <w:rPr>
          <w:rStyle w:val="CEAGraphTitle"/>
          <w:szCs w:val="17"/>
          <w:u w:val="single"/>
          <w:lang w:val="en-GB"/>
        </w:rPr>
        <w:t xml:space="preserve"> law</w:t>
      </w:r>
      <w:r w:rsidRPr="00783DDF">
        <w:rPr>
          <w:rStyle w:val="CEAGraphTitle"/>
          <w:szCs w:val="17"/>
          <w:lang w:val="en-GB"/>
        </w:rPr>
        <w:t xml:space="preserve">, </w:t>
      </w:r>
      <w:r w:rsidR="00B943A6" w:rsidRPr="00783DDF">
        <w:rPr>
          <w:rStyle w:val="CEAGraphTitle"/>
          <w:szCs w:val="17"/>
          <w:lang w:val="en-GB"/>
        </w:rPr>
        <w:t xml:space="preserve">the insurer and </w:t>
      </w:r>
      <w:r w:rsidR="00F97D86">
        <w:rPr>
          <w:rStyle w:val="CEAGraphTitle"/>
          <w:szCs w:val="17"/>
          <w:lang w:val="en-GB"/>
        </w:rPr>
        <w:t xml:space="preserve">the </w:t>
      </w:r>
      <w:r w:rsidRPr="00783DDF">
        <w:rPr>
          <w:rStyle w:val="CEAGraphTitle"/>
          <w:szCs w:val="17"/>
          <w:lang w:val="en-GB"/>
        </w:rPr>
        <w:t xml:space="preserve">consumer fix the terms of the contract at the beginning of their contractual relationship. Some contracts </w:t>
      </w:r>
      <w:r w:rsidR="00783DDF" w:rsidRPr="00783DDF">
        <w:rPr>
          <w:rStyle w:val="CEAGraphTitle"/>
          <w:szCs w:val="17"/>
          <w:lang w:val="en-GB"/>
        </w:rPr>
        <w:t xml:space="preserve">permit </w:t>
      </w:r>
      <w:r w:rsidRPr="00783DDF">
        <w:rPr>
          <w:rStyle w:val="CEAGraphTitle"/>
          <w:szCs w:val="17"/>
          <w:lang w:val="en-GB"/>
        </w:rPr>
        <w:t xml:space="preserve">cancellation </w:t>
      </w:r>
      <w:r w:rsidR="00783DDF" w:rsidRPr="00783DDF">
        <w:rPr>
          <w:rStyle w:val="CEAGraphTitle"/>
          <w:szCs w:val="17"/>
          <w:lang w:val="en-GB"/>
        </w:rPr>
        <w:t>during a policy period</w:t>
      </w:r>
      <w:r w:rsidRPr="00783DDF">
        <w:rPr>
          <w:rStyle w:val="CEAGraphTitle"/>
          <w:szCs w:val="17"/>
          <w:lang w:val="en-GB"/>
        </w:rPr>
        <w:t xml:space="preserve"> under specific circumstances</w:t>
      </w:r>
      <w:r w:rsidR="00783DDF" w:rsidRPr="00783DDF">
        <w:rPr>
          <w:rStyle w:val="CEAGraphTitle"/>
          <w:szCs w:val="17"/>
          <w:lang w:val="en-GB"/>
        </w:rPr>
        <w:t xml:space="preserve">. Such circumstances should be distinguished from </w:t>
      </w:r>
      <w:r w:rsidR="00B943A6" w:rsidRPr="00783DDF">
        <w:rPr>
          <w:rStyle w:val="CEAGraphTitle"/>
          <w:szCs w:val="17"/>
          <w:lang w:val="en-GB"/>
        </w:rPr>
        <w:t xml:space="preserve">the consumer’s right to withdraw consent </w:t>
      </w:r>
      <w:r w:rsidR="00F97D86">
        <w:rPr>
          <w:rStyle w:val="CEAGraphTitle"/>
          <w:szCs w:val="17"/>
          <w:lang w:val="en-GB"/>
        </w:rPr>
        <w:t>which would lead to an unauthorised cancellation of the contract.</w:t>
      </w:r>
      <w:r w:rsidR="00783DDF" w:rsidRPr="00783DDF">
        <w:rPr>
          <w:rStyle w:val="CEAGraphTitle"/>
          <w:szCs w:val="17"/>
          <w:lang w:val="en-GB"/>
        </w:rPr>
        <w:t xml:space="preserve"> </w:t>
      </w:r>
    </w:p>
    <w:p w:rsidR="00A0081B" w:rsidRPr="00783DDF" w:rsidRDefault="00783DDF" w:rsidP="006A2E6C">
      <w:pPr>
        <w:pStyle w:val="CEABullet-Level2"/>
        <w:spacing w:after="120"/>
        <w:ind w:left="1797" w:hanging="357"/>
        <w:rPr>
          <w:rStyle w:val="CEAGraphTitle"/>
          <w:szCs w:val="17"/>
          <w:lang w:val="en-GB"/>
        </w:rPr>
      </w:pPr>
      <w:r>
        <w:rPr>
          <w:rStyle w:val="CEAGraphTitle"/>
          <w:szCs w:val="17"/>
          <w:lang w:val="en-GB"/>
        </w:rPr>
        <w:t>M</w:t>
      </w:r>
      <w:r w:rsidR="002C74D1" w:rsidRPr="00783DDF">
        <w:rPr>
          <w:rStyle w:val="CEAGraphTitle"/>
          <w:szCs w:val="17"/>
          <w:lang w:val="en-GB"/>
        </w:rPr>
        <w:t xml:space="preserve">oreover, based on </w:t>
      </w:r>
      <w:r w:rsidR="002C74D1" w:rsidRPr="00783DDF">
        <w:rPr>
          <w:rStyle w:val="CEAGraphTitle"/>
          <w:szCs w:val="17"/>
          <w:u w:val="single"/>
          <w:lang w:val="en-GB"/>
        </w:rPr>
        <w:t xml:space="preserve">Directive 2005/60/EC </w:t>
      </w:r>
      <w:r w:rsidR="006A2E6C" w:rsidRPr="00783DDF">
        <w:rPr>
          <w:rStyle w:val="CEAGraphTitle"/>
          <w:szCs w:val="17"/>
          <w:u w:val="single"/>
          <w:lang w:val="en-GB"/>
        </w:rPr>
        <w:t>on anti-money laundering</w:t>
      </w:r>
      <w:r w:rsidR="006A2E6C" w:rsidRPr="00783DDF">
        <w:rPr>
          <w:rStyle w:val="CEAGraphTitle"/>
          <w:szCs w:val="17"/>
          <w:lang w:val="en-GB"/>
        </w:rPr>
        <w:t xml:space="preserve"> and terrorist financing, insurers should store data for </w:t>
      </w:r>
      <w:r w:rsidR="006A2E6C" w:rsidRPr="00783DDF">
        <w:rPr>
          <w:rStyle w:val="CEAGraphTitle"/>
          <w:b/>
          <w:i/>
          <w:szCs w:val="17"/>
          <w:lang w:val="en-GB"/>
        </w:rPr>
        <w:t>at least 5 years after</w:t>
      </w:r>
      <w:r w:rsidR="006A2E6C" w:rsidRPr="00783DDF">
        <w:rPr>
          <w:rStyle w:val="CEAGraphTitle"/>
          <w:szCs w:val="17"/>
          <w:lang w:val="en-GB"/>
        </w:rPr>
        <w:t xml:space="preserve"> the end of the business relationship with specified natural or legal persons. If the </w:t>
      </w:r>
      <w:r w:rsidR="00D029CA" w:rsidRPr="00783DDF">
        <w:rPr>
          <w:rStyle w:val="CEAGraphTitle"/>
          <w:szCs w:val="17"/>
          <w:lang w:val="en-GB"/>
        </w:rPr>
        <w:t>consumer</w:t>
      </w:r>
      <w:r w:rsidR="006A2E6C" w:rsidRPr="00783DDF">
        <w:rPr>
          <w:rStyle w:val="CEAGraphTitle"/>
          <w:szCs w:val="17"/>
          <w:lang w:val="en-GB"/>
        </w:rPr>
        <w:t xml:space="preserve"> decides to withdraw his/her consent for processing his/her data, </w:t>
      </w:r>
      <w:r w:rsidR="00A632FC" w:rsidRPr="00783DDF">
        <w:rPr>
          <w:rStyle w:val="CEAGraphTitle"/>
          <w:szCs w:val="17"/>
          <w:lang w:val="en-GB"/>
        </w:rPr>
        <w:t xml:space="preserve">the </w:t>
      </w:r>
      <w:r w:rsidR="004D338B" w:rsidRPr="00783DDF">
        <w:rPr>
          <w:rStyle w:val="CEAGraphTitle"/>
          <w:szCs w:val="17"/>
          <w:lang w:val="en-GB"/>
        </w:rPr>
        <w:t>insurer</w:t>
      </w:r>
      <w:r w:rsidR="006A2E6C" w:rsidRPr="00783DDF">
        <w:rPr>
          <w:rStyle w:val="CEAGraphTitle"/>
          <w:szCs w:val="17"/>
          <w:lang w:val="en-GB"/>
        </w:rPr>
        <w:t xml:space="preserve"> </w:t>
      </w:r>
      <w:r w:rsidR="004D338B" w:rsidRPr="00783DDF">
        <w:rPr>
          <w:rStyle w:val="CEAGraphTitle"/>
          <w:szCs w:val="17"/>
          <w:lang w:val="en-GB"/>
        </w:rPr>
        <w:t>has t</w:t>
      </w:r>
      <w:r w:rsidR="00B943A6" w:rsidRPr="00783DDF">
        <w:rPr>
          <w:rStyle w:val="CEAGraphTitle"/>
          <w:szCs w:val="17"/>
          <w:lang w:val="en-GB"/>
        </w:rPr>
        <w:t>w</w:t>
      </w:r>
      <w:r w:rsidR="004D338B" w:rsidRPr="00783DDF">
        <w:rPr>
          <w:rStyle w:val="CEAGraphTitle"/>
          <w:szCs w:val="17"/>
          <w:lang w:val="en-GB"/>
        </w:rPr>
        <w:t>o options: either to be</w:t>
      </w:r>
      <w:r w:rsidR="006A2E6C" w:rsidRPr="00783DDF">
        <w:rPr>
          <w:rStyle w:val="CEAGraphTitle"/>
          <w:szCs w:val="17"/>
          <w:lang w:val="en-GB"/>
        </w:rPr>
        <w:t xml:space="preserve"> in breach of EU anti-money laundering legislation</w:t>
      </w:r>
      <w:r w:rsidR="004D338B" w:rsidRPr="00783DDF">
        <w:rPr>
          <w:rStyle w:val="CEAGraphTitle"/>
          <w:szCs w:val="17"/>
          <w:lang w:val="en-GB"/>
        </w:rPr>
        <w:t xml:space="preserve"> or EU data protection rules</w:t>
      </w:r>
      <w:r w:rsidR="006A2E6C" w:rsidRPr="00783DDF">
        <w:rPr>
          <w:rStyle w:val="CEAGraphTitle"/>
          <w:szCs w:val="17"/>
          <w:lang w:val="en-GB"/>
        </w:rPr>
        <w:t xml:space="preserve">. </w:t>
      </w:r>
    </w:p>
    <w:p w:rsidR="0043493A" w:rsidRPr="00487BF6" w:rsidRDefault="00487BF6" w:rsidP="00487BF6">
      <w:pPr>
        <w:pStyle w:val="CEABullet-Level1"/>
        <w:spacing w:after="120"/>
        <w:ind w:left="714" w:hanging="357"/>
        <w:rPr>
          <w:rStyle w:val="CEAGraphTitle"/>
          <w:szCs w:val="17"/>
          <w:lang w:val="en-GB"/>
        </w:rPr>
      </w:pPr>
      <w:r w:rsidRPr="00487BF6">
        <w:rPr>
          <w:rStyle w:val="CEAGraphTitle"/>
          <w:szCs w:val="17"/>
          <w:lang w:val="en-GB"/>
        </w:rPr>
        <w:t>Therefore</w:t>
      </w:r>
      <w:r w:rsidR="00FD2AC0">
        <w:rPr>
          <w:rStyle w:val="CEAGraphTitle"/>
          <w:szCs w:val="17"/>
          <w:lang w:val="en-GB"/>
        </w:rPr>
        <w:t>,</w:t>
      </w:r>
      <w:r w:rsidRPr="00487BF6">
        <w:rPr>
          <w:rStyle w:val="CEAGraphTitle"/>
          <w:szCs w:val="17"/>
          <w:lang w:val="en-GB"/>
        </w:rPr>
        <w:t xml:space="preserve"> Insurance Europe </w:t>
      </w:r>
      <w:r w:rsidRPr="004D338B">
        <w:rPr>
          <w:rStyle w:val="CEAGraphTitle"/>
          <w:szCs w:val="17"/>
          <w:u w:val="single"/>
          <w:lang w:val="en-GB"/>
        </w:rPr>
        <w:t>suggests</w:t>
      </w:r>
      <w:r w:rsidRPr="00487BF6">
        <w:rPr>
          <w:rStyle w:val="CEAGraphTitle"/>
          <w:szCs w:val="17"/>
          <w:lang w:val="en-GB"/>
        </w:rPr>
        <w:t xml:space="preserve"> </w:t>
      </w:r>
      <w:r w:rsidR="00F92892" w:rsidRPr="00487BF6">
        <w:rPr>
          <w:rStyle w:val="CEAGraphTitle"/>
          <w:szCs w:val="17"/>
          <w:lang w:val="en-GB"/>
        </w:rPr>
        <w:t xml:space="preserve">the proposed provision </w:t>
      </w:r>
      <w:r w:rsidR="006A2E6C">
        <w:rPr>
          <w:rStyle w:val="CEAGraphTitle"/>
          <w:szCs w:val="17"/>
          <w:lang w:val="en-GB"/>
        </w:rPr>
        <w:t xml:space="preserve">on the </w:t>
      </w:r>
      <w:r w:rsidR="006A2E6C" w:rsidRPr="002B0F0A">
        <w:rPr>
          <w:rStyle w:val="CEAGraphTitle"/>
          <w:b/>
          <w:i/>
          <w:szCs w:val="17"/>
          <w:lang w:val="en-GB"/>
        </w:rPr>
        <w:t xml:space="preserve">data subject’s right to withdraw consent </w:t>
      </w:r>
      <w:r w:rsidR="006A2E6C">
        <w:rPr>
          <w:rStyle w:val="CEAGraphTitle"/>
          <w:szCs w:val="17"/>
          <w:lang w:val="en-GB"/>
        </w:rPr>
        <w:t xml:space="preserve">at any time, </w:t>
      </w:r>
      <w:r w:rsidRPr="00487BF6">
        <w:rPr>
          <w:rStyle w:val="CEAGraphTitle"/>
          <w:b/>
          <w:i/>
          <w:szCs w:val="17"/>
          <w:lang w:val="en-GB"/>
        </w:rPr>
        <w:t xml:space="preserve">should </w:t>
      </w:r>
      <w:r w:rsidR="00F92892" w:rsidRPr="00487BF6">
        <w:rPr>
          <w:rStyle w:val="CEAGraphTitle"/>
          <w:b/>
          <w:i/>
          <w:szCs w:val="17"/>
          <w:lang w:val="en-GB"/>
        </w:rPr>
        <w:t xml:space="preserve">not apply to the </w:t>
      </w:r>
      <w:commentRangeStart w:id="1"/>
      <w:r w:rsidR="00F92892" w:rsidRPr="00487BF6">
        <w:rPr>
          <w:rStyle w:val="CEAGraphTitle"/>
          <w:b/>
          <w:i/>
          <w:szCs w:val="17"/>
          <w:lang w:val="en-GB"/>
        </w:rPr>
        <w:t>insurance sector</w:t>
      </w:r>
      <w:commentRangeEnd w:id="1"/>
      <w:r w:rsidR="00F97D86">
        <w:rPr>
          <w:rStyle w:val="CommentReference"/>
          <w:rFonts w:cs="Times New Roman"/>
          <w:color w:val="auto"/>
          <w:lang w:val="en-GB"/>
        </w:rPr>
        <w:commentReference w:id="1"/>
      </w:r>
      <w:r w:rsidR="00F92892" w:rsidRPr="00487BF6">
        <w:rPr>
          <w:rStyle w:val="CEAGraphTitle"/>
          <w:szCs w:val="17"/>
          <w:lang w:val="en-GB"/>
        </w:rPr>
        <w:t>.</w:t>
      </w:r>
    </w:p>
    <w:p w:rsidR="000C061F" w:rsidRDefault="000C061F" w:rsidP="0043493A">
      <w:pPr>
        <w:pBdr>
          <w:top w:val="single" w:sz="4" w:space="1" w:color="auto"/>
          <w:left w:val="single" w:sz="4" w:space="4" w:color="auto"/>
          <w:bottom w:val="single" w:sz="4" w:space="1" w:color="auto"/>
          <w:right w:val="single" w:sz="4" w:space="4" w:color="auto"/>
        </w:pBdr>
        <w:spacing w:after="120"/>
        <w:rPr>
          <w:rStyle w:val="CEAGraphTitle"/>
          <w:szCs w:val="17"/>
        </w:rPr>
      </w:pPr>
      <w:r w:rsidRPr="003969F8">
        <w:rPr>
          <w:rStyle w:val="CEAGraphTitle"/>
          <w:szCs w:val="17"/>
          <w:u w:val="single"/>
        </w:rPr>
        <w:t>Preamble 34</w:t>
      </w:r>
      <w:r>
        <w:rPr>
          <w:rStyle w:val="CEAGraphTitle"/>
          <w:szCs w:val="17"/>
        </w:rPr>
        <w:t xml:space="preserve">: </w:t>
      </w:r>
      <w:r w:rsidR="003969F8" w:rsidRPr="003969F8">
        <w:rPr>
          <w:rStyle w:val="CEAGraphTitle"/>
          <w:i/>
          <w:szCs w:val="17"/>
        </w:rPr>
        <w:t>“</w:t>
      </w:r>
      <w:r w:rsidRPr="003969F8">
        <w:rPr>
          <w:rStyle w:val="CEAGraphTitle"/>
          <w:i/>
          <w:szCs w:val="17"/>
        </w:rPr>
        <w:t>Consent should not prov</w:t>
      </w:r>
      <w:r w:rsidR="00A632FC" w:rsidRPr="003969F8">
        <w:rPr>
          <w:rStyle w:val="CEAGraphTitle"/>
          <w:i/>
          <w:szCs w:val="17"/>
        </w:rPr>
        <w:t xml:space="preserve">ide a valid legal ground for the processing </w:t>
      </w:r>
      <w:r w:rsidR="003969F8" w:rsidRPr="003969F8">
        <w:rPr>
          <w:rStyle w:val="CEAGraphTitle"/>
          <w:i/>
          <w:szCs w:val="17"/>
        </w:rPr>
        <w:t>of personal data, where there is a clear imbalance between the data subject and the controller</w:t>
      </w:r>
      <w:r w:rsidRPr="003969F8">
        <w:rPr>
          <w:rStyle w:val="CEAGraphTitle"/>
          <w:i/>
          <w:szCs w:val="17"/>
        </w:rPr>
        <w:t xml:space="preserve">. </w:t>
      </w:r>
      <w:r w:rsidR="003969F8" w:rsidRPr="003969F8">
        <w:rPr>
          <w:rStyle w:val="CEAGraphTitle"/>
          <w:i/>
          <w:szCs w:val="17"/>
        </w:rPr>
        <w:t xml:space="preserve">This is especially the case where the data subject is in </w:t>
      </w:r>
      <w:r w:rsidR="003969F8" w:rsidRPr="003969F8">
        <w:rPr>
          <w:rStyle w:val="CEAGraphTitle"/>
          <w:b/>
          <w:i/>
          <w:szCs w:val="17"/>
        </w:rPr>
        <w:t>a situation of dependence from the controller</w:t>
      </w:r>
      <w:r w:rsidR="003969F8" w:rsidRPr="003969F8">
        <w:rPr>
          <w:rStyle w:val="CEAGraphTitle"/>
          <w:i/>
          <w:szCs w:val="17"/>
        </w:rPr>
        <w:t>, among others, where the personal data are processed by the employer of employees’ personal data in the employment context”</w:t>
      </w:r>
      <w:r w:rsidR="003969F8">
        <w:rPr>
          <w:rStyle w:val="CEAGraphTitle"/>
          <w:szCs w:val="17"/>
        </w:rPr>
        <w:t xml:space="preserve">. </w:t>
      </w:r>
    </w:p>
    <w:p w:rsidR="00783DDF" w:rsidRDefault="00783DDF" w:rsidP="0043493A">
      <w:pPr>
        <w:pBdr>
          <w:top w:val="single" w:sz="4" w:space="1" w:color="auto"/>
          <w:left w:val="single" w:sz="4" w:space="4" w:color="auto"/>
          <w:bottom w:val="single" w:sz="4" w:space="1" w:color="auto"/>
          <w:right w:val="single" w:sz="4" w:space="4" w:color="auto"/>
        </w:pBdr>
        <w:spacing w:after="120"/>
        <w:rPr>
          <w:rStyle w:val="CEAGraphTitle"/>
          <w:szCs w:val="17"/>
        </w:rPr>
      </w:pPr>
      <w:r w:rsidRPr="00A50222">
        <w:rPr>
          <w:rStyle w:val="CEAGraphTitle"/>
          <w:szCs w:val="17"/>
          <w:u w:val="single"/>
        </w:rPr>
        <w:t>Article 7par.4</w:t>
      </w:r>
      <w:r>
        <w:rPr>
          <w:rStyle w:val="CEAGraphTitle"/>
          <w:szCs w:val="17"/>
        </w:rPr>
        <w:t xml:space="preserve">: </w:t>
      </w:r>
      <w:r w:rsidRPr="00A50222">
        <w:rPr>
          <w:rStyle w:val="CEAGraphTitle"/>
          <w:i/>
          <w:szCs w:val="17"/>
        </w:rPr>
        <w:t xml:space="preserve">“Consent shall not provide a legal basis for the processing, where there is a </w:t>
      </w:r>
      <w:r w:rsidRPr="0043493A">
        <w:rPr>
          <w:rStyle w:val="CEAGraphTitle"/>
          <w:b/>
          <w:i/>
          <w:szCs w:val="17"/>
        </w:rPr>
        <w:t>significant imbalance between the position</w:t>
      </w:r>
      <w:r w:rsidRPr="00A50222">
        <w:rPr>
          <w:rStyle w:val="CEAGraphTitle"/>
          <w:i/>
          <w:szCs w:val="17"/>
        </w:rPr>
        <w:t xml:space="preserve"> of the data subject and the controller”.</w:t>
      </w:r>
      <w:r>
        <w:rPr>
          <w:rStyle w:val="CEAGraphTitle"/>
          <w:szCs w:val="17"/>
        </w:rPr>
        <w:t xml:space="preserve"> </w:t>
      </w:r>
    </w:p>
    <w:p w:rsidR="0043493A" w:rsidRPr="00FD2AC0" w:rsidRDefault="00F92892" w:rsidP="000C0B39">
      <w:pPr>
        <w:pStyle w:val="CEABullet-Level1"/>
        <w:spacing w:after="120"/>
        <w:ind w:left="714" w:hanging="357"/>
        <w:rPr>
          <w:rStyle w:val="CEAGraphTitle"/>
          <w:szCs w:val="17"/>
          <w:lang w:val="en-GB"/>
        </w:rPr>
      </w:pPr>
      <w:r w:rsidRPr="00FD2AC0">
        <w:rPr>
          <w:rStyle w:val="CEAGraphTitle"/>
          <w:szCs w:val="17"/>
          <w:lang w:val="en-GB"/>
        </w:rPr>
        <w:t xml:space="preserve">Insurance </w:t>
      </w:r>
      <w:r w:rsidR="000C061F" w:rsidRPr="00FD2AC0">
        <w:rPr>
          <w:rStyle w:val="CEAGraphTitle"/>
          <w:szCs w:val="17"/>
          <w:lang w:val="en-GB"/>
        </w:rPr>
        <w:t xml:space="preserve">Europe </w:t>
      </w:r>
      <w:r w:rsidR="000C061F" w:rsidRPr="00FD2AC0">
        <w:rPr>
          <w:rStyle w:val="CEAGraphTitle"/>
          <w:szCs w:val="17"/>
          <w:u w:val="single"/>
          <w:lang w:val="en-GB"/>
        </w:rPr>
        <w:t>believes</w:t>
      </w:r>
      <w:r w:rsidR="000C061F" w:rsidRPr="00FD2AC0">
        <w:rPr>
          <w:rStyle w:val="CEAGraphTitle"/>
          <w:szCs w:val="17"/>
          <w:lang w:val="en-GB"/>
        </w:rPr>
        <w:t xml:space="preserve"> </w:t>
      </w:r>
      <w:r w:rsidR="000C0B39" w:rsidRPr="00FD2AC0">
        <w:rPr>
          <w:rStyle w:val="CEAGraphTitle"/>
          <w:szCs w:val="17"/>
          <w:lang w:val="en-GB"/>
        </w:rPr>
        <w:t xml:space="preserve">the term </w:t>
      </w:r>
      <w:r w:rsidR="000C0B39" w:rsidRPr="00FD2AC0">
        <w:rPr>
          <w:rStyle w:val="CEAGraphTitle"/>
          <w:i/>
          <w:szCs w:val="17"/>
          <w:lang w:val="en-GB"/>
        </w:rPr>
        <w:t>“significant imbalance”</w:t>
      </w:r>
      <w:r w:rsidR="000C061F" w:rsidRPr="00FD2AC0">
        <w:rPr>
          <w:rStyle w:val="CEAGraphTitle"/>
          <w:szCs w:val="17"/>
          <w:lang w:val="en-GB"/>
        </w:rPr>
        <w:t xml:space="preserve"> introduces legal uncertainty</w:t>
      </w:r>
      <w:r w:rsidR="000C0B39" w:rsidRPr="00FD2AC0">
        <w:rPr>
          <w:rStyle w:val="CEAGraphTitle"/>
          <w:szCs w:val="17"/>
          <w:lang w:val="en-GB"/>
        </w:rPr>
        <w:t xml:space="preserve"> and is also concern</w:t>
      </w:r>
      <w:r w:rsidR="00FD2AC0" w:rsidRPr="00FD2AC0">
        <w:rPr>
          <w:rStyle w:val="CEAGraphTitle"/>
          <w:szCs w:val="17"/>
          <w:lang w:val="en-GB"/>
        </w:rPr>
        <w:t>ed</w:t>
      </w:r>
      <w:r w:rsidR="000C0B39" w:rsidRPr="00FD2AC0">
        <w:rPr>
          <w:rStyle w:val="CEAGraphTitle"/>
          <w:szCs w:val="17"/>
          <w:lang w:val="en-GB"/>
        </w:rPr>
        <w:t xml:space="preserve"> that this provision w</w:t>
      </w:r>
      <w:r w:rsidRPr="00FD2AC0">
        <w:rPr>
          <w:rStyle w:val="CEAGraphTitle"/>
          <w:szCs w:val="17"/>
          <w:lang w:val="en-GB"/>
        </w:rPr>
        <w:t>ould invalidate data subject’s consent necessary for group</w:t>
      </w:r>
      <w:r w:rsidR="000C0B39" w:rsidRPr="00FD2AC0">
        <w:rPr>
          <w:rStyle w:val="CEAGraphTitle"/>
          <w:szCs w:val="17"/>
          <w:lang w:val="en-GB"/>
        </w:rPr>
        <w:t xml:space="preserve"> and mandatory</w:t>
      </w:r>
      <w:r w:rsidRPr="00FD2AC0">
        <w:rPr>
          <w:rStyle w:val="CEAGraphTitle"/>
          <w:szCs w:val="17"/>
          <w:lang w:val="en-GB"/>
        </w:rPr>
        <w:t xml:space="preserve"> insurance. </w:t>
      </w:r>
    </w:p>
    <w:p w:rsidR="000C0B39" w:rsidRPr="000C0B39" w:rsidRDefault="00FD2AC0" w:rsidP="00884A46">
      <w:pPr>
        <w:pStyle w:val="CEABullet-Level2"/>
        <w:spacing w:after="120"/>
        <w:rPr>
          <w:rStyle w:val="CEAGraphTitle"/>
          <w:szCs w:val="17"/>
          <w:lang w:val="en-GB"/>
        </w:rPr>
      </w:pPr>
      <w:r w:rsidRPr="00B943A6">
        <w:rPr>
          <w:lang w:val="en-GB"/>
        </w:rPr>
        <w:t xml:space="preserve">For </w:t>
      </w:r>
      <w:r w:rsidRPr="00B943A6">
        <w:rPr>
          <w:i/>
          <w:lang w:val="en-GB"/>
        </w:rPr>
        <w:t>group insurance</w:t>
      </w:r>
      <w:r w:rsidRPr="00B943A6">
        <w:rPr>
          <w:lang w:val="en-GB"/>
        </w:rPr>
        <w:t>, the employer takes out a</w:t>
      </w:r>
      <w:r w:rsidR="000C0B39" w:rsidRPr="00B943A6">
        <w:rPr>
          <w:lang w:val="en-GB"/>
        </w:rPr>
        <w:t>dditional insurance for the benefit of employees, insuring them against risks such as death and illness.</w:t>
      </w:r>
      <w:r w:rsidRPr="00B943A6">
        <w:rPr>
          <w:lang w:val="en-GB"/>
        </w:rPr>
        <w:t xml:space="preserve"> In </w:t>
      </w:r>
      <w:r w:rsidR="00CD1627">
        <w:rPr>
          <w:lang w:val="en-GB"/>
        </w:rPr>
        <w:t>such</w:t>
      </w:r>
      <w:r w:rsidRPr="00B943A6">
        <w:rPr>
          <w:lang w:val="en-GB"/>
        </w:rPr>
        <w:t xml:space="preserve"> case</w:t>
      </w:r>
      <w:r w:rsidR="00CD1627">
        <w:rPr>
          <w:lang w:val="en-GB"/>
        </w:rPr>
        <w:t>s</w:t>
      </w:r>
      <w:r w:rsidRPr="00B943A6">
        <w:rPr>
          <w:lang w:val="en-GB"/>
        </w:rPr>
        <w:t xml:space="preserve">, the employer processes the employees’ personal data in order to provide them with </w:t>
      </w:r>
      <w:r w:rsidR="00884A46" w:rsidRPr="00B943A6">
        <w:rPr>
          <w:lang w:val="en-GB"/>
        </w:rPr>
        <w:t>cover</w:t>
      </w:r>
      <w:r w:rsidRPr="00B943A6">
        <w:rPr>
          <w:lang w:val="en-GB"/>
        </w:rPr>
        <w:t xml:space="preserve">. According to the proposed rules, the employee is in a situation of dependence </w:t>
      </w:r>
      <w:r w:rsidR="00CD1627">
        <w:rPr>
          <w:lang w:val="en-GB"/>
        </w:rPr>
        <w:t>on</w:t>
      </w:r>
      <w:r w:rsidRPr="00B943A6">
        <w:rPr>
          <w:lang w:val="en-GB"/>
        </w:rPr>
        <w:t xml:space="preserve"> the </w:t>
      </w:r>
      <w:r w:rsidR="00F97D86">
        <w:rPr>
          <w:lang w:val="en-GB"/>
        </w:rPr>
        <w:t>employer</w:t>
      </w:r>
      <w:r w:rsidR="00CD1627">
        <w:rPr>
          <w:lang w:val="en-GB"/>
        </w:rPr>
        <w:t xml:space="preserve">. The </w:t>
      </w:r>
      <w:r w:rsidRPr="00B943A6">
        <w:rPr>
          <w:lang w:val="en-GB"/>
        </w:rPr>
        <w:t>cons</w:t>
      </w:r>
      <w:r w:rsidR="00B943A6" w:rsidRPr="00B943A6">
        <w:rPr>
          <w:lang w:val="en-GB"/>
        </w:rPr>
        <w:t xml:space="preserve">ent </w:t>
      </w:r>
      <w:r w:rsidR="00CD1627">
        <w:rPr>
          <w:lang w:val="en-GB"/>
        </w:rPr>
        <w:t>given</w:t>
      </w:r>
      <w:r w:rsidR="00B943A6" w:rsidRPr="00B943A6">
        <w:rPr>
          <w:lang w:val="en-GB"/>
        </w:rPr>
        <w:t xml:space="preserve"> to the employe</w:t>
      </w:r>
      <w:r w:rsidR="00B943A6">
        <w:rPr>
          <w:lang w:val="en-GB"/>
        </w:rPr>
        <w:t>r</w:t>
      </w:r>
      <w:r w:rsidRPr="00B943A6">
        <w:rPr>
          <w:lang w:val="en-GB"/>
        </w:rPr>
        <w:t xml:space="preserve"> </w:t>
      </w:r>
      <w:r w:rsidR="00B943A6">
        <w:rPr>
          <w:lang w:val="en-GB"/>
        </w:rPr>
        <w:t xml:space="preserve">would </w:t>
      </w:r>
      <w:r w:rsidR="00CD1627">
        <w:rPr>
          <w:lang w:val="en-GB"/>
        </w:rPr>
        <w:t xml:space="preserve">therefore </w:t>
      </w:r>
      <w:r w:rsidR="00B943A6">
        <w:rPr>
          <w:lang w:val="en-GB"/>
        </w:rPr>
        <w:t>be</w:t>
      </w:r>
      <w:r w:rsidRPr="00B943A6">
        <w:rPr>
          <w:lang w:val="en-GB"/>
        </w:rPr>
        <w:t xml:space="preserve"> invalid; </w:t>
      </w:r>
      <w:r w:rsidR="00CD1627">
        <w:rPr>
          <w:lang w:val="en-GB"/>
        </w:rPr>
        <w:t>as</w:t>
      </w:r>
      <w:r w:rsidRPr="00B943A6">
        <w:rPr>
          <w:lang w:val="en-GB"/>
        </w:rPr>
        <w:t xml:space="preserve"> </w:t>
      </w:r>
      <w:r w:rsidR="00B943A6">
        <w:rPr>
          <w:lang w:val="en-GB"/>
        </w:rPr>
        <w:t xml:space="preserve">would </w:t>
      </w:r>
      <w:r w:rsidRPr="00B943A6">
        <w:rPr>
          <w:lang w:val="en-GB"/>
        </w:rPr>
        <w:t xml:space="preserve">the group insurance contract. </w:t>
      </w:r>
    </w:p>
    <w:p w:rsidR="00F92892" w:rsidRDefault="00FD2AC0" w:rsidP="00884A46">
      <w:pPr>
        <w:pStyle w:val="CEABullet-Level1"/>
        <w:spacing w:after="120"/>
        <w:ind w:left="714" w:hanging="357"/>
        <w:rPr>
          <w:rStyle w:val="CEAGraphTitle"/>
          <w:szCs w:val="17"/>
          <w:lang w:val="en-GB"/>
        </w:rPr>
      </w:pPr>
      <w:r w:rsidRPr="00FD2AC0">
        <w:rPr>
          <w:rStyle w:val="CEAGraphTitle"/>
          <w:szCs w:val="17"/>
          <w:lang w:val="en-GB"/>
        </w:rPr>
        <w:t xml:space="preserve">Therefore, </w:t>
      </w:r>
      <w:r w:rsidR="000C0B39" w:rsidRPr="00FD2AC0">
        <w:rPr>
          <w:rStyle w:val="CEAGraphTitle"/>
          <w:szCs w:val="17"/>
          <w:lang w:val="en-GB"/>
        </w:rPr>
        <w:t xml:space="preserve">Insurance Europe </w:t>
      </w:r>
      <w:r w:rsidR="000C0B39" w:rsidRPr="00FD2AC0">
        <w:rPr>
          <w:rStyle w:val="CEAGraphTitle"/>
          <w:szCs w:val="17"/>
          <w:u w:val="single"/>
          <w:lang w:val="en-GB"/>
        </w:rPr>
        <w:t>suggests</w:t>
      </w:r>
      <w:r w:rsidR="000C0B39" w:rsidRPr="00FD2AC0">
        <w:rPr>
          <w:rStyle w:val="CEAGraphTitle"/>
          <w:szCs w:val="17"/>
          <w:lang w:val="en-GB"/>
        </w:rPr>
        <w:t xml:space="preserve"> </w:t>
      </w:r>
      <w:r w:rsidR="00CD1627" w:rsidRPr="00CD1627">
        <w:rPr>
          <w:rStyle w:val="CEAGraphTitle"/>
          <w:b/>
          <w:i/>
          <w:szCs w:val="17"/>
          <w:lang w:val="en-GB"/>
        </w:rPr>
        <w:t>removing</w:t>
      </w:r>
      <w:r w:rsidR="007D6975" w:rsidRPr="007D6975">
        <w:rPr>
          <w:rStyle w:val="CEAGraphTitle"/>
          <w:b/>
          <w:i/>
          <w:szCs w:val="17"/>
          <w:lang w:val="en-GB"/>
        </w:rPr>
        <w:t xml:space="preserve"> the </w:t>
      </w:r>
      <w:r w:rsidR="00F92892" w:rsidRPr="007D6975">
        <w:rPr>
          <w:rStyle w:val="CEAGraphTitle"/>
          <w:b/>
          <w:i/>
          <w:szCs w:val="17"/>
          <w:lang w:val="en-GB"/>
        </w:rPr>
        <w:t>proposed provision</w:t>
      </w:r>
      <w:r w:rsidR="00CD1627">
        <w:rPr>
          <w:rStyle w:val="CEAGraphTitle"/>
          <w:b/>
          <w:i/>
          <w:szCs w:val="17"/>
          <w:lang w:val="en-GB"/>
        </w:rPr>
        <w:t xml:space="preserve"> </w:t>
      </w:r>
      <w:r w:rsidR="00F277BA">
        <w:rPr>
          <w:rStyle w:val="CEAGraphTitle"/>
          <w:szCs w:val="17"/>
          <w:lang w:val="en-GB"/>
        </w:rPr>
        <w:t>as</w:t>
      </w:r>
      <w:r w:rsidR="00CD1627" w:rsidRPr="00CD1627">
        <w:rPr>
          <w:rStyle w:val="CEAGraphTitle"/>
          <w:szCs w:val="17"/>
          <w:lang w:val="en-GB"/>
        </w:rPr>
        <w:t xml:space="preserve"> not workable in the context of group insurance plans</w:t>
      </w:r>
      <w:r w:rsidR="00CD1627">
        <w:rPr>
          <w:rStyle w:val="CEAGraphTitle"/>
          <w:b/>
          <w:i/>
          <w:szCs w:val="17"/>
          <w:lang w:val="en-GB"/>
        </w:rPr>
        <w:t xml:space="preserve">. </w:t>
      </w:r>
      <w:r w:rsidR="00F92892" w:rsidRPr="00FD2AC0">
        <w:rPr>
          <w:rStyle w:val="CEAGraphTitle"/>
          <w:szCs w:val="17"/>
          <w:lang w:val="en-GB"/>
        </w:rPr>
        <w:t xml:space="preserve"> </w:t>
      </w:r>
    </w:p>
    <w:p w:rsidR="003329BA" w:rsidRDefault="003329BA" w:rsidP="003329BA">
      <w:pPr>
        <w:pStyle w:val="CEABullet-Level1"/>
        <w:numPr>
          <w:ilvl w:val="0"/>
          <w:numId w:val="0"/>
        </w:numPr>
        <w:spacing w:after="120"/>
        <w:ind w:left="720" w:hanging="360"/>
        <w:rPr>
          <w:rStyle w:val="CEAGraphTitle"/>
          <w:szCs w:val="17"/>
          <w:lang w:val="en-GB"/>
        </w:rPr>
      </w:pPr>
    </w:p>
    <w:p w:rsidR="003329BA" w:rsidRPr="00FD2AC0" w:rsidRDefault="003329BA" w:rsidP="003329BA">
      <w:pPr>
        <w:pStyle w:val="CEABullet-Level1"/>
        <w:numPr>
          <w:ilvl w:val="0"/>
          <w:numId w:val="0"/>
        </w:numPr>
        <w:spacing w:after="120"/>
        <w:ind w:left="720" w:hanging="360"/>
        <w:rPr>
          <w:rStyle w:val="CEAGraphTitle"/>
          <w:szCs w:val="17"/>
          <w:lang w:val="en-GB"/>
        </w:rPr>
      </w:pPr>
      <w:bookmarkStart w:id="2" w:name="_GoBack"/>
      <w:bookmarkEnd w:id="2"/>
    </w:p>
    <w:p w:rsidR="0043493A" w:rsidRPr="00A0081B" w:rsidRDefault="00A0081B" w:rsidP="000C0B39">
      <w:pPr>
        <w:pStyle w:val="ListParagraph"/>
        <w:numPr>
          <w:ilvl w:val="0"/>
          <w:numId w:val="17"/>
        </w:numPr>
        <w:spacing w:after="120"/>
        <w:ind w:left="714" w:hanging="357"/>
        <w:rPr>
          <w:rStyle w:val="CEAGraphTitle"/>
          <w:b/>
          <w:szCs w:val="17"/>
          <w:u w:val="single"/>
        </w:rPr>
      </w:pPr>
      <w:r w:rsidRPr="00A0081B">
        <w:rPr>
          <w:rStyle w:val="CEAGraphTitle"/>
          <w:b/>
          <w:szCs w:val="17"/>
          <w:u w:val="single"/>
        </w:rPr>
        <w:lastRenderedPageBreak/>
        <w:t xml:space="preserve">Health data </w:t>
      </w:r>
    </w:p>
    <w:p w:rsidR="00A0081B" w:rsidRDefault="00F95D42" w:rsidP="00F95D42">
      <w:pPr>
        <w:pBdr>
          <w:top w:val="single" w:sz="4" w:space="1" w:color="auto"/>
          <w:left w:val="single" w:sz="4" w:space="4" w:color="auto"/>
          <w:bottom w:val="single" w:sz="4" w:space="1" w:color="auto"/>
          <w:right w:val="single" w:sz="4" w:space="4" w:color="auto"/>
        </w:pBdr>
        <w:spacing w:after="120"/>
        <w:rPr>
          <w:rStyle w:val="CEAGraphTitle"/>
          <w:i/>
          <w:szCs w:val="17"/>
        </w:rPr>
      </w:pPr>
      <w:r>
        <w:rPr>
          <w:rStyle w:val="CEAGraphTitle"/>
          <w:szCs w:val="17"/>
        </w:rPr>
        <w:t>Preamble 26: “</w:t>
      </w:r>
      <w:r w:rsidRPr="00487BF6">
        <w:rPr>
          <w:rStyle w:val="CEAGraphTitle"/>
          <w:b/>
          <w:i/>
          <w:szCs w:val="17"/>
        </w:rPr>
        <w:t>Personal data relating to health</w:t>
      </w:r>
      <w:r w:rsidRPr="00F95D42">
        <w:rPr>
          <w:rStyle w:val="CEAGraphTitle"/>
          <w:i/>
          <w:szCs w:val="17"/>
        </w:rPr>
        <w:t xml:space="preserve"> should include in particular all data pertaining to the health status of a data subject; information about the registration of the individual for the provision of health services; information about payments or eligibility for healthcare with respect to the individual; a number, symbol or particular assigned to an individual to uniquely identify the individual for health purposes; any information about the individual collected in the course of the provision of health services to the individual; information derived from the testing or examination of a body part or bodily substance; including biological samples;</w:t>
      </w:r>
      <w:r>
        <w:rPr>
          <w:rStyle w:val="CEAGraphTitle"/>
          <w:i/>
          <w:szCs w:val="17"/>
        </w:rPr>
        <w:t xml:space="preserve"> identification </w:t>
      </w:r>
      <w:r w:rsidRPr="00F95D42">
        <w:rPr>
          <w:rStyle w:val="CEAGraphTitle"/>
          <w:i/>
          <w:szCs w:val="17"/>
        </w:rPr>
        <w:t xml:space="preserve">of a person as provider of healthcare to the individual; or any information on </w:t>
      </w:r>
      <w:proofErr w:type="spellStart"/>
      <w:r w:rsidRPr="00F95D42">
        <w:rPr>
          <w:rStyle w:val="CEAGraphTitle"/>
          <w:i/>
          <w:szCs w:val="17"/>
        </w:rPr>
        <w:t>eg</w:t>
      </w:r>
      <w:proofErr w:type="spellEnd"/>
      <w:r w:rsidRPr="00F95D42">
        <w:rPr>
          <w:rStyle w:val="CEAGraphTitle"/>
          <w:i/>
          <w:szCs w:val="17"/>
        </w:rPr>
        <w:t xml:space="preserve"> a disease, disability, disease risk, medical history, clinical treatment, or the actual physiological or biomedical state of the data subject independent of its source, such as </w:t>
      </w:r>
      <w:proofErr w:type="spellStart"/>
      <w:r w:rsidRPr="00F95D42">
        <w:rPr>
          <w:rStyle w:val="CEAGraphTitle"/>
          <w:i/>
          <w:szCs w:val="17"/>
        </w:rPr>
        <w:t>eg</w:t>
      </w:r>
      <w:proofErr w:type="spellEnd"/>
      <w:r w:rsidRPr="00F95D42">
        <w:rPr>
          <w:rStyle w:val="CEAGraphTitle"/>
          <w:i/>
          <w:szCs w:val="17"/>
        </w:rPr>
        <w:t xml:space="preserve"> physician or other health professional, a hospital, a medical device, or an in vitro diagnostic test”</w:t>
      </w:r>
      <w:r>
        <w:rPr>
          <w:rStyle w:val="CEAGraphTitle"/>
          <w:i/>
          <w:szCs w:val="17"/>
        </w:rPr>
        <w:t>.</w:t>
      </w:r>
    </w:p>
    <w:p w:rsidR="005D17FB" w:rsidRPr="005D17FB" w:rsidRDefault="005D17FB" w:rsidP="00F95D42">
      <w:pPr>
        <w:pBdr>
          <w:top w:val="single" w:sz="4" w:space="1" w:color="auto"/>
          <w:left w:val="single" w:sz="4" w:space="4" w:color="auto"/>
          <w:bottom w:val="single" w:sz="4" w:space="1" w:color="auto"/>
          <w:right w:val="single" w:sz="4" w:space="4" w:color="auto"/>
        </w:pBdr>
        <w:spacing w:after="120"/>
        <w:rPr>
          <w:rStyle w:val="CEAGraphTitle"/>
          <w:szCs w:val="17"/>
        </w:rPr>
      </w:pPr>
      <w:r w:rsidRPr="005D17FB">
        <w:rPr>
          <w:rStyle w:val="CEAGraphTitle"/>
          <w:szCs w:val="17"/>
          <w:u w:val="single"/>
        </w:rPr>
        <w:t>Article 4(12</w:t>
      </w:r>
      <w:r>
        <w:rPr>
          <w:rStyle w:val="CEAGraphTitle"/>
          <w:szCs w:val="17"/>
        </w:rPr>
        <w:t xml:space="preserve">): </w:t>
      </w:r>
      <w:r w:rsidRPr="005D17FB">
        <w:rPr>
          <w:rStyle w:val="CEAGraphTitle"/>
          <w:i/>
          <w:szCs w:val="17"/>
        </w:rPr>
        <w:t xml:space="preserve">“data concerning health means any information which relates to the physical or mental health of an </w:t>
      </w:r>
      <w:r w:rsidR="004F74A9" w:rsidRPr="005D17FB">
        <w:rPr>
          <w:rStyle w:val="CEAGraphTitle"/>
          <w:i/>
          <w:szCs w:val="17"/>
        </w:rPr>
        <w:t>individual</w:t>
      </w:r>
      <w:r w:rsidRPr="005D17FB">
        <w:rPr>
          <w:rStyle w:val="CEAGraphTitle"/>
          <w:i/>
          <w:szCs w:val="17"/>
        </w:rPr>
        <w:t xml:space="preserve"> or to the provision of health services”.</w:t>
      </w:r>
      <w:r>
        <w:rPr>
          <w:rStyle w:val="CEAGraphTitle"/>
          <w:szCs w:val="17"/>
        </w:rPr>
        <w:t xml:space="preserve"> </w:t>
      </w:r>
    </w:p>
    <w:p w:rsidR="00681BBA" w:rsidRDefault="005D17FB" w:rsidP="00681BBA">
      <w:pPr>
        <w:pStyle w:val="CEABullet-Level1"/>
        <w:spacing w:after="120"/>
        <w:ind w:left="714" w:hanging="357"/>
        <w:rPr>
          <w:rStyle w:val="CEAGraphTitle"/>
          <w:szCs w:val="17"/>
          <w:lang w:val="en-GB"/>
        </w:rPr>
      </w:pPr>
      <w:r w:rsidRPr="00681BBA">
        <w:rPr>
          <w:rStyle w:val="CEAGraphTitle"/>
          <w:szCs w:val="17"/>
          <w:lang w:val="en-GB"/>
        </w:rPr>
        <w:t xml:space="preserve">Insurance Europe </w:t>
      </w:r>
      <w:r w:rsidRPr="00B943A6">
        <w:rPr>
          <w:rStyle w:val="CEAGraphTitle"/>
          <w:szCs w:val="17"/>
          <w:u w:val="single"/>
          <w:lang w:val="en-GB"/>
        </w:rPr>
        <w:t>believes</w:t>
      </w:r>
      <w:r w:rsidRPr="00681BBA">
        <w:rPr>
          <w:rStyle w:val="CEAGraphTitle"/>
          <w:szCs w:val="17"/>
          <w:lang w:val="en-GB"/>
        </w:rPr>
        <w:t xml:space="preserve"> </w:t>
      </w:r>
      <w:r w:rsidR="00681BBA" w:rsidRPr="00681BBA">
        <w:rPr>
          <w:rStyle w:val="CEAGraphTitle"/>
          <w:szCs w:val="17"/>
          <w:lang w:val="en-GB"/>
        </w:rPr>
        <w:t xml:space="preserve">the </w:t>
      </w:r>
      <w:r w:rsidR="00681BBA" w:rsidRPr="007D6975">
        <w:rPr>
          <w:rStyle w:val="CEAGraphTitle"/>
          <w:szCs w:val="17"/>
          <w:u w:val="single"/>
          <w:lang w:val="en-GB"/>
        </w:rPr>
        <w:t>current data protection rules</w:t>
      </w:r>
      <w:r w:rsidR="00681BBA" w:rsidRPr="00681BBA">
        <w:rPr>
          <w:rStyle w:val="CEAGraphTitle"/>
          <w:szCs w:val="17"/>
          <w:lang w:val="en-GB"/>
        </w:rPr>
        <w:t xml:space="preserve"> with regard to collecting and processing </w:t>
      </w:r>
      <w:r w:rsidR="00B943A6">
        <w:rPr>
          <w:rStyle w:val="CEAGraphTitle"/>
          <w:szCs w:val="17"/>
          <w:lang w:val="en-GB"/>
        </w:rPr>
        <w:t xml:space="preserve">health </w:t>
      </w:r>
      <w:r w:rsidR="00681BBA" w:rsidRPr="00681BBA">
        <w:rPr>
          <w:rStyle w:val="CEAGraphTitle"/>
          <w:szCs w:val="17"/>
          <w:lang w:val="en-GB"/>
        </w:rPr>
        <w:t>data are sufficient</w:t>
      </w:r>
      <w:r w:rsidR="00681BBA">
        <w:rPr>
          <w:rStyle w:val="CEAGraphTitle"/>
          <w:szCs w:val="17"/>
          <w:lang w:val="en-GB"/>
        </w:rPr>
        <w:t xml:space="preserve"> and provide the necessary </w:t>
      </w:r>
      <w:commentRangeStart w:id="3"/>
      <w:r w:rsidR="00681BBA">
        <w:rPr>
          <w:rStyle w:val="CEAGraphTitle"/>
          <w:szCs w:val="17"/>
          <w:lang w:val="en-GB"/>
        </w:rPr>
        <w:t>safeguards</w:t>
      </w:r>
      <w:commentRangeEnd w:id="3"/>
      <w:r w:rsidR="007459B2">
        <w:rPr>
          <w:rStyle w:val="CommentReference"/>
          <w:rFonts w:cs="Times New Roman"/>
          <w:color w:val="auto"/>
          <w:lang w:val="en-GB"/>
        </w:rPr>
        <w:commentReference w:id="3"/>
      </w:r>
      <w:r w:rsidR="00681BBA" w:rsidRPr="00681BBA">
        <w:rPr>
          <w:rStyle w:val="CEAGraphTitle"/>
          <w:szCs w:val="17"/>
          <w:lang w:val="en-GB"/>
        </w:rPr>
        <w:t xml:space="preserve"> </w:t>
      </w:r>
      <w:r w:rsidR="00D029CA">
        <w:rPr>
          <w:rStyle w:val="CEAGraphTitle"/>
          <w:szCs w:val="17"/>
          <w:lang w:val="en-GB"/>
        </w:rPr>
        <w:t>to data subjects</w:t>
      </w:r>
      <w:r w:rsidR="00681BBA">
        <w:rPr>
          <w:rStyle w:val="CEAGraphTitle"/>
          <w:szCs w:val="17"/>
          <w:lang w:val="en-GB"/>
        </w:rPr>
        <w:t xml:space="preserve">. </w:t>
      </w:r>
    </w:p>
    <w:p w:rsidR="00F95D42" w:rsidRDefault="00B943A6" w:rsidP="00681BBA">
      <w:pPr>
        <w:pStyle w:val="CEABullet-Level1"/>
        <w:spacing w:after="120"/>
        <w:ind w:left="714" w:hanging="357"/>
        <w:rPr>
          <w:rStyle w:val="CEAGraphTitle"/>
          <w:szCs w:val="17"/>
          <w:lang w:val="en-GB"/>
        </w:rPr>
      </w:pPr>
      <w:r>
        <w:rPr>
          <w:rStyle w:val="CEAGraphTitle"/>
          <w:szCs w:val="17"/>
          <w:lang w:val="en-GB"/>
        </w:rPr>
        <w:t xml:space="preserve">Insurance Europe also </w:t>
      </w:r>
      <w:r w:rsidRPr="00B943A6">
        <w:rPr>
          <w:rStyle w:val="CEAGraphTitle"/>
          <w:szCs w:val="17"/>
          <w:u w:val="single"/>
          <w:lang w:val="en-GB"/>
        </w:rPr>
        <w:t>believes</w:t>
      </w:r>
      <w:r>
        <w:rPr>
          <w:rStyle w:val="CEAGraphTitle"/>
          <w:szCs w:val="17"/>
          <w:lang w:val="en-GB"/>
        </w:rPr>
        <w:t xml:space="preserve"> t</w:t>
      </w:r>
      <w:r w:rsidR="00681BBA">
        <w:rPr>
          <w:rStyle w:val="CEAGraphTitle"/>
          <w:szCs w:val="17"/>
          <w:lang w:val="en-GB"/>
        </w:rPr>
        <w:t xml:space="preserve">he proposed </w:t>
      </w:r>
      <w:r w:rsidR="005D17FB" w:rsidRPr="00681BBA">
        <w:rPr>
          <w:rStyle w:val="CEAGraphTitle"/>
          <w:szCs w:val="17"/>
          <w:lang w:val="en-GB"/>
        </w:rPr>
        <w:t xml:space="preserve">extension of the health data definition </w:t>
      </w:r>
      <w:r w:rsidR="00681BBA">
        <w:rPr>
          <w:rStyle w:val="CEAGraphTitle"/>
          <w:szCs w:val="17"/>
          <w:lang w:val="en-GB"/>
        </w:rPr>
        <w:t xml:space="preserve">in combination with </w:t>
      </w:r>
      <w:r w:rsidR="007D6975">
        <w:rPr>
          <w:rStyle w:val="CEAGraphTitle"/>
          <w:szCs w:val="17"/>
          <w:lang w:val="en-GB"/>
        </w:rPr>
        <w:t xml:space="preserve">the </w:t>
      </w:r>
      <w:r w:rsidR="00681BBA">
        <w:rPr>
          <w:rStyle w:val="CEAGraphTitle"/>
          <w:szCs w:val="17"/>
          <w:lang w:val="en-GB"/>
        </w:rPr>
        <w:t xml:space="preserve">change of rules of consent </w:t>
      </w:r>
      <w:commentRangeStart w:id="4"/>
      <w:r w:rsidR="00681BBA" w:rsidRPr="00681BBA">
        <w:rPr>
          <w:rStyle w:val="CEAGraphTitle"/>
          <w:b/>
          <w:i/>
          <w:szCs w:val="17"/>
          <w:lang w:val="en-GB"/>
        </w:rPr>
        <w:t>does not bring any added value</w:t>
      </w:r>
      <w:r w:rsidR="00681BBA">
        <w:rPr>
          <w:rStyle w:val="CEAGraphTitle"/>
          <w:szCs w:val="17"/>
          <w:lang w:val="en-GB"/>
        </w:rPr>
        <w:t xml:space="preserve"> </w:t>
      </w:r>
      <w:commentRangeEnd w:id="4"/>
      <w:r w:rsidR="008D704E">
        <w:rPr>
          <w:rStyle w:val="CommentReference"/>
          <w:rFonts w:cs="Times New Roman"/>
          <w:color w:val="auto"/>
          <w:lang w:val="en-GB"/>
        </w:rPr>
        <w:commentReference w:id="4"/>
      </w:r>
      <w:r w:rsidR="00681BBA">
        <w:rPr>
          <w:rStyle w:val="CEAGraphTitle"/>
          <w:szCs w:val="17"/>
          <w:lang w:val="en-GB"/>
        </w:rPr>
        <w:t xml:space="preserve">to consumers. </w:t>
      </w:r>
      <w:r w:rsidR="0007785C">
        <w:rPr>
          <w:rStyle w:val="CEAGraphTitle"/>
          <w:szCs w:val="17"/>
          <w:lang w:val="en-GB"/>
        </w:rPr>
        <w:t>On the contrary, it reduces the protection insurance can provide</w:t>
      </w:r>
      <w:r w:rsidR="00AD4080">
        <w:rPr>
          <w:rStyle w:val="CEAGraphTitle"/>
          <w:szCs w:val="17"/>
          <w:lang w:val="en-GB"/>
        </w:rPr>
        <w:t xml:space="preserve"> to</w:t>
      </w:r>
      <w:r w:rsidR="0007785C">
        <w:rPr>
          <w:rStyle w:val="CEAGraphTitle"/>
          <w:szCs w:val="17"/>
          <w:lang w:val="en-GB"/>
        </w:rPr>
        <w:t xml:space="preserve"> the customers by increasing the requirements of consent for </w:t>
      </w:r>
      <w:r w:rsidR="00AD4080">
        <w:rPr>
          <w:rStyle w:val="CEAGraphTitle"/>
          <w:szCs w:val="17"/>
          <w:lang w:val="en-GB"/>
        </w:rPr>
        <w:t>processing</w:t>
      </w:r>
      <w:r w:rsidR="0007785C">
        <w:rPr>
          <w:rStyle w:val="CEAGraphTitle"/>
          <w:szCs w:val="17"/>
          <w:lang w:val="en-GB"/>
        </w:rPr>
        <w:t xml:space="preserve"> a broader range of health data. </w:t>
      </w:r>
    </w:p>
    <w:p w:rsidR="00AD4080" w:rsidRPr="00681BBA" w:rsidRDefault="00AD4080" w:rsidP="00681BBA">
      <w:pPr>
        <w:pStyle w:val="CEABullet-Level1"/>
        <w:spacing w:after="120"/>
        <w:ind w:left="714" w:hanging="357"/>
        <w:rPr>
          <w:rStyle w:val="CEAGraphTitle"/>
          <w:szCs w:val="17"/>
          <w:lang w:val="en-GB"/>
        </w:rPr>
      </w:pPr>
      <w:r w:rsidRPr="00AD4080">
        <w:rPr>
          <w:rStyle w:val="CEAGraphTitle"/>
          <w:szCs w:val="17"/>
          <w:lang w:val="en-GB"/>
        </w:rPr>
        <w:t>Insurance Europe</w:t>
      </w:r>
      <w:r>
        <w:rPr>
          <w:rStyle w:val="CEAGraphTitle"/>
          <w:szCs w:val="17"/>
          <w:lang w:val="en-GB"/>
        </w:rPr>
        <w:t xml:space="preserve"> </w:t>
      </w:r>
      <w:commentRangeStart w:id="5"/>
      <w:r w:rsidRPr="00AD4080">
        <w:rPr>
          <w:rStyle w:val="CEAGraphTitle"/>
          <w:szCs w:val="17"/>
          <w:u w:val="single"/>
          <w:lang w:val="en-GB"/>
        </w:rPr>
        <w:t>calls for</w:t>
      </w:r>
      <w:r>
        <w:rPr>
          <w:rStyle w:val="CEAGraphTitle"/>
          <w:szCs w:val="17"/>
          <w:lang w:val="en-GB"/>
        </w:rPr>
        <w:t xml:space="preserve"> a </w:t>
      </w:r>
      <w:r w:rsidRPr="0067149E">
        <w:rPr>
          <w:rStyle w:val="CEAGraphTitle"/>
          <w:b/>
          <w:i/>
          <w:szCs w:val="17"/>
          <w:lang w:val="en-GB"/>
        </w:rPr>
        <w:t>narrow definition of health data</w:t>
      </w:r>
      <w:commentRangeEnd w:id="5"/>
      <w:r w:rsidR="008D704E">
        <w:rPr>
          <w:rStyle w:val="CommentReference"/>
          <w:rFonts w:cs="Times New Roman"/>
          <w:color w:val="auto"/>
          <w:lang w:val="en-GB"/>
        </w:rPr>
        <w:commentReference w:id="5"/>
      </w:r>
      <w:r>
        <w:rPr>
          <w:rStyle w:val="CEAGraphTitle"/>
          <w:szCs w:val="17"/>
          <w:lang w:val="en-GB"/>
        </w:rPr>
        <w:t xml:space="preserve">. </w:t>
      </w:r>
    </w:p>
    <w:p w:rsidR="00D631C6" w:rsidRDefault="00D631C6" w:rsidP="00D631C6">
      <w:pPr>
        <w:pBdr>
          <w:top w:val="single" w:sz="4" w:space="1" w:color="auto"/>
          <w:left w:val="single" w:sz="4" w:space="4" w:color="auto"/>
          <w:bottom w:val="single" w:sz="4" w:space="1" w:color="auto"/>
          <w:right w:val="single" w:sz="4" w:space="4" w:color="auto"/>
        </w:pBdr>
        <w:spacing w:after="120"/>
        <w:rPr>
          <w:rStyle w:val="CEAGraphTitle"/>
          <w:i/>
          <w:szCs w:val="17"/>
        </w:rPr>
      </w:pPr>
      <w:r w:rsidRPr="00406E8F">
        <w:rPr>
          <w:rStyle w:val="CEAGraphTitle"/>
          <w:szCs w:val="17"/>
          <w:u w:val="single"/>
        </w:rPr>
        <w:t>Preamble 42</w:t>
      </w:r>
      <w:r>
        <w:rPr>
          <w:rStyle w:val="CEAGraphTitle"/>
          <w:i/>
          <w:szCs w:val="17"/>
        </w:rPr>
        <w:t xml:space="preserve">:” </w:t>
      </w:r>
      <w:r w:rsidRPr="00333702">
        <w:rPr>
          <w:rStyle w:val="CEAGraphTitle"/>
          <w:b/>
          <w:i/>
          <w:szCs w:val="17"/>
        </w:rPr>
        <w:t>Derogating from the prohibition</w:t>
      </w:r>
      <w:r>
        <w:rPr>
          <w:rStyle w:val="CEAGraphTitle"/>
          <w:i/>
          <w:szCs w:val="17"/>
        </w:rPr>
        <w:t xml:space="preserve"> on processing sensitive categories of data should also be allowed if done by a law [...] and in particular </w:t>
      </w:r>
      <w:r w:rsidRPr="00406E8F">
        <w:rPr>
          <w:rStyle w:val="CEAGraphTitle"/>
          <w:b/>
          <w:i/>
          <w:szCs w:val="17"/>
        </w:rPr>
        <w:t>for health purposes</w:t>
      </w:r>
      <w:r>
        <w:rPr>
          <w:rStyle w:val="CEAGraphTitle"/>
          <w:i/>
          <w:szCs w:val="17"/>
        </w:rPr>
        <w:t>, including [.</w:t>
      </w:r>
      <w:r w:rsidR="00333702">
        <w:rPr>
          <w:rStyle w:val="CEAGraphTitle"/>
          <w:i/>
          <w:szCs w:val="17"/>
        </w:rPr>
        <w:t xml:space="preserve">.] and the management of </w:t>
      </w:r>
      <w:r w:rsidR="00333702" w:rsidRPr="00333702">
        <w:rPr>
          <w:rStyle w:val="CEAGraphTitle"/>
          <w:b/>
          <w:i/>
          <w:szCs w:val="17"/>
        </w:rPr>
        <w:t>health</w:t>
      </w:r>
      <w:r w:rsidRPr="00333702">
        <w:rPr>
          <w:rStyle w:val="CEAGraphTitle"/>
          <w:b/>
          <w:i/>
          <w:szCs w:val="17"/>
        </w:rPr>
        <w:t>–care services</w:t>
      </w:r>
      <w:r>
        <w:rPr>
          <w:rStyle w:val="CEAGraphTitle"/>
          <w:i/>
          <w:szCs w:val="17"/>
        </w:rPr>
        <w:t xml:space="preserve">, especially in order to ensure the quality and cost-effectiveness of the procedures used for </w:t>
      </w:r>
      <w:r w:rsidRPr="00406E8F">
        <w:rPr>
          <w:rStyle w:val="CEAGraphTitle"/>
          <w:b/>
          <w:i/>
          <w:szCs w:val="17"/>
        </w:rPr>
        <w:t>settling claims for benefits and services in the health insurance system</w:t>
      </w:r>
      <w:r>
        <w:rPr>
          <w:rStyle w:val="CEAGraphTitle"/>
          <w:i/>
          <w:szCs w:val="17"/>
        </w:rPr>
        <w:t xml:space="preserve"> [..].” </w:t>
      </w:r>
    </w:p>
    <w:p w:rsidR="00F95D42" w:rsidRDefault="00F95D42" w:rsidP="00F95D42">
      <w:pPr>
        <w:pBdr>
          <w:top w:val="single" w:sz="4" w:space="1" w:color="auto"/>
          <w:left w:val="single" w:sz="4" w:space="4" w:color="auto"/>
          <w:bottom w:val="single" w:sz="4" w:space="1" w:color="auto"/>
          <w:right w:val="single" w:sz="4" w:space="4" w:color="auto"/>
        </w:pBdr>
        <w:rPr>
          <w:rStyle w:val="CEAGraphTitle"/>
          <w:i/>
          <w:szCs w:val="17"/>
        </w:rPr>
      </w:pPr>
      <w:r w:rsidRPr="00F95D42">
        <w:rPr>
          <w:rStyle w:val="CEAGraphTitle"/>
          <w:szCs w:val="17"/>
          <w:u w:val="single"/>
        </w:rPr>
        <w:t>Article 9par.2 (h)</w:t>
      </w:r>
      <w:r>
        <w:rPr>
          <w:rStyle w:val="CEAGraphTitle"/>
          <w:szCs w:val="17"/>
        </w:rPr>
        <w:t xml:space="preserve">: </w:t>
      </w:r>
      <w:r w:rsidRPr="00F95D42">
        <w:rPr>
          <w:rStyle w:val="CEAGraphTitle"/>
          <w:i/>
          <w:szCs w:val="17"/>
        </w:rPr>
        <w:t>“Paragraph 1 (prohibition o</w:t>
      </w:r>
      <w:r w:rsidR="00CD1627">
        <w:rPr>
          <w:rStyle w:val="CEAGraphTitle"/>
          <w:i/>
          <w:szCs w:val="17"/>
        </w:rPr>
        <w:t>n</w:t>
      </w:r>
      <w:r w:rsidRPr="00F95D42">
        <w:rPr>
          <w:rStyle w:val="CEAGraphTitle"/>
          <w:i/>
          <w:szCs w:val="17"/>
        </w:rPr>
        <w:t xml:space="preserve"> processing data concerning health) shall not apply where the processing of data concerning health is necessary for </w:t>
      </w:r>
      <w:r w:rsidRPr="00681BBA">
        <w:rPr>
          <w:rStyle w:val="CEAGraphTitle"/>
          <w:b/>
          <w:i/>
          <w:szCs w:val="17"/>
        </w:rPr>
        <w:t>health purposes</w:t>
      </w:r>
      <w:r w:rsidRPr="00F95D42">
        <w:rPr>
          <w:rStyle w:val="CEAGraphTitle"/>
          <w:i/>
          <w:szCs w:val="17"/>
        </w:rPr>
        <w:t xml:space="preserve"> and subject to the conditions and safeguards referred to in Article 81”.</w:t>
      </w:r>
    </w:p>
    <w:p w:rsidR="00F95D42" w:rsidRDefault="00F95D42" w:rsidP="00F95D42">
      <w:pPr>
        <w:rPr>
          <w:rStyle w:val="CEAGraphTitle"/>
          <w:szCs w:val="17"/>
        </w:rPr>
      </w:pPr>
    </w:p>
    <w:p w:rsidR="005D17FB" w:rsidRPr="00333702" w:rsidRDefault="005D17FB" w:rsidP="00333702">
      <w:pPr>
        <w:pStyle w:val="CEABullet-Level1"/>
        <w:spacing w:after="120"/>
        <w:ind w:left="714" w:hanging="357"/>
        <w:rPr>
          <w:rStyle w:val="CEAGraphTitle"/>
          <w:szCs w:val="17"/>
          <w:lang w:val="en-GB"/>
        </w:rPr>
      </w:pPr>
      <w:r w:rsidRPr="00333702">
        <w:rPr>
          <w:rStyle w:val="CEAGraphTitle"/>
          <w:szCs w:val="17"/>
          <w:lang w:val="en-GB"/>
        </w:rPr>
        <w:t xml:space="preserve">Insurance Europe </w:t>
      </w:r>
      <w:r w:rsidR="00333702" w:rsidRPr="00333702">
        <w:rPr>
          <w:rStyle w:val="CEAGraphTitle"/>
          <w:szCs w:val="17"/>
          <w:u w:val="single"/>
          <w:lang w:val="en-GB"/>
        </w:rPr>
        <w:t>understands</w:t>
      </w:r>
      <w:r w:rsidR="00333702" w:rsidRPr="00333702">
        <w:rPr>
          <w:rStyle w:val="CEAGraphTitle"/>
          <w:szCs w:val="17"/>
          <w:lang w:val="en-GB"/>
        </w:rPr>
        <w:t xml:space="preserve"> </w:t>
      </w:r>
      <w:r w:rsidR="00333702">
        <w:rPr>
          <w:rStyle w:val="CEAGraphTitle"/>
          <w:szCs w:val="17"/>
          <w:lang w:val="en-GB"/>
        </w:rPr>
        <w:t xml:space="preserve">the </w:t>
      </w:r>
      <w:r w:rsidR="00333702" w:rsidRPr="002B0F0A">
        <w:rPr>
          <w:rStyle w:val="CEAGraphTitle"/>
          <w:szCs w:val="17"/>
          <w:lang w:val="en-GB"/>
        </w:rPr>
        <w:t>general prohibition</w:t>
      </w:r>
      <w:r w:rsidR="00AD4080">
        <w:rPr>
          <w:rStyle w:val="CEAGraphTitle"/>
          <w:szCs w:val="17"/>
          <w:lang w:val="en-GB"/>
        </w:rPr>
        <w:t xml:space="preserve"> of</w:t>
      </w:r>
      <w:r w:rsidR="00333702">
        <w:rPr>
          <w:rStyle w:val="CEAGraphTitle"/>
          <w:szCs w:val="17"/>
          <w:lang w:val="en-GB"/>
        </w:rPr>
        <w:t xml:space="preserve"> </w:t>
      </w:r>
      <w:r w:rsidR="00333702" w:rsidRPr="00333702">
        <w:rPr>
          <w:rStyle w:val="CEAGraphTitle"/>
          <w:szCs w:val="17"/>
          <w:lang w:val="en-GB"/>
        </w:rPr>
        <w:t xml:space="preserve">processing health data </w:t>
      </w:r>
      <w:r w:rsidR="00333702" w:rsidRPr="002B0F0A">
        <w:rPr>
          <w:rStyle w:val="CEAGraphTitle"/>
          <w:szCs w:val="17"/>
          <w:lang w:val="en-GB"/>
        </w:rPr>
        <w:t>does not apply</w:t>
      </w:r>
      <w:r w:rsidR="00333702">
        <w:rPr>
          <w:rStyle w:val="CEAGraphTitle"/>
          <w:szCs w:val="17"/>
          <w:lang w:val="en-GB"/>
        </w:rPr>
        <w:t xml:space="preserve"> when health data are processed for health purposes, including </w:t>
      </w:r>
      <w:r w:rsidR="00333702" w:rsidRPr="00333702">
        <w:rPr>
          <w:rStyle w:val="CEAGraphTitle"/>
          <w:szCs w:val="17"/>
          <w:lang w:val="en-GB"/>
        </w:rPr>
        <w:t>for the man</w:t>
      </w:r>
      <w:r w:rsidR="00333702">
        <w:rPr>
          <w:rStyle w:val="CEAGraphTitle"/>
          <w:szCs w:val="17"/>
          <w:lang w:val="en-GB"/>
        </w:rPr>
        <w:t xml:space="preserve">agement of health-care services. </w:t>
      </w:r>
    </w:p>
    <w:p w:rsidR="008D704E" w:rsidRDefault="00333702" w:rsidP="00F95D42">
      <w:pPr>
        <w:pStyle w:val="CEABullet-Level1"/>
        <w:spacing w:after="120"/>
        <w:ind w:left="714" w:hanging="357"/>
        <w:rPr>
          <w:rStyle w:val="CEAGraphTitle"/>
          <w:szCs w:val="17"/>
          <w:lang w:val="en-GB"/>
        </w:rPr>
      </w:pPr>
      <w:r w:rsidRPr="00AD4080">
        <w:rPr>
          <w:rStyle w:val="CEAGraphTitle"/>
          <w:szCs w:val="17"/>
          <w:lang w:val="en-GB"/>
        </w:rPr>
        <w:t>Insurance Europe</w:t>
      </w:r>
      <w:r w:rsidR="008D704E">
        <w:rPr>
          <w:rStyle w:val="CEAGraphTitle"/>
          <w:szCs w:val="17"/>
          <w:lang w:val="en-GB"/>
        </w:rPr>
        <w:t xml:space="preserve"> </w:t>
      </w:r>
      <w:r w:rsidR="008D704E" w:rsidRPr="008D704E">
        <w:rPr>
          <w:rStyle w:val="CEAGraphTitle"/>
          <w:szCs w:val="17"/>
          <w:u w:val="single"/>
          <w:lang w:val="en-GB"/>
        </w:rPr>
        <w:t>understands</w:t>
      </w:r>
      <w:r w:rsidR="008D704E">
        <w:rPr>
          <w:rStyle w:val="CEAGraphTitle"/>
          <w:szCs w:val="17"/>
          <w:lang w:val="en-GB"/>
        </w:rPr>
        <w:t xml:space="preserve"> health insurance falls under the term “health purposes”. This would mean that </w:t>
      </w:r>
      <w:r w:rsidR="008D704E" w:rsidRPr="008D704E">
        <w:rPr>
          <w:rStyle w:val="CEAGraphTitle"/>
          <w:szCs w:val="17"/>
          <w:lang w:val="en-GB"/>
        </w:rPr>
        <w:t xml:space="preserve">the </w:t>
      </w:r>
      <w:r w:rsidR="008D704E" w:rsidRPr="002B0F0A">
        <w:rPr>
          <w:rStyle w:val="CEAGraphTitle"/>
          <w:szCs w:val="17"/>
          <w:lang w:val="en-GB"/>
        </w:rPr>
        <w:t>general prohibition</w:t>
      </w:r>
      <w:r w:rsidR="008D704E" w:rsidRPr="008D704E">
        <w:rPr>
          <w:rStyle w:val="CEAGraphTitle"/>
          <w:szCs w:val="17"/>
          <w:lang w:val="en-GB"/>
        </w:rPr>
        <w:t xml:space="preserve"> of processing health data </w:t>
      </w:r>
      <w:r w:rsidR="008D704E" w:rsidRPr="002B0F0A">
        <w:rPr>
          <w:rStyle w:val="CEAGraphTitle"/>
          <w:szCs w:val="17"/>
          <w:lang w:val="en-GB"/>
        </w:rPr>
        <w:t>would not apply to insurers</w:t>
      </w:r>
      <w:r w:rsidR="004050B0">
        <w:rPr>
          <w:rStyle w:val="CEAGraphTitle"/>
          <w:b/>
          <w:i/>
          <w:szCs w:val="17"/>
          <w:lang w:val="en-GB"/>
        </w:rPr>
        <w:t>.</w:t>
      </w:r>
    </w:p>
    <w:p w:rsidR="008D704E" w:rsidRDefault="008D704E" w:rsidP="00F95D42">
      <w:pPr>
        <w:pStyle w:val="CEABullet-Level1"/>
        <w:spacing w:after="120"/>
        <w:ind w:left="714" w:hanging="357"/>
        <w:rPr>
          <w:rStyle w:val="CEAGraphTitle"/>
          <w:szCs w:val="17"/>
          <w:lang w:val="en-GB"/>
        </w:rPr>
      </w:pPr>
      <w:r w:rsidRPr="008D704E">
        <w:rPr>
          <w:rStyle w:val="CEAGraphTitle"/>
          <w:szCs w:val="17"/>
          <w:lang w:val="en-GB"/>
        </w:rPr>
        <w:t>Insurance Europe</w:t>
      </w:r>
      <w:r w:rsidR="00333702" w:rsidRPr="008D704E">
        <w:rPr>
          <w:rStyle w:val="CEAGraphTitle"/>
          <w:szCs w:val="17"/>
          <w:lang w:val="en-GB"/>
        </w:rPr>
        <w:t xml:space="preserve"> </w:t>
      </w:r>
      <w:r w:rsidR="0007785C" w:rsidRPr="008D704E">
        <w:rPr>
          <w:rStyle w:val="CEAGraphTitle"/>
          <w:szCs w:val="17"/>
          <w:u w:val="single"/>
          <w:lang w:val="en-GB"/>
        </w:rPr>
        <w:t>calls for</w:t>
      </w:r>
      <w:r w:rsidR="0007785C" w:rsidRPr="008D704E">
        <w:rPr>
          <w:rStyle w:val="CEAGraphTitle"/>
          <w:szCs w:val="17"/>
          <w:lang w:val="en-GB"/>
        </w:rPr>
        <w:t xml:space="preserve"> a </w:t>
      </w:r>
      <w:r w:rsidR="0007785C" w:rsidRPr="002B0F0A">
        <w:rPr>
          <w:rStyle w:val="CEAGraphTitle"/>
          <w:b/>
          <w:i/>
          <w:szCs w:val="17"/>
          <w:lang w:val="en-GB"/>
        </w:rPr>
        <w:t>cla</w:t>
      </w:r>
      <w:r w:rsidRPr="002B0F0A">
        <w:rPr>
          <w:rStyle w:val="CEAGraphTitle"/>
          <w:b/>
          <w:i/>
          <w:szCs w:val="17"/>
          <w:lang w:val="en-GB"/>
        </w:rPr>
        <w:t>rification of “health purposes”</w:t>
      </w:r>
      <w:r>
        <w:rPr>
          <w:rStyle w:val="CEAGraphTitle"/>
          <w:szCs w:val="17"/>
          <w:lang w:val="en-GB"/>
        </w:rPr>
        <w:t xml:space="preserve"> and whether its interpretation is correct.</w:t>
      </w:r>
    </w:p>
    <w:p w:rsidR="00AD4080" w:rsidRPr="002B0F0A" w:rsidRDefault="00AD4080" w:rsidP="00F95D42">
      <w:pPr>
        <w:pStyle w:val="CEABullet-Level1"/>
        <w:spacing w:after="120"/>
        <w:ind w:left="714" w:hanging="357"/>
        <w:rPr>
          <w:rStyle w:val="CEAGraphTitle"/>
          <w:szCs w:val="17"/>
          <w:lang w:val="en-GB"/>
        </w:rPr>
      </w:pPr>
      <w:r w:rsidRPr="00AD4080">
        <w:rPr>
          <w:rStyle w:val="CEAGraphTitle"/>
          <w:szCs w:val="17"/>
          <w:lang w:val="en-GB"/>
        </w:rPr>
        <w:t>Insurance Europe</w:t>
      </w:r>
      <w:r>
        <w:rPr>
          <w:rStyle w:val="CEAGraphTitle"/>
          <w:szCs w:val="17"/>
          <w:lang w:val="en-GB"/>
        </w:rPr>
        <w:t xml:space="preserve"> also </w:t>
      </w:r>
      <w:r w:rsidRPr="00A06504">
        <w:rPr>
          <w:rStyle w:val="CEAGraphTitle"/>
          <w:szCs w:val="17"/>
          <w:u w:val="single"/>
          <w:lang w:val="en-GB"/>
        </w:rPr>
        <w:t>asks for</w:t>
      </w:r>
      <w:r>
        <w:rPr>
          <w:rStyle w:val="CEAGraphTitle"/>
          <w:szCs w:val="17"/>
          <w:lang w:val="en-GB"/>
        </w:rPr>
        <w:t xml:space="preserve"> </w:t>
      </w:r>
      <w:r w:rsidRPr="002B0F0A">
        <w:rPr>
          <w:rStyle w:val="CEAGraphTitle"/>
          <w:b/>
          <w:i/>
          <w:szCs w:val="17"/>
          <w:lang w:val="en-GB"/>
        </w:rPr>
        <w:t xml:space="preserve">recognition of the need for insurers </w:t>
      </w:r>
      <w:r w:rsidRPr="002B0F0A">
        <w:rPr>
          <w:rStyle w:val="CEAGraphTitle"/>
          <w:szCs w:val="17"/>
          <w:lang w:val="en-GB"/>
        </w:rPr>
        <w:t xml:space="preserve">to </w:t>
      </w:r>
      <w:r w:rsidR="00A06504" w:rsidRPr="002B0F0A">
        <w:rPr>
          <w:rStyle w:val="CEAGraphTitle"/>
          <w:szCs w:val="17"/>
          <w:lang w:val="en-GB"/>
        </w:rPr>
        <w:t xml:space="preserve">process health data for the purposes of fraud prevention and detection. </w:t>
      </w:r>
    </w:p>
    <w:p w:rsidR="005D17FB" w:rsidRDefault="005D17FB" w:rsidP="005D17FB">
      <w:pPr>
        <w:pBdr>
          <w:top w:val="single" w:sz="4" w:space="1" w:color="auto"/>
          <w:left w:val="single" w:sz="4" w:space="4" w:color="auto"/>
          <w:bottom w:val="single" w:sz="4" w:space="1" w:color="auto"/>
          <w:right w:val="single" w:sz="4" w:space="4" w:color="auto"/>
        </w:pBdr>
        <w:rPr>
          <w:rStyle w:val="CEAGraphTitle"/>
          <w:szCs w:val="17"/>
        </w:rPr>
      </w:pPr>
      <w:r w:rsidRPr="005D17FB">
        <w:rPr>
          <w:rStyle w:val="CEAGraphTitle"/>
          <w:szCs w:val="17"/>
          <w:u w:val="single"/>
        </w:rPr>
        <w:t>Article 81par.1 (a)</w:t>
      </w:r>
      <w:r>
        <w:rPr>
          <w:rStyle w:val="CEAGraphTitle"/>
          <w:szCs w:val="17"/>
        </w:rPr>
        <w:t xml:space="preserve">: </w:t>
      </w:r>
      <w:r w:rsidRPr="005D17FB">
        <w:rPr>
          <w:rStyle w:val="CEAGraphTitle"/>
          <w:i/>
          <w:szCs w:val="17"/>
        </w:rPr>
        <w:t>“Within the limits</w:t>
      </w:r>
      <w:r>
        <w:rPr>
          <w:rStyle w:val="CEAGraphTitle"/>
          <w:szCs w:val="17"/>
        </w:rPr>
        <w:t xml:space="preserve"> </w:t>
      </w:r>
      <w:r w:rsidRPr="005D17FB">
        <w:rPr>
          <w:rStyle w:val="CEAGraphTitle"/>
          <w:i/>
          <w:szCs w:val="17"/>
        </w:rPr>
        <w:t xml:space="preserve">of this Regulation and in accordance with point (h) of Article 9(2), processing of personal data concerning health must be on the basis of Union Law or Member State law which shall provide for suitable and specific measures to safeguard the data subject’s legitimate interests, and be necessary for: the purposes of preventive or occupational medicine, medical diagnosis, the provision of care or treatment or </w:t>
      </w:r>
      <w:r w:rsidRPr="00681BBA">
        <w:rPr>
          <w:rStyle w:val="CEAGraphTitle"/>
          <w:b/>
          <w:i/>
          <w:szCs w:val="17"/>
        </w:rPr>
        <w:t>the management of health-care services</w:t>
      </w:r>
      <w:r w:rsidRPr="005D17FB">
        <w:rPr>
          <w:rStyle w:val="CEAGraphTitle"/>
          <w:i/>
          <w:szCs w:val="17"/>
        </w:rPr>
        <w:t xml:space="preserve"> […]”</w:t>
      </w:r>
      <w:r>
        <w:rPr>
          <w:rStyle w:val="CEAGraphTitle"/>
          <w:szCs w:val="17"/>
        </w:rPr>
        <w:t>.</w:t>
      </w:r>
    </w:p>
    <w:p w:rsidR="00F95D42" w:rsidRDefault="00F95D42" w:rsidP="00F95D42">
      <w:pPr>
        <w:rPr>
          <w:rStyle w:val="CEAGraphTitle"/>
          <w:szCs w:val="17"/>
        </w:rPr>
      </w:pPr>
    </w:p>
    <w:p w:rsidR="005D17FB" w:rsidRDefault="005D17FB" w:rsidP="00AD4080">
      <w:pPr>
        <w:pStyle w:val="CEABullet-Level1"/>
        <w:spacing w:after="120"/>
        <w:ind w:left="714" w:hanging="357"/>
        <w:rPr>
          <w:rStyle w:val="CEAGraphTitle"/>
          <w:szCs w:val="17"/>
          <w:lang w:val="en-GB"/>
        </w:rPr>
      </w:pPr>
      <w:r w:rsidRPr="00B943A6">
        <w:rPr>
          <w:rStyle w:val="CEAGraphTitle"/>
          <w:szCs w:val="17"/>
          <w:lang w:val="en-GB"/>
        </w:rPr>
        <w:t xml:space="preserve">Insurance Europe </w:t>
      </w:r>
      <w:r w:rsidR="00AD4080" w:rsidRPr="00A06504">
        <w:rPr>
          <w:rStyle w:val="CEAGraphTitle"/>
          <w:szCs w:val="17"/>
          <w:u w:val="single"/>
          <w:lang w:val="en-GB"/>
        </w:rPr>
        <w:t>calls for</w:t>
      </w:r>
      <w:r w:rsidR="00AD4080">
        <w:rPr>
          <w:rStyle w:val="CEAGraphTitle"/>
          <w:szCs w:val="17"/>
          <w:lang w:val="en-GB"/>
        </w:rPr>
        <w:t xml:space="preserve"> </w:t>
      </w:r>
      <w:r w:rsidR="00AD4080" w:rsidRPr="002B0F0A">
        <w:rPr>
          <w:rStyle w:val="CEAGraphTitle"/>
          <w:b/>
          <w:i/>
          <w:szCs w:val="17"/>
          <w:lang w:val="en-GB"/>
        </w:rPr>
        <w:t>a clarification</w:t>
      </w:r>
      <w:r w:rsidR="00AD4080">
        <w:rPr>
          <w:rStyle w:val="CEAGraphTitle"/>
          <w:szCs w:val="17"/>
          <w:lang w:val="en-GB"/>
        </w:rPr>
        <w:t xml:space="preserve"> of </w:t>
      </w:r>
      <w:r w:rsidR="00A06504">
        <w:rPr>
          <w:rStyle w:val="CEAGraphTitle"/>
          <w:szCs w:val="17"/>
          <w:lang w:val="en-GB"/>
        </w:rPr>
        <w:t>“management of health-care</w:t>
      </w:r>
      <w:r w:rsidR="004050B0">
        <w:rPr>
          <w:rStyle w:val="CEAGraphTitle"/>
          <w:szCs w:val="17"/>
          <w:lang w:val="en-GB"/>
        </w:rPr>
        <w:t xml:space="preserve"> services” and whether insurers</w:t>
      </w:r>
      <w:r w:rsidR="00A06504">
        <w:rPr>
          <w:rStyle w:val="CEAGraphTitle"/>
          <w:szCs w:val="17"/>
          <w:lang w:val="en-GB"/>
        </w:rPr>
        <w:t xml:space="preserve"> fall under this article. </w:t>
      </w:r>
    </w:p>
    <w:p w:rsidR="00A06504" w:rsidRPr="00AD4080" w:rsidRDefault="00A06504" w:rsidP="00AD4080">
      <w:pPr>
        <w:pStyle w:val="CEABullet-Level1"/>
        <w:spacing w:after="120"/>
        <w:ind w:left="714" w:hanging="357"/>
        <w:rPr>
          <w:rStyle w:val="CEAGraphTitle"/>
          <w:szCs w:val="17"/>
          <w:lang w:val="en-GB"/>
        </w:rPr>
      </w:pPr>
      <w:commentRangeStart w:id="6"/>
      <w:r>
        <w:rPr>
          <w:rStyle w:val="CEAGraphTitle"/>
          <w:szCs w:val="17"/>
          <w:lang w:val="en-GB"/>
        </w:rPr>
        <w:t xml:space="preserve">If not, Insurance Europe </w:t>
      </w:r>
      <w:r w:rsidRPr="00A06504">
        <w:rPr>
          <w:rStyle w:val="CEAGraphTitle"/>
          <w:szCs w:val="17"/>
          <w:u w:val="single"/>
          <w:lang w:val="en-GB"/>
        </w:rPr>
        <w:t>asks for</w:t>
      </w:r>
      <w:r>
        <w:rPr>
          <w:rStyle w:val="CEAGraphTitle"/>
          <w:szCs w:val="17"/>
          <w:lang w:val="en-GB"/>
        </w:rPr>
        <w:t xml:space="preserve"> </w:t>
      </w:r>
      <w:r w:rsidRPr="002B0F0A">
        <w:rPr>
          <w:rStyle w:val="CEAGraphTitle"/>
          <w:b/>
          <w:i/>
          <w:szCs w:val="17"/>
          <w:lang w:val="en-GB"/>
        </w:rPr>
        <w:t>an extension of the legal basis</w:t>
      </w:r>
      <w:r>
        <w:rPr>
          <w:rStyle w:val="CEAGraphTitle"/>
          <w:szCs w:val="17"/>
          <w:lang w:val="en-GB"/>
        </w:rPr>
        <w:t xml:space="preserve"> for collecting and processing health data for insurance purposes by all health insurance branches involved in the process</w:t>
      </w:r>
      <w:commentRangeEnd w:id="6"/>
      <w:r w:rsidR="008D704E">
        <w:rPr>
          <w:rStyle w:val="CommentReference"/>
          <w:rFonts w:cs="Times New Roman"/>
          <w:color w:val="auto"/>
          <w:lang w:val="en-GB"/>
        </w:rPr>
        <w:commentReference w:id="6"/>
      </w:r>
      <w:r>
        <w:rPr>
          <w:rStyle w:val="CEAGraphTitle"/>
          <w:szCs w:val="17"/>
          <w:lang w:val="en-GB"/>
        </w:rPr>
        <w:t xml:space="preserve">.  </w:t>
      </w:r>
    </w:p>
    <w:p w:rsidR="005D17FB" w:rsidRPr="005D17FB" w:rsidRDefault="005D17FB" w:rsidP="006A25E3">
      <w:pPr>
        <w:pStyle w:val="ListParagraph"/>
        <w:numPr>
          <w:ilvl w:val="0"/>
          <w:numId w:val="17"/>
        </w:numPr>
        <w:rPr>
          <w:rStyle w:val="CEAGraphTitle"/>
          <w:b/>
          <w:szCs w:val="17"/>
          <w:u w:val="single"/>
        </w:rPr>
      </w:pPr>
      <w:r w:rsidRPr="005D17FB">
        <w:rPr>
          <w:rStyle w:val="CEAGraphTitle"/>
          <w:b/>
          <w:szCs w:val="17"/>
          <w:u w:val="single"/>
        </w:rPr>
        <w:lastRenderedPageBreak/>
        <w:t xml:space="preserve">Data sharing and fraud prevention </w:t>
      </w:r>
    </w:p>
    <w:p w:rsidR="005D17FB" w:rsidRPr="005D17FB" w:rsidRDefault="005D17FB" w:rsidP="005D17FB">
      <w:pPr>
        <w:rPr>
          <w:rStyle w:val="CEAGraphTitle"/>
          <w:szCs w:val="17"/>
        </w:rPr>
      </w:pPr>
    </w:p>
    <w:p w:rsidR="005D17FB" w:rsidRPr="008A739E" w:rsidRDefault="0074665F" w:rsidP="0074665F">
      <w:pPr>
        <w:pBdr>
          <w:top w:val="single" w:sz="4" w:space="1" w:color="auto"/>
          <w:left w:val="single" w:sz="4" w:space="4" w:color="auto"/>
          <w:bottom w:val="single" w:sz="4" w:space="1" w:color="auto"/>
          <w:right w:val="single" w:sz="4" w:space="4" w:color="auto"/>
        </w:pBdr>
        <w:rPr>
          <w:rStyle w:val="CEAGraphTitle"/>
          <w:i/>
          <w:szCs w:val="17"/>
        </w:rPr>
      </w:pPr>
      <w:r>
        <w:rPr>
          <w:rStyle w:val="CEAGraphTitle"/>
          <w:szCs w:val="17"/>
          <w:u w:val="single"/>
        </w:rPr>
        <w:t xml:space="preserve">Article </w:t>
      </w:r>
      <w:r w:rsidR="0086529B">
        <w:rPr>
          <w:rStyle w:val="CEAGraphTitle"/>
          <w:szCs w:val="17"/>
          <w:u w:val="single"/>
        </w:rPr>
        <w:t>6par.4</w:t>
      </w:r>
      <w:r w:rsidRPr="008A739E">
        <w:rPr>
          <w:rStyle w:val="CEAGraphTitle"/>
          <w:i/>
          <w:szCs w:val="17"/>
        </w:rPr>
        <w:t xml:space="preserve">: </w:t>
      </w:r>
      <w:r w:rsidR="0086529B" w:rsidRPr="008A739E">
        <w:rPr>
          <w:rStyle w:val="CEAGraphTitle"/>
          <w:i/>
          <w:szCs w:val="17"/>
        </w:rPr>
        <w:t>“Where the p</w:t>
      </w:r>
      <w:r w:rsidR="000516AA">
        <w:rPr>
          <w:rStyle w:val="CEAGraphTitle"/>
          <w:i/>
          <w:szCs w:val="17"/>
        </w:rPr>
        <w:t>urpose of further processing is</w:t>
      </w:r>
      <w:r w:rsidR="0086529B" w:rsidRPr="008A739E">
        <w:rPr>
          <w:rStyle w:val="CEAGraphTitle"/>
          <w:i/>
          <w:szCs w:val="17"/>
        </w:rPr>
        <w:t xml:space="preserve"> not compatible with the on</w:t>
      </w:r>
      <w:r w:rsidR="000516AA">
        <w:rPr>
          <w:rStyle w:val="CEAGraphTitle"/>
          <w:i/>
          <w:szCs w:val="17"/>
        </w:rPr>
        <w:t>e</w:t>
      </w:r>
      <w:r w:rsidR="0086529B" w:rsidRPr="008A739E">
        <w:rPr>
          <w:rStyle w:val="CEAGraphTitle"/>
          <w:i/>
          <w:szCs w:val="17"/>
        </w:rPr>
        <w:t xml:space="preserve"> for which </w:t>
      </w:r>
      <w:r w:rsidR="008A739E" w:rsidRPr="008A739E">
        <w:rPr>
          <w:rStyle w:val="CEAGraphTitle"/>
          <w:i/>
          <w:szCs w:val="17"/>
        </w:rPr>
        <w:t xml:space="preserve">the personal data have been collected, the processing must have a legal basis at least in one of the grounds referred to in points (a) to (e) of paragraph 1. This should particularly apply to any change of terms and general conditions of a contract.” </w:t>
      </w:r>
    </w:p>
    <w:p w:rsidR="005D17FB" w:rsidRDefault="005D17FB" w:rsidP="00F95D42">
      <w:pPr>
        <w:rPr>
          <w:rStyle w:val="CEAGraphTitle"/>
          <w:szCs w:val="17"/>
          <w:u w:val="single"/>
        </w:rPr>
      </w:pPr>
    </w:p>
    <w:p w:rsidR="00A06504" w:rsidRPr="0086529B" w:rsidRDefault="00A06504" w:rsidP="00A06504">
      <w:pPr>
        <w:pStyle w:val="CEABullet-Level1"/>
        <w:spacing w:after="120"/>
        <w:rPr>
          <w:lang w:val="en-GB"/>
        </w:rPr>
      </w:pPr>
      <w:commentRangeStart w:id="7"/>
      <w:r w:rsidRPr="0086529B">
        <w:rPr>
          <w:lang w:val="en-GB"/>
        </w:rPr>
        <w:t xml:space="preserve">Countries facts </w:t>
      </w:r>
      <w:commentRangeEnd w:id="7"/>
      <w:r w:rsidR="00E71883">
        <w:rPr>
          <w:rStyle w:val="CommentReference"/>
          <w:rFonts w:cs="Times New Roman"/>
          <w:color w:val="auto"/>
          <w:lang w:val="en-GB"/>
        </w:rPr>
        <w:commentReference w:id="7"/>
      </w:r>
      <w:r w:rsidRPr="0086529B">
        <w:rPr>
          <w:lang w:val="en-GB"/>
        </w:rPr>
        <w:t xml:space="preserve">about </w:t>
      </w:r>
      <w:r w:rsidRPr="0086529B">
        <w:rPr>
          <w:b/>
          <w:i/>
          <w:lang w:val="en-GB"/>
        </w:rPr>
        <w:t>insurance fraud</w:t>
      </w:r>
      <w:r w:rsidRPr="0086529B">
        <w:rPr>
          <w:lang w:val="en-GB"/>
        </w:rPr>
        <w:t xml:space="preserve"> : </w:t>
      </w:r>
    </w:p>
    <w:p w:rsidR="00A06504" w:rsidRPr="00D029CA" w:rsidRDefault="00A06504" w:rsidP="00A06504">
      <w:pPr>
        <w:pStyle w:val="CEABullet-Level2"/>
        <w:spacing w:after="120"/>
        <w:ind w:left="1797" w:hanging="357"/>
        <w:rPr>
          <w:lang w:val="en-GB"/>
        </w:rPr>
      </w:pPr>
      <w:r w:rsidRPr="0086529B">
        <w:rPr>
          <w:lang w:val="en-GB"/>
        </w:rPr>
        <w:t>According to a 2011 survey, 4% of German households admit to have committed a</w:t>
      </w:r>
      <w:r w:rsidRPr="008A739E">
        <w:rPr>
          <w:lang w:val="en-GB"/>
        </w:rPr>
        <w:t>n in</w:t>
      </w:r>
      <w:r w:rsidRPr="00D029CA">
        <w:rPr>
          <w:lang w:val="en-GB"/>
        </w:rPr>
        <w:t xml:space="preserve">surance fraud within the last five years. </w:t>
      </w:r>
      <w:r w:rsidR="00E71883">
        <w:rPr>
          <w:lang w:val="en-GB"/>
        </w:rPr>
        <w:t>For</w:t>
      </w:r>
      <w:r w:rsidR="00CD1627">
        <w:rPr>
          <w:lang w:val="en-GB"/>
        </w:rPr>
        <w:t xml:space="preserve"> </w:t>
      </w:r>
      <w:r w:rsidRPr="00D029CA">
        <w:rPr>
          <w:lang w:val="en-GB"/>
        </w:rPr>
        <w:t xml:space="preserve">non-life </w:t>
      </w:r>
      <w:r w:rsidR="00CD1627">
        <w:rPr>
          <w:lang w:val="en-GB"/>
        </w:rPr>
        <w:t>insurance</w:t>
      </w:r>
      <w:r w:rsidR="00E71883">
        <w:rPr>
          <w:lang w:val="en-GB"/>
        </w:rPr>
        <w:t xml:space="preserve"> only</w:t>
      </w:r>
      <w:r w:rsidRPr="00D029CA">
        <w:rPr>
          <w:lang w:val="en-GB"/>
        </w:rPr>
        <w:t>, the estimated loss</w:t>
      </w:r>
      <w:r w:rsidR="00CD1627">
        <w:rPr>
          <w:lang w:val="en-GB"/>
        </w:rPr>
        <w:t xml:space="preserve"> arising from fraud</w:t>
      </w:r>
      <w:r w:rsidRPr="00D029CA">
        <w:rPr>
          <w:lang w:val="en-GB"/>
        </w:rPr>
        <w:t xml:space="preserve"> is €4 billion each year. </w:t>
      </w:r>
    </w:p>
    <w:p w:rsidR="00A06504" w:rsidRPr="00D029CA" w:rsidRDefault="00A06504" w:rsidP="00A06504">
      <w:pPr>
        <w:pStyle w:val="CEABullet-Level2"/>
        <w:spacing w:after="120"/>
        <w:ind w:left="1797" w:hanging="357"/>
        <w:rPr>
          <w:lang w:val="en-GB"/>
        </w:rPr>
      </w:pPr>
      <w:r w:rsidRPr="00D029CA">
        <w:rPr>
          <w:lang w:val="en-GB"/>
        </w:rPr>
        <w:t xml:space="preserve">In 2010, in </w:t>
      </w:r>
      <w:r w:rsidR="00CD1627">
        <w:rPr>
          <w:lang w:val="en-GB"/>
        </w:rPr>
        <w:t xml:space="preserve">the </w:t>
      </w:r>
      <w:r w:rsidRPr="00D029CA">
        <w:rPr>
          <w:lang w:val="en-GB"/>
        </w:rPr>
        <w:t xml:space="preserve">UK only, general insurers detected 133,000 cases of fraud with a </w:t>
      </w:r>
      <w:r w:rsidR="00CD1627">
        <w:rPr>
          <w:lang w:val="en-GB"/>
        </w:rPr>
        <w:t xml:space="preserve">total </w:t>
      </w:r>
      <w:r w:rsidRPr="00D029CA">
        <w:rPr>
          <w:lang w:val="en-GB"/>
        </w:rPr>
        <w:t xml:space="preserve">value of £919 million. </w:t>
      </w:r>
      <w:r w:rsidR="00CD1627">
        <w:rPr>
          <w:lang w:val="en-GB"/>
        </w:rPr>
        <w:t>A further</w:t>
      </w:r>
      <w:r w:rsidRPr="00D029CA">
        <w:rPr>
          <w:lang w:val="en-GB"/>
        </w:rPr>
        <w:t xml:space="preserve"> £2 billion in insurance fraud </w:t>
      </w:r>
      <w:r w:rsidR="00A73A22">
        <w:rPr>
          <w:lang w:val="en-GB"/>
        </w:rPr>
        <w:t>is estimated to go</w:t>
      </w:r>
      <w:r w:rsidRPr="00D029CA">
        <w:rPr>
          <w:lang w:val="en-GB"/>
        </w:rPr>
        <w:t xml:space="preserve"> undetected each year, adding on average an extra £50 a year to </w:t>
      </w:r>
      <w:r w:rsidR="00E71883">
        <w:rPr>
          <w:lang w:val="en-GB"/>
        </w:rPr>
        <w:t xml:space="preserve">each UK policyholder’s </w:t>
      </w:r>
      <w:r w:rsidRPr="00D029CA">
        <w:rPr>
          <w:lang w:val="en-GB"/>
        </w:rPr>
        <w:t xml:space="preserve">insurance </w:t>
      </w:r>
      <w:r w:rsidR="00E71883">
        <w:rPr>
          <w:lang w:val="en-GB"/>
        </w:rPr>
        <w:t xml:space="preserve">bill. </w:t>
      </w:r>
    </w:p>
    <w:p w:rsidR="00A06504" w:rsidRPr="00D029CA" w:rsidRDefault="00A06504" w:rsidP="00A06504">
      <w:pPr>
        <w:pStyle w:val="CEABullet-Level2"/>
        <w:spacing w:after="120"/>
        <w:ind w:left="1797" w:hanging="357"/>
        <w:rPr>
          <w:lang w:val="en-GB"/>
        </w:rPr>
      </w:pPr>
      <w:r w:rsidRPr="00A06504">
        <w:rPr>
          <w:lang w:val="en-GB"/>
        </w:rPr>
        <w:t>In 2009, the number of fraudulent claims in Italy reached 2.5% of total claims</w:t>
      </w:r>
      <w:r>
        <w:rPr>
          <w:lang w:val="en-GB"/>
        </w:rPr>
        <w:t xml:space="preserve"> against insurers</w:t>
      </w:r>
      <w:r w:rsidRPr="00A06504">
        <w:rPr>
          <w:lang w:val="en-GB"/>
        </w:rPr>
        <w:t xml:space="preserve">. </w:t>
      </w:r>
      <w:r w:rsidR="00E71883">
        <w:rPr>
          <w:lang w:val="en-GB"/>
        </w:rPr>
        <w:t xml:space="preserve">The actual number </w:t>
      </w:r>
      <w:r w:rsidR="00A73A22">
        <w:rPr>
          <w:lang w:val="en-GB"/>
        </w:rPr>
        <w:t xml:space="preserve">is estimated </w:t>
      </w:r>
      <w:r w:rsidR="00E71883">
        <w:rPr>
          <w:lang w:val="en-GB"/>
        </w:rPr>
        <w:t>much</w:t>
      </w:r>
      <w:r w:rsidR="00A73A22">
        <w:rPr>
          <w:lang w:val="en-GB"/>
        </w:rPr>
        <w:t xml:space="preserve"> higher </w:t>
      </w:r>
      <w:r w:rsidR="00E71883">
        <w:rPr>
          <w:lang w:val="en-GB"/>
        </w:rPr>
        <w:t>given it is difficult to detect fraud</w:t>
      </w:r>
      <w:r w:rsidR="00A73A22">
        <w:rPr>
          <w:lang w:val="en-GB"/>
        </w:rPr>
        <w:t xml:space="preserve"> accurately. </w:t>
      </w:r>
      <w:r w:rsidRPr="00D029CA">
        <w:rPr>
          <w:lang w:val="en-GB"/>
        </w:rPr>
        <w:t xml:space="preserve"> </w:t>
      </w:r>
    </w:p>
    <w:p w:rsidR="00A06504" w:rsidRPr="00A06504" w:rsidRDefault="0074665F" w:rsidP="00A06504">
      <w:pPr>
        <w:pStyle w:val="CEABullet-Level1"/>
        <w:spacing w:after="120"/>
        <w:ind w:hanging="357"/>
        <w:rPr>
          <w:rFonts w:cs="Frutiger LT Std 45 Light"/>
          <w:lang w:val="en-GB"/>
        </w:rPr>
      </w:pPr>
      <w:r w:rsidRPr="00A06504">
        <w:rPr>
          <w:rStyle w:val="CEAGraphTitle"/>
          <w:szCs w:val="17"/>
          <w:lang w:val="en-GB"/>
        </w:rPr>
        <w:t xml:space="preserve">Insurance Europe </w:t>
      </w:r>
      <w:r w:rsidR="00A06504" w:rsidRPr="00A06504">
        <w:rPr>
          <w:rFonts w:cs="Frutiger LT Std 45 Light"/>
          <w:u w:val="single"/>
          <w:lang w:val="en-GB"/>
        </w:rPr>
        <w:t>believes</w:t>
      </w:r>
      <w:r w:rsidR="00A06504" w:rsidRPr="00A06504">
        <w:rPr>
          <w:rFonts w:cs="Frutiger LT Std 45 Light"/>
          <w:lang w:val="en-GB"/>
        </w:rPr>
        <w:t xml:space="preserve"> detecting and combating fraud </w:t>
      </w:r>
      <w:r w:rsidR="00A73A22">
        <w:rPr>
          <w:rFonts w:cs="Frutiger LT Std 45 Light"/>
          <w:lang w:val="en-GB"/>
        </w:rPr>
        <w:t>benefits</w:t>
      </w:r>
      <w:r w:rsidR="00A06504" w:rsidRPr="00A06504">
        <w:rPr>
          <w:rFonts w:cs="Frutiger LT Std 45 Light"/>
          <w:lang w:val="en-GB"/>
        </w:rPr>
        <w:t xml:space="preserve"> honest consumers and is in the </w:t>
      </w:r>
      <w:commentRangeStart w:id="8"/>
      <w:r w:rsidR="00A06504" w:rsidRPr="00A06504">
        <w:rPr>
          <w:rFonts w:cs="Frutiger LT Std 45 Light"/>
          <w:lang w:val="en-GB"/>
        </w:rPr>
        <w:t>interest of</w:t>
      </w:r>
      <w:r w:rsidR="00D24391">
        <w:rPr>
          <w:rFonts w:cs="Frutiger LT Std 45 Light"/>
          <w:lang w:val="en-GB"/>
        </w:rPr>
        <w:t xml:space="preserve"> the wider</w:t>
      </w:r>
      <w:r w:rsidR="00A06504" w:rsidRPr="00A06504">
        <w:rPr>
          <w:rFonts w:cs="Frutiger LT Std 45 Light"/>
          <w:lang w:val="en-GB"/>
        </w:rPr>
        <w:t xml:space="preserve"> society</w:t>
      </w:r>
      <w:commentRangeEnd w:id="8"/>
      <w:r w:rsidR="009F604E">
        <w:rPr>
          <w:rStyle w:val="CommentReference"/>
          <w:rFonts w:cs="Times New Roman"/>
          <w:color w:val="auto"/>
          <w:lang w:val="en-GB"/>
        </w:rPr>
        <w:commentReference w:id="8"/>
      </w:r>
      <w:r w:rsidR="00A06504" w:rsidRPr="00A06504">
        <w:rPr>
          <w:rFonts w:cs="Frutiger LT Std 45 Light"/>
          <w:lang w:val="en-GB"/>
        </w:rPr>
        <w:t>.</w:t>
      </w:r>
    </w:p>
    <w:p w:rsidR="004B1CA7" w:rsidRPr="004B1CA7" w:rsidRDefault="004B1CA7" w:rsidP="004B1CA7">
      <w:pPr>
        <w:pStyle w:val="CEABullet-Level1"/>
        <w:spacing w:after="120"/>
        <w:rPr>
          <w:lang w:val="en-GB"/>
        </w:rPr>
      </w:pPr>
      <w:r>
        <w:rPr>
          <w:lang w:val="en-GB"/>
        </w:rPr>
        <w:t xml:space="preserve">Insurance Europe </w:t>
      </w:r>
      <w:r w:rsidR="000516AA">
        <w:rPr>
          <w:u w:val="single"/>
          <w:lang w:val="en-GB"/>
        </w:rPr>
        <w:t>highlights</w:t>
      </w:r>
      <w:r>
        <w:rPr>
          <w:lang w:val="en-GB"/>
        </w:rPr>
        <w:t xml:space="preserve"> that for purposes of underwriting, fraud prevention and detection, insurers should be able to </w:t>
      </w:r>
      <w:r w:rsidRPr="004B1CA7">
        <w:rPr>
          <w:lang w:val="en-GB"/>
        </w:rPr>
        <w:t xml:space="preserve">process data concerning </w:t>
      </w:r>
      <w:commentRangeStart w:id="9"/>
      <w:r w:rsidRPr="004B1CA7">
        <w:rPr>
          <w:lang w:val="en-GB"/>
        </w:rPr>
        <w:t>criminal convictions</w:t>
      </w:r>
      <w:commentRangeEnd w:id="9"/>
      <w:r w:rsidR="004050B0">
        <w:rPr>
          <w:rStyle w:val="CommentReference"/>
          <w:rFonts w:cs="Times New Roman"/>
          <w:color w:val="auto"/>
          <w:lang w:val="en-GB"/>
        </w:rPr>
        <w:commentReference w:id="9"/>
      </w:r>
      <w:r w:rsidRPr="004B1CA7">
        <w:rPr>
          <w:lang w:val="en-GB"/>
        </w:rPr>
        <w:t xml:space="preserve">, including </w:t>
      </w:r>
      <w:commentRangeStart w:id="10"/>
      <w:r w:rsidRPr="004B1CA7">
        <w:rPr>
          <w:lang w:val="en-GB"/>
        </w:rPr>
        <w:t xml:space="preserve">data regarding </w:t>
      </w:r>
      <w:r w:rsidR="00A73A22">
        <w:rPr>
          <w:lang w:val="en-GB"/>
        </w:rPr>
        <w:t xml:space="preserve">suspicious </w:t>
      </w:r>
      <w:r w:rsidRPr="004B1CA7">
        <w:rPr>
          <w:lang w:val="en-GB"/>
        </w:rPr>
        <w:t>fraudul</w:t>
      </w:r>
      <w:r>
        <w:rPr>
          <w:lang w:val="en-GB"/>
        </w:rPr>
        <w:t xml:space="preserve">ent or other criminal </w:t>
      </w:r>
      <w:r w:rsidR="0086529B">
        <w:rPr>
          <w:lang w:val="en-GB"/>
        </w:rPr>
        <w:t xml:space="preserve">behaviour </w:t>
      </w:r>
      <w:commentRangeEnd w:id="10"/>
      <w:r w:rsidR="004050B0">
        <w:rPr>
          <w:rStyle w:val="CommentReference"/>
          <w:rFonts w:cs="Times New Roman"/>
          <w:color w:val="auto"/>
          <w:lang w:val="en-GB"/>
        </w:rPr>
        <w:commentReference w:id="10"/>
      </w:r>
      <w:r w:rsidR="0086529B">
        <w:rPr>
          <w:lang w:val="en-GB"/>
        </w:rPr>
        <w:t xml:space="preserve">for the </w:t>
      </w:r>
      <w:r w:rsidR="0086529B" w:rsidRPr="0086529B">
        <w:rPr>
          <w:u w:val="single"/>
          <w:lang w:val="en-GB"/>
        </w:rPr>
        <w:t>following reasons</w:t>
      </w:r>
      <w:r w:rsidR="0086529B">
        <w:rPr>
          <w:lang w:val="en-GB"/>
        </w:rPr>
        <w:t xml:space="preserve">: </w:t>
      </w:r>
    </w:p>
    <w:p w:rsidR="004B1CA7" w:rsidRPr="00D029CA" w:rsidRDefault="004B1CA7" w:rsidP="004B1CA7">
      <w:pPr>
        <w:pStyle w:val="CEABullet-Level2"/>
        <w:spacing w:after="120"/>
        <w:ind w:left="1797" w:hanging="357"/>
        <w:rPr>
          <w:lang w:val="en-GB"/>
        </w:rPr>
      </w:pPr>
      <w:r w:rsidRPr="00D029CA">
        <w:rPr>
          <w:lang w:val="en-GB"/>
        </w:rPr>
        <w:t>The processing of such data is necessary for the execution of proper risk assessment during the acceptance process, for determining the coverage and for claims handling.</w:t>
      </w:r>
    </w:p>
    <w:p w:rsidR="004B1CA7" w:rsidRPr="00D029CA" w:rsidRDefault="004B1CA7" w:rsidP="004B1CA7">
      <w:pPr>
        <w:pStyle w:val="CEABullet-Level2"/>
        <w:spacing w:after="120"/>
        <w:ind w:left="1797" w:hanging="357"/>
        <w:rPr>
          <w:lang w:val="en-GB"/>
        </w:rPr>
      </w:pPr>
      <w:r w:rsidRPr="00D029CA">
        <w:rPr>
          <w:lang w:val="en-GB"/>
        </w:rPr>
        <w:t xml:space="preserve">Without being able to process criminal justice data, insures cannot fulfil their obligations as laid down in the insurance contract. </w:t>
      </w:r>
    </w:p>
    <w:p w:rsidR="004B1CA7" w:rsidRPr="00D029CA" w:rsidRDefault="004B1CA7" w:rsidP="004B1CA7">
      <w:pPr>
        <w:pStyle w:val="CEABullet-Level2"/>
        <w:spacing w:after="120"/>
        <w:ind w:left="1797" w:hanging="357"/>
        <w:rPr>
          <w:lang w:val="en-GB"/>
        </w:rPr>
      </w:pPr>
      <w:r w:rsidRPr="00D029CA">
        <w:rPr>
          <w:lang w:val="en-GB"/>
        </w:rPr>
        <w:t xml:space="preserve">Premiums are calculated on the basis of risk and </w:t>
      </w:r>
      <w:commentRangeStart w:id="11"/>
      <w:r w:rsidRPr="00D029CA">
        <w:rPr>
          <w:lang w:val="en-GB"/>
        </w:rPr>
        <w:t>evidence</w:t>
      </w:r>
      <w:commentRangeEnd w:id="11"/>
      <w:r w:rsidR="004050B0">
        <w:rPr>
          <w:rStyle w:val="CommentReference"/>
          <w:rFonts w:cs="Times New Roman"/>
          <w:color w:val="auto"/>
          <w:lang w:val="en-GB"/>
        </w:rPr>
        <w:commentReference w:id="11"/>
      </w:r>
      <w:r w:rsidRPr="00D029CA">
        <w:rPr>
          <w:lang w:val="en-GB"/>
        </w:rPr>
        <w:t xml:space="preserve"> shows that relevant unspent convictions can indicate the likelihood of making a future or fraudulent claim.</w:t>
      </w:r>
    </w:p>
    <w:p w:rsidR="0086529B" w:rsidRPr="00D029CA" w:rsidRDefault="0086529B" w:rsidP="0086529B">
      <w:pPr>
        <w:pStyle w:val="CEABullet-Level1"/>
        <w:spacing w:after="120"/>
        <w:ind w:hanging="357"/>
        <w:rPr>
          <w:lang w:val="en-GB"/>
        </w:rPr>
      </w:pPr>
      <w:r w:rsidRPr="00D029CA">
        <w:rPr>
          <w:lang w:val="en-GB"/>
        </w:rPr>
        <w:t xml:space="preserve">Insurance Europe </w:t>
      </w:r>
      <w:r w:rsidRPr="00D029CA">
        <w:rPr>
          <w:u w:val="single"/>
          <w:lang w:val="en-GB"/>
        </w:rPr>
        <w:t>is concerned</w:t>
      </w:r>
      <w:r w:rsidRPr="00D029CA">
        <w:rPr>
          <w:lang w:val="en-GB"/>
        </w:rPr>
        <w:t xml:space="preserve"> the proposed Regulation will:</w:t>
      </w:r>
    </w:p>
    <w:p w:rsidR="0086529B" w:rsidRPr="00D029CA" w:rsidRDefault="0086529B" w:rsidP="0086529B">
      <w:pPr>
        <w:pStyle w:val="CEABullet-Level2"/>
        <w:spacing w:after="120"/>
        <w:ind w:hanging="357"/>
        <w:rPr>
          <w:lang w:val="en-GB"/>
        </w:rPr>
      </w:pPr>
      <w:r w:rsidRPr="00D029CA">
        <w:rPr>
          <w:lang w:val="en-GB"/>
        </w:rPr>
        <w:t xml:space="preserve">Restrict insurers’ ability to </w:t>
      </w:r>
      <w:proofErr w:type="gramStart"/>
      <w:r w:rsidRPr="00D029CA">
        <w:rPr>
          <w:lang w:val="en-GB"/>
        </w:rPr>
        <w:t>collect,</w:t>
      </w:r>
      <w:proofErr w:type="gramEnd"/>
      <w:r w:rsidRPr="00D029CA">
        <w:rPr>
          <w:lang w:val="en-GB"/>
        </w:rPr>
        <w:t xml:space="preserve"> process and use information needed for fraud preventi</w:t>
      </w:r>
      <w:r w:rsidR="00A73A22">
        <w:rPr>
          <w:lang w:val="en-GB"/>
        </w:rPr>
        <w:t xml:space="preserve">on and detection. This will have a </w:t>
      </w:r>
      <w:r w:rsidRPr="00D029CA">
        <w:rPr>
          <w:lang w:val="en-GB"/>
        </w:rPr>
        <w:t xml:space="preserve">negative impact on consumers, </w:t>
      </w:r>
      <w:proofErr w:type="spellStart"/>
      <w:r w:rsidRPr="00D029CA">
        <w:rPr>
          <w:lang w:val="en-GB"/>
        </w:rPr>
        <w:t>eg</w:t>
      </w:r>
      <w:proofErr w:type="spellEnd"/>
      <w:r w:rsidRPr="00D029CA">
        <w:rPr>
          <w:lang w:val="en-GB"/>
        </w:rPr>
        <w:t xml:space="preserve"> in the form of higher premiums. </w:t>
      </w:r>
    </w:p>
    <w:p w:rsidR="0086529B" w:rsidRPr="00D029CA" w:rsidRDefault="0086529B" w:rsidP="0086529B">
      <w:pPr>
        <w:pStyle w:val="CEABullet-Level3"/>
        <w:spacing w:after="120"/>
        <w:ind w:hanging="357"/>
        <w:rPr>
          <w:lang w:val="en-GB"/>
        </w:rPr>
      </w:pPr>
      <w:r w:rsidRPr="00D029CA">
        <w:rPr>
          <w:lang w:val="en-GB"/>
        </w:rPr>
        <w:t xml:space="preserve">If insurers are not allowed to fight insurance fraud, the majority of honest consumers will have to pay the price (higher rates). </w:t>
      </w:r>
    </w:p>
    <w:p w:rsidR="0086529B" w:rsidRPr="00D029CA" w:rsidRDefault="0086529B" w:rsidP="0086529B">
      <w:pPr>
        <w:pStyle w:val="CEABullet-Level2"/>
        <w:spacing w:after="120"/>
        <w:ind w:hanging="357"/>
        <w:rPr>
          <w:lang w:val="en-GB"/>
        </w:rPr>
      </w:pPr>
      <w:r w:rsidRPr="00D029CA">
        <w:rPr>
          <w:lang w:val="en-GB"/>
        </w:rPr>
        <w:t xml:space="preserve">Hinder the </w:t>
      </w:r>
      <w:r w:rsidR="00A73A22">
        <w:rPr>
          <w:lang w:val="en-GB"/>
        </w:rPr>
        <w:t xml:space="preserve">development and use of </w:t>
      </w:r>
      <w:commentRangeStart w:id="12"/>
      <w:r w:rsidRPr="00D029CA">
        <w:rPr>
          <w:lang w:val="en-GB"/>
        </w:rPr>
        <w:t xml:space="preserve">special shared registers </w:t>
      </w:r>
      <w:commentRangeEnd w:id="12"/>
      <w:r w:rsidR="004050B0">
        <w:rPr>
          <w:rStyle w:val="CommentReference"/>
          <w:rFonts w:cs="Times New Roman"/>
          <w:color w:val="auto"/>
          <w:lang w:val="en-GB"/>
        </w:rPr>
        <w:commentReference w:id="12"/>
      </w:r>
      <w:r w:rsidRPr="00D029CA">
        <w:rPr>
          <w:lang w:val="en-GB"/>
        </w:rPr>
        <w:t xml:space="preserve">for the identification of fraudulent </w:t>
      </w:r>
      <w:r w:rsidR="00A73A22">
        <w:rPr>
          <w:lang w:val="en-GB"/>
        </w:rPr>
        <w:t xml:space="preserve">policyholders, applicants and </w:t>
      </w:r>
      <w:r w:rsidRPr="00D029CA">
        <w:rPr>
          <w:lang w:val="en-GB"/>
        </w:rPr>
        <w:t xml:space="preserve">claims which already exist in member state. </w:t>
      </w:r>
    </w:p>
    <w:p w:rsidR="0086529B" w:rsidRPr="00D029CA" w:rsidRDefault="0086529B" w:rsidP="0086529B">
      <w:pPr>
        <w:pStyle w:val="CEABullet-Level3"/>
        <w:spacing w:after="120"/>
        <w:ind w:hanging="357"/>
        <w:rPr>
          <w:lang w:val="en-GB"/>
        </w:rPr>
      </w:pPr>
      <w:r w:rsidRPr="00D029CA">
        <w:rPr>
          <w:lang w:val="en-GB"/>
        </w:rPr>
        <w:t xml:space="preserve">For instance, in Germany, there is a special register to ensure the reliability of </w:t>
      </w:r>
      <w:commentRangeStart w:id="13"/>
      <w:r w:rsidRPr="00D029CA">
        <w:rPr>
          <w:lang w:val="en-GB"/>
        </w:rPr>
        <w:t>intermediaries in the interest of consumers (implementing Directive 2002/92/EC on Insurance Mediation</w:t>
      </w:r>
      <w:commentRangeEnd w:id="13"/>
      <w:r w:rsidR="004050B0">
        <w:rPr>
          <w:rStyle w:val="CommentReference"/>
          <w:rFonts w:cs="Times New Roman"/>
          <w:color w:val="auto"/>
          <w:lang w:val="en-GB"/>
        </w:rPr>
        <w:commentReference w:id="13"/>
      </w:r>
      <w:r w:rsidRPr="00D029CA">
        <w:rPr>
          <w:lang w:val="en-GB"/>
        </w:rPr>
        <w:t xml:space="preserve">) which might also be hindered. </w:t>
      </w:r>
    </w:p>
    <w:p w:rsidR="008A739E" w:rsidRDefault="0086529B" w:rsidP="0086529B">
      <w:pPr>
        <w:pStyle w:val="CEABullet-Level1"/>
        <w:spacing w:after="120"/>
        <w:ind w:hanging="357"/>
        <w:rPr>
          <w:rFonts w:cs="Frutiger LT Std 45 Light"/>
          <w:lang w:val="en-GB"/>
        </w:rPr>
      </w:pPr>
      <w:r w:rsidRPr="0086529B">
        <w:rPr>
          <w:lang w:val="en-GB"/>
        </w:rPr>
        <w:t xml:space="preserve">Insurance Europe </w:t>
      </w:r>
      <w:r w:rsidRPr="0086529B">
        <w:rPr>
          <w:u w:val="single"/>
          <w:lang w:val="en-GB"/>
        </w:rPr>
        <w:t>calls for</w:t>
      </w:r>
      <w:r>
        <w:rPr>
          <w:lang w:val="en-GB"/>
        </w:rPr>
        <w:t xml:space="preserve"> </w:t>
      </w:r>
      <w:r w:rsidRPr="002B0F0A">
        <w:rPr>
          <w:rFonts w:cs="Frutiger LT Std 45 Light"/>
          <w:b/>
          <w:i/>
          <w:lang w:val="en-GB"/>
        </w:rPr>
        <w:t xml:space="preserve">a legal </w:t>
      </w:r>
      <w:r w:rsidR="008A739E" w:rsidRPr="002B0F0A">
        <w:rPr>
          <w:rFonts w:cs="Frutiger LT Std 45 Light"/>
          <w:b/>
          <w:i/>
          <w:lang w:val="en-GB"/>
        </w:rPr>
        <w:t>basis</w:t>
      </w:r>
      <w:r w:rsidRPr="002B0F0A">
        <w:rPr>
          <w:rFonts w:cs="Frutiger LT Std 45 Light"/>
          <w:b/>
          <w:i/>
          <w:lang w:val="en-GB"/>
        </w:rPr>
        <w:t xml:space="preserve"> for processing </w:t>
      </w:r>
      <w:r w:rsidR="000516AA" w:rsidRPr="002B0F0A">
        <w:rPr>
          <w:rFonts w:cs="Frutiger LT Std 45 Light"/>
          <w:b/>
          <w:i/>
          <w:lang w:val="en-GB"/>
        </w:rPr>
        <w:t xml:space="preserve">personal </w:t>
      </w:r>
      <w:r w:rsidRPr="002B0F0A">
        <w:rPr>
          <w:rFonts w:cs="Frutiger LT Std 45 Light"/>
          <w:b/>
          <w:i/>
          <w:lang w:val="en-GB"/>
        </w:rPr>
        <w:t xml:space="preserve">data </w:t>
      </w:r>
      <w:r w:rsidRPr="0086529B">
        <w:rPr>
          <w:rFonts w:cs="Frutiger LT Std 45 Light"/>
          <w:lang w:val="en-GB"/>
        </w:rPr>
        <w:t xml:space="preserve">concerning </w:t>
      </w:r>
      <w:commentRangeStart w:id="14"/>
      <w:r w:rsidRPr="0086529B">
        <w:rPr>
          <w:rFonts w:cs="Frutiger LT Std 45 Light"/>
          <w:lang w:val="en-GB"/>
        </w:rPr>
        <w:t>criminal convictions</w:t>
      </w:r>
      <w:commentRangeEnd w:id="14"/>
      <w:r w:rsidR="004050B0">
        <w:rPr>
          <w:rStyle w:val="CommentReference"/>
          <w:rFonts w:cs="Times New Roman"/>
          <w:color w:val="auto"/>
          <w:lang w:val="en-GB"/>
        </w:rPr>
        <w:commentReference w:id="14"/>
      </w:r>
      <w:r w:rsidRPr="0086529B">
        <w:rPr>
          <w:rFonts w:cs="Frutiger LT Std 45 Light"/>
          <w:lang w:val="en-GB"/>
        </w:rPr>
        <w:t xml:space="preserve">, including data regarding fraudulent or other criminal behaviour, </w:t>
      </w:r>
      <w:r w:rsidRPr="002B0F0A">
        <w:rPr>
          <w:rFonts w:cs="Frutiger LT Std 45 Light"/>
          <w:b/>
          <w:i/>
          <w:lang w:val="en-GB"/>
        </w:rPr>
        <w:t>for the purposes of fraud prevention and detection</w:t>
      </w:r>
      <w:r w:rsidRPr="0086529B">
        <w:rPr>
          <w:rFonts w:cs="Frutiger LT Std 45 Light"/>
          <w:lang w:val="en-GB"/>
        </w:rPr>
        <w:t>, and for underwriting.</w:t>
      </w:r>
      <w:r>
        <w:rPr>
          <w:rFonts w:cs="Frutiger LT Std 45 Light"/>
          <w:lang w:val="en-GB"/>
        </w:rPr>
        <w:t xml:space="preserve"> </w:t>
      </w:r>
    </w:p>
    <w:p w:rsidR="0086529B" w:rsidRPr="008A739E" w:rsidRDefault="008A739E" w:rsidP="0086529B">
      <w:pPr>
        <w:pStyle w:val="CEABullet-Level1"/>
        <w:spacing w:after="120"/>
        <w:ind w:hanging="357"/>
        <w:rPr>
          <w:rFonts w:cs="Frutiger LT Std 45 Light"/>
          <w:lang w:val="en-GB"/>
        </w:rPr>
      </w:pPr>
      <w:r w:rsidRPr="008A739E">
        <w:rPr>
          <w:rFonts w:cs="Frutiger LT Std 45 Light"/>
          <w:lang w:val="en-GB"/>
        </w:rPr>
        <w:t>Insurance Europe</w:t>
      </w:r>
      <w:r>
        <w:rPr>
          <w:rFonts w:cs="Frutiger LT Std 45 Light"/>
          <w:lang w:val="en-GB"/>
        </w:rPr>
        <w:t xml:space="preserve"> </w:t>
      </w:r>
      <w:r w:rsidRPr="008A739E">
        <w:rPr>
          <w:rFonts w:cs="Frutiger LT Std 45 Light"/>
          <w:u w:val="single"/>
          <w:lang w:val="en-GB"/>
        </w:rPr>
        <w:t>recommends</w:t>
      </w:r>
      <w:r>
        <w:rPr>
          <w:rFonts w:cs="Frutiger LT Std 45 Light"/>
          <w:lang w:val="en-GB"/>
        </w:rPr>
        <w:t xml:space="preserve"> the </w:t>
      </w:r>
      <w:r w:rsidR="0086529B" w:rsidRPr="008A739E">
        <w:rPr>
          <w:rFonts w:cs="Frutiger LT Std 45 Light"/>
          <w:lang w:val="en-GB"/>
        </w:rPr>
        <w:t xml:space="preserve">legal </w:t>
      </w:r>
      <w:r w:rsidRPr="008A739E">
        <w:rPr>
          <w:rFonts w:cs="Frutiger LT Std 45 Light"/>
          <w:lang w:val="en-GB"/>
        </w:rPr>
        <w:t>basis</w:t>
      </w:r>
      <w:r w:rsidR="0086529B" w:rsidRPr="008A739E">
        <w:rPr>
          <w:rFonts w:cs="Frutiger LT Std 45 Light"/>
          <w:lang w:val="en-GB"/>
        </w:rPr>
        <w:t xml:space="preserve">: </w:t>
      </w:r>
    </w:p>
    <w:p w:rsidR="0086529B" w:rsidRPr="0086529B" w:rsidRDefault="0086529B" w:rsidP="0086529B">
      <w:pPr>
        <w:pStyle w:val="CEABullet-Level2"/>
        <w:spacing w:after="120"/>
        <w:ind w:hanging="357"/>
        <w:rPr>
          <w:lang w:val="en-GB"/>
        </w:rPr>
      </w:pPr>
      <w:r w:rsidRPr="0086529B">
        <w:rPr>
          <w:lang w:val="en-GB"/>
        </w:rPr>
        <w:t>Explicitly recognise</w:t>
      </w:r>
      <w:r w:rsidR="008A739E">
        <w:rPr>
          <w:lang w:val="en-GB"/>
        </w:rPr>
        <w:t>s</w:t>
      </w:r>
      <w:r w:rsidRPr="0086529B">
        <w:rPr>
          <w:lang w:val="en-GB"/>
        </w:rPr>
        <w:t xml:space="preserve"> the need for organisations, including insurers, to share information to prevent</w:t>
      </w:r>
      <w:r w:rsidR="00A73A22">
        <w:rPr>
          <w:lang w:val="en-GB"/>
        </w:rPr>
        <w:t>, detect and combat</w:t>
      </w:r>
      <w:r w:rsidRPr="0086529B">
        <w:rPr>
          <w:lang w:val="en-GB"/>
        </w:rPr>
        <w:t xml:space="preserve"> fraud and other financial crime. </w:t>
      </w:r>
    </w:p>
    <w:p w:rsidR="0086529B" w:rsidRPr="00D029CA" w:rsidRDefault="0086529B" w:rsidP="0086529B">
      <w:pPr>
        <w:pStyle w:val="CEABullet-Level3"/>
        <w:spacing w:after="120"/>
        <w:ind w:hanging="357"/>
        <w:rPr>
          <w:lang w:val="en-GB"/>
        </w:rPr>
      </w:pPr>
      <w:r w:rsidRPr="00D029CA">
        <w:rPr>
          <w:lang w:val="en-GB"/>
        </w:rPr>
        <w:lastRenderedPageBreak/>
        <w:t xml:space="preserve">For instance, information </w:t>
      </w:r>
      <w:r w:rsidRPr="008A739E">
        <w:rPr>
          <w:lang w:val="en-GB"/>
        </w:rPr>
        <w:t>concerning</w:t>
      </w:r>
      <w:r w:rsidRPr="00D029CA">
        <w:rPr>
          <w:lang w:val="en-GB"/>
        </w:rPr>
        <w:t xml:space="preserve"> the pay-out of insured persons and third </w:t>
      </w:r>
      <w:r w:rsidR="004050B0">
        <w:rPr>
          <w:lang w:val="en-GB"/>
        </w:rPr>
        <w:t xml:space="preserve">party </w:t>
      </w:r>
      <w:r w:rsidRPr="00D029CA">
        <w:rPr>
          <w:lang w:val="en-GB"/>
        </w:rPr>
        <w:t>damag</w:t>
      </w:r>
      <w:r w:rsidR="004050B0">
        <w:rPr>
          <w:lang w:val="en-GB"/>
        </w:rPr>
        <w:t>es</w:t>
      </w:r>
      <w:r w:rsidRPr="00D029CA">
        <w:rPr>
          <w:lang w:val="en-GB"/>
        </w:rPr>
        <w:t xml:space="preserve">. </w:t>
      </w:r>
    </w:p>
    <w:p w:rsidR="0086529B" w:rsidRPr="008A739E" w:rsidRDefault="008A739E" w:rsidP="0086529B">
      <w:pPr>
        <w:pStyle w:val="CEABullet-Level2"/>
        <w:spacing w:after="120"/>
        <w:ind w:hanging="357"/>
        <w:rPr>
          <w:lang w:val="en-GB"/>
        </w:rPr>
      </w:pPr>
      <w:r w:rsidRPr="008A739E">
        <w:rPr>
          <w:lang w:val="en-GB"/>
        </w:rPr>
        <w:t>Does n</w:t>
      </w:r>
      <w:r w:rsidR="0086529B" w:rsidRPr="008A739E">
        <w:rPr>
          <w:lang w:val="en-GB"/>
        </w:rPr>
        <w:t>ot prevent insurers from sharing/ processing data relating to</w:t>
      </w:r>
      <w:r w:rsidR="00A73A22">
        <w:rPr>
          <w:lang w:val="en-GB"/>
        </w:rPr>
        <w:t xml:space="preserve"> fraudulent behaviour and</w:t>
      </w:r>
      <w:r w:rsidR="0086529B" w:rsidRPr="008A739E">
        <w:rPr>
          <w:lang w:val="en-GB"/>
        </w:rPr>
        <w:t xml:space="preserve"> criminal convictions for the purposes of fraud prevention and/or detection.</w:t>
      </w:r>
    </w:p>
    <w:p w:rsidR="0086529B" w:rsidRPr="008A739E" w:rsidRDefault="0086529B" w:rsidP="0086529B">
      <w:pPr>
        <w:pStyle w:val="CEABullet-Level2"/>
        <w:spacing w:after="120"/>
        <w:ind w:hanging="357"/>
        <w:rPr>
          <w:lang w:val="en-GB"/>
        </w:rPr>
      </w:pPr>
      <w:r w:rsidRPr="008A739E">
        <w:rPr>
          <w:lang w:val="en-GB"/>
        </w:rPr>
        <w:t>Allow</w:t>
      </w:r>
      <w:r w:rsidR="008A739E" w:rsidRPr="008A739E">
        <w:rPr>
          <w:lang w:val="en-GB"/>
        </w:rPr>
        <w:t>s</w:t>
      </w:r>
      <w:r w:rsidRPr="008A739E">
        <w:rPr>
          <w:lang w:val="en-GB"/>
        </w:rPr>
        <w:t xml:space="preserve"> criminal convictions to be used for the purposes of risk pricing.</w:t>
      </w:r>
    </w:p>
    <w:p w:rsidR="0074665F" w:rsidRPr="00A06504" w:rsidRDefault="0086529B" w:rsidP="0086529B">
      <w:pPr>
        <w:pStyle w:val="CEABullet-Level2"/>
        <w:spacing w:after="120"/>
        <w:ind w:hanging="357"/>
        <w:rPr>
          <w:rStyle w:val="CEAGraphTitle"/>
          <w:szCs w:val="17"/>
          <w:lang w:val="en-GB"/>
        </w:rPr>
      </w:pPr>
      <w:r w:rsidRPr="008A739E">
        <w:rPr>
          <w:lang w:val="en-GB"/>
        </w:rPr>
        <w:t>Explicitly recognise</w:t>
      </w:r>
      <w:r w:rsidR="008A739E" w:rsidRPr="008A739E">
        <w:rPr>
          <w:lang w:val="en-GB"/>
        </w:rPr>
        <w:t>s</w:t>
      </w:r>
      <w:r w:rsidRPr="008A739E">
        <w:rPr>
          <w:lang w:val="en-GB"/>
        </w:rPr>
        <w:t xml:space="preserve"> the need to process data for these purposes through the inclusion of a specific exemption for both sensitive and non-sensitive data where processing is necessary for the purposes of preventing</w:t>
      </w:r>
      <w:r w:rsidR="00A73A22">
        <w:rPr>
          <w:lang w:val="en-GB"/>
        </w:rPr>
        <w:t>, detecting and combating</w:t>
      </w:r>
      <w:r w:rsidRPr="008A739E">
        <w:rPr>
          <w:lang w:val="en-GB"/>
        </w:rPr>
        <w:t xml:space="preserve"> fraud or </w:t>
      </w:r>
      <w:r w:rsidR="00A73A22">
        <w:rPr>
          <w:lang w:val="en-GB"/>
        </w:rPr>
        <w:t xml:space="preserve">address </w:t>
      </w:r>
      <w:r w:rsidRPr="008A739E">
        <w:rPr>
          <w:lang w:val="en-GB"/>
        </w:rPr>
        <w:t xml:space="preserve">a particular </w:t>
      </w:r>
      <w:r w:rsidR="00A73A22">
        <w:rPr>
          <w:lang w:val="en-GB"/>
        </w:rPr>
        <w:t>instance</w:t>
      </w:r>
      <w:r w:rsidRPr="008A739E">
        <w:rPr>
          <w:lang w:val="en-GB"/>
        </w:rPr>
        <w:t xml:space="preserve"> of fraud.</w:t>
      </w:r>
    </w:p>
    <w:p w:rsidR="0074665F" w:rsidRPr="00F97381" w:rsidRDefault="0074665F" w:rsidP="006A25E3">
      <w:pPr>
        <w:pStyle w:val="ListParagraph"/>
        <w:numPr>
          <w:ilvl w:val="0"/>
          <w:numId w:val="17"/>
        </w:numPr>
        <w:rPr>
          <w:rStyle w:val="CEAGraphTitle"/>
          <w:b/>
          <w:szCs w:val="17"/>
          <w:u w:val="single"/>
        </w:rPr>
      </w:pPr>
      <w:r w:rsidRPr="00F97381">
        <w:rPr>
          <w:rStyle w:val="CEAGraphTitle"/>
          <w:b/>
          <w:szCs w:val="17"/>
          <w:u w:val="single"/>
        </w:rPr>
        <w:t xml:space="preserve">Profiling </w:t>
      </w:r>
    </w:p>
    <w:p w:rsidR="0074665F" w:rsidRPr="00F97381" w:rsidRDefault="0074665F" w:rsidP="0074665F">
      <w:pPr>
        <w:pBdr>
          <w:top w:val="single" w:sz="4" w:space="1" w:color="auto"/>
          <w:left w:val="single" w:sz="4" w:space="4" w:color="auto"/>
          <w:bottom w:val="single" w:sz="4" w:space="1" w:color="auto"/>
          <w:right w:val="single" w:sz="4" w:space="4" w:color="auto"/>
        </w:pBdr>
        <w:rPr>
          <w:rStyle w:val="CEAGraphTitle"/>
          <w:i/>
          <w:szCs w:val="17"/>
        </w:rPr>
      </w:pPr>
      <w:r w:rsidRPr="00F97381">
        <w:rPr>
          <w:rStyle w:val="CEAGraphTitle"/>
          <w:szCs w:val="17"/>
          <w:u w:val="single"/>
        </w:rPr>
        <w:t>Article 20.par.1</w:t>
      </w:r>
      <w:r>
        <w:rPr>
          <w:rStyle w:val="CEAGraphTitle"/>
          <w:szCs w:val="17"/>
        </w:rPr>
        <w:t xml:space="preserve">: </w:t>
      </w:r>
      <w:r w:rsidR="00F97381" w:rsidRPr="00F97381">
        <w:rPr>
          <w:rStyle w:val="CEAGraphTitle"/>
          <w:i/>
          <w:szCs w:val="17"/>
        </w:rPr>
        <w:t>“Every</w:t>
      </w:r>
      <w:r w:rsidRPr="00F97381">
        <w:rPr>
          <w:rStyle w:val="CEAGraphTitle"/>
          <w:i/>
          <w:szCs w:val="17"/>
        </w:rPr>
        <w:t xml:space="preserve"> natural person shall have the right not to be subject to a measure which produces legal effects </w:t>
      </w:r>
      <w:r w:rsidR="00F97381" w:rsidRPr="00F97381">
        <w:rPr>
          <w:rStyle w:val="CEAGraphTitle"/>
          <w:i/>
          <w:szCs w:val="17"/>
        </w:rPr>
        <w:t>concerning this natural person or significantly affects this natural person, and which is based solely on automated processing intended to evaluate certain personal aspects relating to this natural person or to analyse or predict in particular the natural person’s performance at work, economic situation, location, health, personal preferences, reliability or behaviour.”</w:t>
      </w:r>
    </w:p>
    <w:p w:rsidR="0074665F" w:rsidRDefault="0074665F" w:rsidP="0074665F">
      <w:pPr>
        <w:rPr>
          <w:rStyle w:val="CEAGraphTitle"/>
          <w:szCs w:val="17"/>
        </w:rPr>
      </w:pPr>
    </w:p>
    <w:p w:rsidR="002E0C74" w:rsidRPr="00D029CA" w:rsidRDefault="002E0C74" w:rsidP="002E0C74">
      <w:pPr>
        <w:pStyle w:val="CEABullet-Level1"/>
        <w:spacing w:after="120"/>
        <w:ind w:hanging="357"/>
        <w:rPr>
          <w:lang w:val="en-GB"/>
        </w:rPr>
      </w:pPr>
      <w:r w:rsidRPr="00D029CA">
        <w:rPr>
          <w:lang w:val="en-GB"/>
        </w:rPr>
        <w:t xml:space="preserve">Insurance Europe </w:t>
      </w:r>
      <w:r w:rsidRPr="00D029CA">
        <w:rPr>
          <w:u w:val="single"/>
          <w:lang w:val="en-GB"/>
        </w:rPr>
        <w:t>underlines</w:t>
      </w:r>
      <w:r w:rsidRPr="00D029CA">
        <w:rPr>
          <w:lang w:val="en-GB"/>
        </w:rPr>
        <w:t xml:space="preserve"> that being able to access, process and store personal data is central to insurers’ ability to provide consumers with appropriate products at fair prices. </w:t>
      </w:r>
      <w:commentRangeStart w:id="15"/>
      <w:r w:rsidRPr="00D029CA">
        <w:rPr>
          <w:lang w:val="en-GB"/>
        </w:rPr>
        <w:t xml:space="preserve">Inability to use data effectively would almost certainly </w:t>
      </w:r>
      <w:r w:rsidR="00A73A22">
        <w:rPr>
          <w:lang w:val="en-GB"/>
        </w:rPr>
        <w:t>be</w:t>
      </w:r>
      <w:r w:rsidRPr="00D029CA">
        <w:rPr>
          <w:lang w:val="en-GB"/>
        </w:rPr>
        <w:t xml:space="preserve"> </w:t>
      </w:r>
      <w:r w:rsidR="004050B0">
        <w:rPr>
          <w:lang w:val="en-GB"/>
        </w:rPr>
        <w:t xml:space="preserve">to </w:t>
      </w:r>
      <w:r w:rsidRPr="00D029CA">
        <w:rPr>
          <w:lang w:val="en-GB"/>
        </w:rPr>
        <w:t>consumers’ detriment</w:t>
      </w:r>
      <w:commentRangeEnd w:id="15"/>
      <w:r w:rsidR="004050B0">
        <w:rPr>
          <w:rStyle w:val="CommentReference"/>
          <w:rFonts w:cs="Times New Roman"/>
          <w:color w:val="auto"/>
          <w:lang w:val="en-GB"/>
        </w:rPr>
        <w:commentReference w:id="15"/>
      </w:r>
      <w:r w:rsidRPr="00D029CA">
        <w:rPr>
          <w:lang w:val="en-GB"/>
        </w:rPr>
        <w:t xml:space="preserve"> in the form of higher prices</w:t>
      </w:r>
      <w:r w:rsidR="00A73A22">
        <w:rPr>
          <w:lang w:val="en-GB"/>
        </w:rPr>
        <w:t>, lack of product innovation</w:t>
      </w:r>
      <w:r w:rsidRPr="00D029CA">
        <w:rPr>
          <w:lang w:val="en-GB"/>
        </w:rPr>
        <w:t xml:space="preserve"> and/or under insurance. </w:t>
      </w:r>
    </w:p>
    <w:p w:rsidR="002E0C74" w:rsidRPr="00D029CA" w:rsidRDefault="002E0C74" w:rsidP="002E0C74">
      <w:pPr>
        <w:pStyle w:val="CEABullet-Level1"/>
        <w:spacing w:after="120"/>
        <w:ind w:hanging="357"/>
        <w:rPr>
          <w:lang w:val="en-GB"/>
        </w:rPr>
      </w:pPr>
      <w:r w:rsidRPr="00D029CA">
        <w:rPr>
          <w:lang w:val="en-GB"/>
        </w:rPr>
        <w:t xml:space="preserve">Insurance Europe </w:t>
      </w:r>
      <w:r w:rsidRPr="00D029CA">
        <w:rPr>
          <w:u w:val="single"/>
          <w:lang w:val="en-GB"/>
        </w:rPr>
        <w:t>is concerned</w:t>
      </w:r>
      <w:r w:rsidRPr="00D029CA">
        <w:rPr>
          <w:lang w:val="en-GB"/>
        </w:rPr>
        <w:t xml:space="preserve"> the Regulation as currently drafted will have a significant impact on an organisations’ ability </w:t>
      </w:r>
      <w:commentRangeStart w:id="16"/>
      <w:r w:rsidRPr="00D029CA">
        <w:rPr>
          <w:lang w:val="en-GB"/>
        </w:rPr>
        <w:t>to target marketing at their customers</w:t>
      </w:r>
      <w:commentRangeEnd w:id="16"/>
      <w:r w:rsidR="004050B0">
        <w:rPr>
          <w:rStyle w:val="CommentReference"/>
          <w:rFonts w:cs="Times New Roman"/>
          <w:color w:val="auto"/>
          <w:lang w:val="en-GB"/>
        </w:rPr>
        <w:commentReference w:id="16"/>
      </w:r>
      <w:r w:rsidRPr="00D029CA">
        <w:rPr>
          <w:lang w:val="en-GB"/>
        </w:rPr>
        <w:t xml:space="preserve">. </w:t>
      </w:r>
    </w:p>
    <w:p w:rsidR="002E0C74" w:rsidRPr="00D029CA" w:rsidRDefault="002E0C74" w:rsidP="002E0C74">
      <w:pPr>
        <w:pStyle w:val="CEABullet-Level1"/>
        <w:spacing w:after="120"/>
        <w:ind w:hanging="357"/>
        <w:rPr>
          <w:lang w:val="en-GB"/>
        </w:rPr>
      </w:pPr>
      <w:r w:rsidRPr="00D029CA">
        <w:rPr>
          <w:lang w:val="en-GB"/>
        </w:rPr>
        <w:t xml:space="preserve">Insurance Europe </w:t>
      </w:r>
      <w:r w:rsidRPr="00D029CA">
        <w:rPr>
          <w:u w:val="single"/>
          <w:lang w:val="en-GB"/>
        </w:rPr>
        <w:t>calls for</w:t>
      </w:r>
      <w:r w:rsidRPr="00D029CA">
        <w:rPr>
          <w:lang w:val="en-GB"/>
        </w:rPr>
        <w:t xml:space="preserve"> </w:t>
      </w:r>
      <w:r w:rsidRPr="002B0F0A">
        <w:rPr>
          <w:b/>
          <w:i/>
          <w:lang w:val="en-GB"/>
        </w:rPr>
        <w:t>rules on profiling</w:t>
      </w:r>
      <w:r w:rsidR="00801BF0" w:rsidRPr="002B0F0A">
        <w:rPr>
          <w:b/>
          <w:i/>
          <w:lang w:val="en-GB"/>
        </w:rPr>
        <w:t xml:space="preserve"> that</w:t>
      </w:r>
      <w:r w:rsidRPr="00D029CA">
        <w:rPr>
          <w:lang w:val="en-GB"/>
        </w:rPr>
        <w:t xml:space="preserve">: </w:t>
      </w:r>
    </w:p>
    <w:p w:rsidR="002E0C74" w:rsidRPr="00D029CA" w:rsidRDefault="002E0C74" w:rsidP="002E0C74">
      <w:pPr>
        <w:pStyle w:val="CEABullet-Level2"/>
        <w:spacing w:after="120"/>
        <w:ind w:hanging="357"/>
        <w:rPr>
          <w:lang w:val="en-GB"/>
        </w:rPr>
      </w:pPr>
      <w:r w:rsidRPr="00D029CA">
        <w:rPr>
          <w:lang w:val="en-GB"/>
        </w:rPr>
        <w:t xml:space="preserve">Do not prohibit or restrict risk-adequate rating, rate classification and risk assessments necessary for premium calculation. There is a direct </w:t>
      </w:r>
      <w:r w:rsidR="00A73A22">
        <w:rPr>
          <w:lang w:val="en-GB"/>
        </w:rPr>
        <w:t xml:space="preserve">correlation between the </w:t>
      </w:r>
      <w:r w:rsidR="00E34DB3">
        <w:rPr>
          <w:lang w:val="en-GB"/>
        </w:rPr>
        <w:t>consumers</w:t>
      </w:r>
      <w:r w:rsidR="00A73A22">
        <w:rPr>
          <w:lang w:val="en-GB"/>
        </w:rPr>
        <w:t xml:space="preserve">’ profiled risk – as derived from multiple data used for risk assessment – and the likely claims history of a policyholder during the policy period, which, combined, determines the fair premium charged to policyholders. </w:t>
      </w:r>
    </w:p>
    <w:p w:rsidR="002E0C74" w:rsidRPr="00D029CA" w:rsidRDefault="002E0C74" w:rsidP="002E0C74">
      <w:pPr>
        <w:pStyle w:val="CEABullet-Level2"/>
        <w:spacing w:after="120"/>
        <w:ind w:hanging="357"/>
        <w:rPr>
          <w:lang w:val="en-GB"/>
        </w:rPr>
      </w:pPr>
      <w:r w:rsidRPr="00D029CA">
        <w:rPr>
          <w:lang w:val="en-GB"/>
        </w:rPr>
        <w:t xml:space="preserve">Allow products and services to continue </w:t>
      </w:r>
      <w:r w:rsidR="00801BF0">
        <w:rPr>
          <w:lang w:val="en-GB"/>
        </w:rPr>
        <w:t>being</w:t>
      </w:r>
      <w:r w:rsidRPr="00D029CA">
        <w:rPr>
          <w:lang w:val="en-GB"/>
        </w:rPr>
        <w:t xml:space="preserve"> designed to meet identified consumer groups</w:t>
      </w:r>
      <w:r w:rsidR="00801BF0">
        <w:rPr>
          <w:lang w:val="en-GB"/>
        </w:rPr>
        <w:t>’ needs</w:t>
      </w:r>
      <w:r w:rsidRPr="00D029CA">
        <w:rPr>
          <w:lang w:val="en-GB"/>
        </w:rPr>
        <w:t xml:space="preserve"> and to be targeted accordingly</w:t>
      </w:r>
      <w:r w:rsidR="00A73A22">
        <w:rPr>
          <w:lang w:val="en-GB"/>
        </w:rPr>
        <w:t>, to the benefit of consumers and society</w:t>
      </w:r>
      <w:r w:rsidRPr="00D029CA">
        <w:rPr>
          <w:lang w:val="en-GB"/>
        </w:rPr>
        <w:t xml:space="preserve">. </w:t>
      </w:r>
    </w:p>
    <w:p w:rsidR="00F97381" w:rsidRPr="00A37DB2" w:rsidRDefault="00F97381" w:rsidP="006A25E3">
      <w:pPr>
        <w:pStyle w:val="ListParagraph"/>
        <w:numPr>
          <w:ilvl w:val="0"/>
          <w:numId w:val="17"/>
        </w:numPr>
        <w:rPr>
          <w:rStyle w:val="CEAGraphTitle"/>
          <w:b/>
          <w:szCs w:val="17"/>
          <w:u w:val="single"/>
        </w:rPr>
      </w:pPr>
      <w:r w:rsidRPr="00A37DB2">
        <w:rPr>
          <w:rStyle w:val="CEAGraphTitle"/>
          <w:b/>
          <w:szCs w:val="17"/>
          <w:u w:val="single"/>
        </w:rPr>
        <w:t xml:space="preserve">Data portability </w:t>
      </w:r>
    </w:p>
    <w:p w:rsidR="00F97381" w:rsidRDefault="00F97381" w:rsidP="00F97381">
      <w:pPr>
        <w:pBdr>
          <w:top w:val="single" w:sz="4" w:space="1" w:color="auto"/>
          <w:left w:val="single" w:sz="4" w:space="4" w:color="auto"/>
          <w:bottom w:val="single" w:sz="4" w:space="1" w:color="auto"/>
          <w:right w:val="single" w:sz="4" w:space="4" w:color="auto"/>
        </w:pBdr>
        <w:rPr>
          <w:rStyle w:val="CEAGraphTitle"/>
          <w:szCs w:val="17"/>
        </w:rPr>
      </w:pPr>
      <w:r w:rsidRPr="00F97381">
        <w:rPr>
          <w:rStyle w:val="CEAGraphTitle"/>
          <w:szCs w:val="17"/>
          <w:u w:val="single"/>
        </w:rPr>
        <w:t>Article 18par.2</w:t>
      </w:r>
      <w:r>
        <w:rPr>
          <w:rStyle w:val="CEAGraphTitle"/>
          <w:szCs w:val="17"/>
        </w:rPr>
        <w:t>:”</w:t>
      </w:r>
      <w:r w:rsidRPr="00F97381">
        <w:rPr>
          <w:rStyle w:val="CEAGraphTitle"/>
          <w:i/>
          <w:szCs w:val="17"/>
        </w:rPr>
        <w:t>Where the data subject has provided the personal data and the processing is based on consent or on a contract, the data subject shall have the right to transmit those personal data and any other information provided by the data subject and retained by an automated processing system, into another one, in an electronic format which is commonly used, without hindrance from the controller from whom the personal data are withdrawn.”</w:t>
      </w:r>
    </w:p>
    <w:p w:rsidR="00F97381" w:rsidRDefault="00F97381" w:rsidP="00F97381">
      <w:pPr>
        <w:rPr>
          <w:rStyle w:val="CEAGraphTitle"/>
          <w:szCs w:val="17"/>
        </w:rPr>
      </w:pPr>
    </w:p>
    <w:p w:rsidR="002E0C74" w:rsidRPr="0051748E" w:rsidRDefault="002E0C74" w:rsidP="002E0C74">
      <w:pPr>
        <w:pStyle w:val="CEABullet-Level1"/>
        <w:spacing w:after="120"/>
        <w:ind w:hanging="357"/>
        <w:rPr>
          <w:lang w:val="en-GB"/>
        </w:rPr>
      </w:pPr>
      <w:r w:rsidRPr="00D029CA">
        <w:rPr>
          <w:lang w:val="en-GB"/>
        </w:rPr>
        <w:t xml:space="preserve">Insurance Europe </w:t>
      </w:r>
      <w:r w:rsidRPr="00D029CA">
        <w:rPr>
          <w:u w:val="single"/>
          <w:lang w:val="en-GB"/>
        </w:rPr>
        <w:t>believes</w:t>
      </w:r>
      <w:r w:rsidRPr="00D029CA">
        <w:rPr>
          <w:lang w:val="en-GB"/>
        </w:rPr>
        <w:t xml:space="preserve"> the ability to change providers easily is a consumer and/ or competition issue and should be dealt with under other relevant legislation at which point any data protection considerations can be taken into account. </w:t>
      </w:r>
      <w:r w:rsidR="000B175C">
        <w:rPr>
          <w:lang w:val="en-GB"/>
        </w:rPr>
        <w:t>The d</w:t>
      </w:r>
      <w:r w:rsidRPr="0051748E">
        <w:rPr>
          <w:lang w:val="en-GB"/>
        </w:rPr>
        <w:t xml:space="preserve">ata </w:t>
      </w:r>
      <w:r w:rsidRPr="000516AA">
        <w:rPr>
          <w:lang w:val="en-GB"/>
        </w:rPr>
        <w:t>portability</w:t>
      </w:r>
      <w:r w:rsidR="000B175C">
        <w:rPr>
          <w:lang w:val="en-GB"/>
        </w:rPr>
        <w:t xml:space="preserve"> right</w:t>
      </w:r>
      <w:r w:rsidRPr="0051748E">
        <w:rPr>
          <w:lang w:val="en-GB"/>
        </w:rPr>
        <w:t xml:space="preserve"> </w:t>
      </w:r>
      <w:r w:rsidRPr="000516AA">
        <w:rPr>
          <w:lang w:val="en-GB"/>
        </w:rPr>
        <w:t>cannot</w:t>
      </w:r>
      <w:r w:rsidRPr="0051748E">
        <w:rPr>
          <w:lang w:val="en-GB"/>
        </w:rPr>
        <w:t xml:space="preserve"> </w:t>
      </w:r>
      <w:r w:rsidR="00B952BA">
        <w:rPr>
          <w:lang w:val="en-GB"/>
        </w:rPr>
        <w:t>infringe consumer and /or competition law</w:t>
      </w:r>
      <w:r w:rsidRPr="0051748E">
        <w:rPr>
          <w:lang w:val="en-GB"/>
        </w:rPr>
        <w:t xml:space="preserve">. </w:t>
      </w:r>
    </w:p>
    <w:p w:rsidR="002E0C74" w:rsidRPr="002143D1" w:rsidRDefault="002143D1" w:rsidP="002E0C74">
      <w:pPr>
        <w:pStyle w:val="CEABullet-Level1"/>
        <w:spacing w:after="120"/>
        <w:ind w:hanging="357"/>
        <w:rPr>
          <w:lang w:val="en-GB"/>
        </w:rPr>
      </w:pPr>
      <w:commentRangeStart w:id="17"/>
      <w:r w:rsidRPr="002143D1">
        <w:rPr>
          <w:lang w:val="en-GB"/>
        </w:rPr>
        <w:t xml:space="preserve">Insurance Europe </w:t>
      </w:r>
      <w:r w:rsidRPr="002143D1">
        <w:rPr>
          <w:u w:val="single"/>
          <w:lang w:val="en-GB"/>
        </w:rPr>
        <w:t>believes</w:t>
      </w:r>
      <w:r w:rsidRPr="002143D1">
        <w:rPr>
          <w:lang w:val="en-GB"/>
        </w:rPr>
        <w:t xml:space="preserve"> </w:t>
      </w:r>
      <w:r w:rsidR="000B175C">
        <w:rPr>
          <w:lang w:val="en-GB"/>
        </w:rPr>
        <w:t xml:space="preserve">data </w:t>
      </w:r>
      <w:r w:rsidR="006014B5">
        <w:rPr>
          <w:lang w:val="en-GB"/>
        </w:rPr>
        <w:t>portability</w:t>
      </w:r>
      <w:r w:rsidRPr="002143D1">
        <w:rPr>
          <w:lang w:val="en-GB"/>
        </w:rPr>
        <w:t xml:space="preserve"> p</w:t>
      </w:r>
      <w:r w:rsidR="002E0C74" w:rsidRPr="002143D1">
        <w:rPr>
          <w:lang w:val="en-GB"/>
        </w:rPr>
        <w:t>roposal clearly falls outside the scope of the legislation as it is not about data protection or security</w:t>
      </w:r>
      <w:commentRangeEnd w:id="17"/>
      <w:r w:rsidR="004050B0">
        <w:rPr>
          <w:rStyle w:val="CommentReference"/>
          <w:rFonts w:cs="Times New Roman"/>
          <w:color w:val="auto"/>
          <w:lang w:val="en-GB"/>
        </w:rPr>
        <w:commentReference w:id="17"/>
      </w:r>
      <w:r w:rsidR="002E0C74" w:rsidRPr="002143D1">
        <w:rPr>
          <w:lang w:val="en-GB"/>
        </w:rPr>
        <w:t>.</w:t>
      </w:r>
    </w:p>
    <w:p w:rsidR="002E0C74" w:rsidRPr="00D029CA" w:rsidRDefault="002E0C74" w:rsidP="002E0C74">
      <w:pPr>
        <w:pStyle w:val="CEABullet-Level1"/>
        <w:spacing w:after="120"/>
        <w:ind w:hanging="357"/>
        <w:rPr>
          <w:lang w:val="en-GB"/>
        </w:rPr>
      </w:pPr>
      <w:r w:rsidRPr="002143D1">
        <w:rPr>
          <w:lang w:val="en-GB"/>
        </w:rPr>
        <w:t>Insurance</w:t>
      </w:r>
      <w:r w:rsidRPr="00D029CA">
        <w:rPr>
          <w:lang w:val="en-GB"/>
        </w:rPr>
        <w:t xml:space="preserve"> Europe </w:t>
      </w:r>
      <w:r w:rsidRPr="002143D1">
        <w:rPr>
          <w:u w:val="single"/>
          <w:lang w:val="en-GB"/>
        </w:rPr>
        <w:t>is</w:t>
      </w:r>
      <w:r w:rsidRPr="00D029CA">
        <w:rPr>
          <w:u w:val="single"/>
          <w:lang w:val="en-GB"/>
        </w:rPr>
        <w:t xml:space="preserve"> </w:t>
      </w:r>
      <w:r w:rsidRPr="002143D1">
        <w:rPr>
          <w:u w:val="single"/>
          <w:lang w:val="en-GB"/>
        </w:rPr>
        <w:t>concerned</w:t>
      </w:r>
      <w:r w:rsidRPr="00D029CA">
        <w:rPr>
          <w:lang w:val="en-GB"/>
        </w:rPr>
        <w:t xml:space="preserve"> abou</w:t>
      </w:r>
      <w:r w:rsidR="000B175C">
        <w:rPr>
          <w:lang w:val="en-GB"/>
        </w:rPr>
        <w:t>t the inclusion of this proposed provision</w:t>
      </w:r>
      <w:r w:rsidRPr="00D029CA">
        <w:rPr>
          <w:lang w:val="en-GB"/>
        </w:rPr>
        <w:t xml:space="preserve"> as it:</w:t>
      </w:r>
    </w:p>
    <w:p w:rsidR="002E0C74" w:rsidRPr="00D029CA" w:rsidRDefault="002E0C74" w:rsidP="002E0C74">
      <w:pPr>
        <w:pStyle w:val="CEABullet-Level2"/>
        <w:spacing w:after="120"/>
        <w:ind w:hanging="357"/>
        <w:rPr>
          <w:lang w:val="en-GB"/>
        </w:rPr>
      </w:pPr>
      <w:r w:rsidRPr="00D029CA">
        <w:rPr>
          <w:lang w:val="en-GB"/>
        </w:rPr>
        <w:t xml:space="preserve">Has implications for </w:t>
      </w:r>
      <w:commentRangeStart w:id="18"/>
      <w:r w:rsidRPr="00D029CA">
        <w:rPr>
          <w:lang w:val="en-GB"/>
        </w:rPr>
        <w:t>competition and intellectual property</w:t>
      </w:r>
    </w:p>
    <w:p w:rsidR="002E0C74" w:rsidRPr="002E0C74" w:rsidRDefault="002E0C74" w:rsidP="002E0C74">
      <w:pPr>
        <w:pStyle w:val="CEABullet-Level2"/>
        <w:spacing w:after="120"/>
        <w:ind w:hanging="357"/>
      </w:pPr>
      <w:proofErr w:type="spellStart"/>
      <w:r w:rsidRPr="002E0C74">
        <w:t>Stifles</w:t>
      </w:r>
      <w:proofErr w:type="spellEnd"/>
      <w:r w:rsidRPr="002E0C74">
        <w:t xml:space="preserve"> innovation</w:t>
      </w:r>
    </w:p>
    <w:p w:rsidR="002E0C74" w:rsidRPr="00D029CA" w:rsidRDefault="002E0C74" w:rsidP="002E0C74">
      <w:pPr>
        <w:pStyle w:val="CEABullet-Level2"/>
        <w:spacing w:after="120"/>
        <w:ind w:hanging="357"/>
        <w:rPr>
          <w:lang w:val="en-GB"/>
        </w:rPr>
      </w:pPr>
      <w:r w:rsidRPr="00D029CA">
        <w:rPr>
          <w:lang w:val="en-GB"/>
        </w:rPr>
        <w:lastRenderedPageBreak/>
        <w:t xml:space="preserve">Raises issues relating to standardisation – otherwise a transmission as foreseen in Article 18par.2 from one system to another would not be possible </w:t>
      </w:r>
      <w:commentRangeEnd w:id="18"/>
      <w:r w:rsidR="00556D7A">
        <w:rPr>
          <w:rStyle w:val="CommentReference"/>
          <w:rFonts w:cs="Times New Roman"/>
          <w:color w:val="auto"/>
          <w:lang w:val="en-GB"/>
        </w:rPr>
        <w:commentReference w:id="18"/>
      </w:r>
    </w:p>
    <w:p w:rsidR="002E0C74" w:rsidRPr="00D029CA" w:rsidRDefault="002E0C74" w:rsidP="002E0C74">
      <w:pPr>
        <w:pStyle w:val="CEABullet-Level2"/>
        <w:spacing w:after="120"/>
        <w:ind w:hanging="357"/>
        <w:rPr>
          <w:lang w:val="en-GB"/>
        </w:rPr>
      </w:pPr>
      <w:r w:rsidRPr="00D029CA">
        <w:rPr>
          <w:lang w:val="en-GB"/>
        </w:rPr>
        <w:t xml:space="preserve">Has potential cost implications for </w:t>
      </w:r>
      <w:r w:rsidR="000B175C">
        <w:rPr>
          <w:lang w:val="en-GB"/>
        </w:rPr>
        <w:t>insurers</w:t>
      </w:r>
      <w:r w:rsidRPr="00D029CA">
        <w:rPr>
          <w:lang w:val="en-GB"/>
        </w:rPr>
        <w:t xml:space="preserve">: </w:t>
      </w:r>
    </w:p>
    <w:p w:rsidR="002E0C74" w:rsidRPr="00D029CA" w:rsidRDefault="002E0C74" w:rsidP="002E0C74">
      <w:pPr>
        <w:pStyle w:val="CEABullet-Level3"/>
        <w:spacing w:after="120"/>
        <w:ind w:hanging="357"/>
        <w:rPr>
          <w:lang w:val="en-GB"/>
        </w:rPr>
      </w:pPr>
      <w:r w:rsidRPr="00D029CA">
        <w:rPr>
          <w:lang w:val="en-GB"/>
        </w:rPr>
        <w:t>This could unintentionally require insurers to disclose their underwriting criteria</w:t>
      </w:r>
    </w:p>
    <w:p w:rsidR="002E0C74" w:rsidRPr="002E0C74" w:rsidRDefault="002E0C74" w:rsidP="002E0C74">
      <w:pPr>
        <w:pStyle w:val="CEABullet-Level3"/>
        <w:spacing w:after="120"/>
        <w:rPr>
          <w:strike/>
          <w:lang w:val="en-GB"/>
        </w:rPr>
      </w:pPr>
      <w:r w:rsidRPr="002E0C74">
        <w:rPr>
          <w:lang w:val="en-GB"/>
        </w:rPr>
        <w:t>All data s</w:t>
      </w:r>
      <w:r w:rsidR="000B175C">
        <w:rPr>
          <w:lang w:val="en-GB"/>
        </w:rPr>
        <w:t>ystems will have to be modified and/or remodelled causing a disproportionate financial impact.</w:t>
      </w:r>
      <w:r w:rsidRPr="002E0C74">
        <w:rPr>
          <w:lang w:val="en-GB"/>
        </w:rPr>
        <w:t xml:space="preserve"> </w:t>
      </w:r>
      <w:r w:rsidRPr="002E0C74">
        <w:rPr>
          <w:strike/>
          <w:lang w:val="en-GB"/>
        </w:rPr>
        <w:t xml:space="preserve"> </w:t>
      </w:r>
    </w:p>
    <w:p w:rsidR="002E0C74" w:rsidRPr="00D029CA" w:rsidRDefault="002E0C74" w:rsidP="002E0C74">
      <w:pPr>
        <w:pStyle w:val="CEABullet-Level1"/>
        <w:spacing w:after="120"/>
        <w:rPr>
          <w:lang w:val="en-GB"/>
        </w:rPr>
      </w:pPr>
      <w:r w:rsidRPr="002E0C74">
        <w:rPr>
          <w:lang w:val="en-GB"/>
        </w:rPr>
        <w:t>Insurance</w:t>
      </w:r>
      <w:r w:rsidRPr="00D029CA">
        <w:rPr>
          <w:lang w:val="en-GB"/>
        </w:rPr>
        <w:t xml:space="preserve"> Europe </w:t>
      </w:r>
      <w:r w:rsidRPr="00D029CA">
        <w:rPr>
          <w:u w:val="single"/>
          <w:lang w:val="en-GB"/>
        </w:rPr>
        <w:t>calls for</w:t>
      </w:r>
      <w:r w:rsidRPr="00D029CA">
        <w:rPr>
          <w:lang w:val="en-GB"/>
        </w:rPr>
        <w:t xml:space="preserve"> the </w:t>
      </w:r>
      <w:r w:rsidRPr="00D029CA">
        <w:rPr>
          <w:b/>
          <w:i/>
          <w:lang w:val="en-GB"/>
        </w:rPr>
        <w:t>removal of Article 18</w:t>
      </w:r>
      <w:r w:rsidRPr="00D029CA">
        <w:rPr>
          <w:lang w:val="en-GB"/>
        </w:rPr>
        <w:t xml:space="preserve">. </w:t>
      </w:r>
    </w:p>
    <w:p w:rsidR="00F97381" w:rsidRPr="00F97381" w:rsidRDefault="00F97381" w:rsidP="006A25E3">
      <w:pPr>
        <w:pStyle w:val="ListParagraph"/>
        <w:numPr>
          <w:ilvl w:val="0"/>
          <w:numId w:val="18"/>
        </w:numPr>
        <w:rPr>
          <w:rStyle w:val="CEAGraphTitle"/>
          <w:sz w:val="20"/>
          <w:szCs w:val="17"/>
          <w:u w:val="single"/>
        </w:rPr>
      </w:pPr>
      <w:r w:rsidRPr="00F97381">
        <w:rPr>
          <w:rStyle w:val="CEAGraphTitle"/>
          <w:sz w:val="20"/>
          <w:szCs w:val="17"/>
          <w:u w:val="single"/>
        </w:rPr>
        <w:t xml:space="preserve">General concerns </w:t>
      </w:r>
      <w:r w:rsidR="00487BF6">
        <w:rPr>
          <w:rStyle w:val="CEAGraphTitle"/>
          <w:sz w:val="20"/>
          <w:szCs w:val="17"/>
          <w:u w:val="single"/>
        </w:rPr>
        <w:t xml:space="preserve">with regard to the proposed EC </w:t>
      </w:r>
      <w:r w:rsidR="004F0038">
        <w:rPr>
          <w:rStyle w:val="CEAGraphTitle"/>
          <w:sz w:val="20"/>
          <w:szCs w:val="17"/>
          <w:u w:val="single"/>
        </w:rPr>
        <w:t xml:space="preserve">General Data Protection </w:t>
      </w:r>
      <w:r w:rsidR="00487BF6">
        <w:rPr>
          <w:rStyle w:val="CEAGraphTitle"/>
          <w:sz w:val="20"/>
          <w:szCs w:val="17"/>
          <w:u w:val="single"/>
        </w:rPr>
        <w:t>Regulation</w:t>
      </w:r>
    </w:p>
    <w:p w:rsidR="0074665F" w:rsidRPr="0074665F" w:rsidRDefault="0074665F" w:rsidP="0074665F">
      <w:pPr>
        <w:rPr>
          <w:rStyle w:val="CEAGraphTitle"/>
          <w:szCs w:val="17"/>
        </w:rPr>
      </w:pPr>
    </w:p>
    <w:p w:rsidR="005D17FB" w:rsidRPr="00F97381" w:rsidRDefault="006014B5" w:rsidP="002143D1">
      <w:pPr>
        <w:pStyle w:val="ListParagraph"/>
        <w:numPr>
          <w:ilvl w:val="0"/>
          <w:numId w:val="19"/>
        </w:numPr>
        <w:spacing w:after="120"/>
        <w:ind w:hanging="357"/>
        <w:rPr>
          <w:rStyle w:val="CEAGraphTitle"/>
          <w:b/>
          <w:szCs w:val="17"/>
          <w:u w:val="single"/>
        </w:rPr>
      </w:pPr>
      <w:r>
        <w:rPr>
          <w:rStyle w:val="CEAGraphTitle"/>
          <w:b/>
          <w:szCs w:val="17"/>
          <w:u w:val="single"/>
        </w:rPr>
        <w:t>Delegated and implementing</w:t>
      </w:r>
      <w:r w:rsidR="00F97381" w:rsidRPr="00F97381">
        <w:rPr>
          <w:rStyle w:val="CEAGraphTitle"/>
          <w:b/>
          <w:szCs w:val="17"/>
          <w:u w:val="single"/>
        </w:rPr>
        <w:t xml:space="preserve"> acts </w:t>
      </w:r>
    </w:p>
    <w:p w:rsidR="00F90BBA" w:rsidRDefault="002143D1" w:rsidP="002143D1">
      <w:pPr>
        <w:pStyle w:val="CEABullet-Level1"/>
        <w:spacing w:after="120"/>
        <w:ind w:hanging="357"/>
        <w:rPr>
          <w:lang w:val="en-GB"/>
        </w:rPr>
      </w:pPr>
      <w:r w:rsidRPr="000516AA">
        <w:rPr>
          <w:lang w:val="en-GB"/>
        </w:rPr>
        <w:t xml:space="preserve">Insurance Europe </w:t>
      </w:r>
      <w:r w:rsidRPr="000516AA">
        <w:rPr>
          <w:u w:val="single"/>
          <w:lang w:val="en-GB"/>
        </w:rPr>
        <w:t>is concerned</w:t>
      </w:r>
      <w:r w:rsidRPr="000516AA">
        <w:rPr>
          <w:lang w:val="en-GB"/>
        </w:rPr>
        <w:t xml:space="preserve"> the number of delegated and implementing acts </w:t>
      </w:r>
      <w:r w:rsidR="000B175C">
        <w:rPr>
          <w:lang w:val="en-GB"/>
        </w:rPr>
        <w:t>causes</w:t>
      </w:r>
      <w:r w:rsidRPr="000516AA">
        <w:rPr>
          <w:lang w:val="en-GB"/>
        </w:rPr>
        <w:t xml:space="preserve"> considerable legal uncertainty as it is </w:t>
      </w:r>
      <w:r w:rsidR="000B175C">
        <w:rPr>
          <w:lang w:val="en-GB"/>
        </w:rPr>
        <w:t xml:space="preserve">impossible to predict </w:t>
      </w:r>
      <w:r w:rsidRPr="000516AA">
        <w:rPr>
          <w:lang w:val="en-GB"/>
        </w:rPr>
        <w:t>the final content and interpretation of many crucial provisions</w:t>
      </w:r>
      <w:r w:rsidR="00F90BBA">
        <w:rPr>
          <w:lang w:val="en-GB"/>
        </w:rPr>
        <w:t xml:space="preserve">. </w:t>
      </w:r>
    </w:p>
    <w:p w:rsidR="000516AA" w:rsidRPr="00F90BBA" w:rsidRDefault="00F90BBA" w:rsidP="00F90BBA">
      <w:pPr>
        <w:pStyle w:val="CEABullet-Level2"/>
        <w:spacing w:after="120"/>
        <w:ind w:left="1797" w:hanging="357"/>
        <w:rPr>
          <w:lang w:val="en-GB"/>
        </w:rPr>
      </w:pPr>
      <w:commentRangeStart w:id="19"/>
      <w:r w:rsidRPr="00F90BBA">
        <w:rPr>
          <w:i/>
          <w:lang w:val="en-GB"/>
        </w:rPr>
        <w:t>For instance</w:t>
      </w:r>
      <w:r>
        <w:rPr>
          <w:lang w:val="en-GB"/>
        </w:rPr>
        <w:t xml:space="preserve">, the EC shall be empowered </w:t>
      </w:r>
      <w:r w:rsidR="00C9560C">
        <w:rPr>
          <w:lang w:val="en-GB"/>
        </w:rPr>
        <w:t xml:space="preserve">among other provisions </w:t>
      </w:r>
      <w:r>
        <w:rPr>
          <w:lang w:val="en-GB"/>
        </w:rPr>
        <w:t xml:space="preserve">to adopt delegated acts </w:t>
      </w:r>
      <w:r w:rsidR="000B175C">
        <w:rPr>
          <w:lang w:val="en-GB"/>
        </w:rPr>
        <w:t>to</w:t>
      </w:r>
      <w:r>
        <w:rPr>
          <w:lang w:val="en-GB"/>
        </w:rPr>
        <w:t xml:space="preserve"> further specify</w:t>
      </w:r>
      <w:r w:rsidR="000B175C">
        <w:rPr>
          <w:lang w:val="en-GB"/>
        </w:rPr>
        <w:t xml:space="preserve"> </w:t>
      </w:r>
      <w:r>
        <w:rPr>
          <w:lang w:val="en-GB"/>
        </w:rPr>
        <w:t>criteria and safeguards for the processing of sensitive data (article 9(3)), for profiling (article 20(5)</w:t>
      </w:r>
      <w:r w:rsidR="00C9560C">
        <w:rPr>
          <w:lang w:val="en-GB"/>
        </w:rPr>
        <w:t>) and lawfulness of processing (article 6(5)).</w:t>
      </w:r>
      <w:commentRangeEnd w:id="19"/>
      <w:r w:rsidR="00556D7A">
        <w:rPr>
          <w:rStyle w:val="CommentReference"/>
          <w:rFonts w:cs="Times New Roman"/>
          <w:color w:val="auto"/>
          <w:lang w:val="en-GB"/>
        </w:rPr>
        <w:commentReference w:id="19"/>
      </w:r>
    </w:p>
    <w:p w:rsidR="00F90BBA" w:rsidRPr="00F90BBA" w:rsidRDefault="00F90BBA" w:rsidP="00F90BBA">
      <w:pPr>
        <w:pStyle w:val="CEABullet-Level2"/>
        <w:spacing w:after="120"/>
        <w:ind w:left="1797" w:hanging="357"/>
        <w:rPr>
          <w:lang w:val="en-GB"/>
        </w:rPr>
      </w:pPr>
      <w:r w:rsidRPr="00F90BBA">
        <w:rPr>
          <w:lang w:val="en-GB"/>
        </w:rPr>
        <w:t>These provisions</w:t>
      </w:r>
      <w:r w:rsidR="00C9560C">
        <w:rPr>
          <w:lang w:val="en-GB"/>
        </w:rPr>
        <w:t xml:space="preserve"> </w:t>
      </w:r>
      <w:r w:rsidRPr="00F90BBA">
        <w:rPr>
          <w:lang w:val="en-GB"/>
        </w:rPr>
        <w:t xml:space="preserve">enable the </w:t>
      </w:r>
      <w:r w:rsidR="000B175C">
        <w:rPr>
          <w:lang w:val="en-GB"/>
        </w:rPr>
        <w:t>EC</w:t>
      </w:r>
      <w:r w:rsidRPr="00F90BBA">
        <w:rPr>
          <w:lang w:val="en-GB"/>
        </w:rPr>
        <w:t xml:space="preserve"> to define criteria o</w:t>
      </w:r>
      <w:r w:rsidR="000B175C">
        <w:rPr>
          <w:lang w:val="en-GB"/>
        </w:rPr>
        <w:t>f</w:t>
      </w:r>
      <w:r w:rsidRPr="00F90BBA">
        <w:rPr>
          <w:lang w:val="en-GB"/>
        </w:rPr>
        <w:t xml:space="preserve"> article</w:t>
      </w:r>
      <w:r w:rsidR="00C9560C">
        <w:rPr>
          <w:lang w:val="en-GB"/>
        </w:rPr>
        <w:t>s</w:t>
      </w:r>
      <w:r w:rsidRPr="00F90BBA">
        <w:rPr>
          <w:lang w:val="en-GB"/>
        </w:rPr>
        <w:t xml:space="preserve"> </w:t>
      </w:r>
      <w:r w:rsidR="000B175C">
        <w:rPr>
          <w:lang w:val="en-GB"/>
        </w:rPr>
        <w:t>sanctioning</w:t>
      </w:r>
      <w:r w:rsidRPr="00F90BBA">
        <w:rPr>
          <w:lang w:val="en-GB"/>
        </w:rPr>
        <w:t xml:space="preserve"> non-compliance </w:t>
      </w:r>
      <w:r w:rsidR="000B175C">
        <w:rPr>
          <w:lang w:val="en-GB"/>
        </w:rPr>
        <w:t>on the basis of</w:t>
      </w:r>
      <w:r w:rsidRPr="00F90BBA">
        <w:rPr>
          <w:lang w:val="en-GB"/>
        </w:rPr>
        <w:t xml:space="preserve"> Article 79</w:t>
      </w:r>
      <w:r w:rsidR="000B175C">
        <w:rPr>
          <w:lang w:val="en-GB"/>
        </w:rPr>
        <w:t xml:space="preserve">. This is itself contradicts </w:t>
      </w:r>
      <w:r w:rsidR="006014B5">
        <w:rPr>
          <w:lang w:val="en-GB"/>
        </w:rPr>
        <w:t xml:space="preserve">the </w:t>
      </w:r>
      <w:r w:rsidRPr="00F90BBA">
        <w:rPr>
          <w:lang w:val="en-GB"/>
        </w:rPr>
        <w:t xml:space="preserve">fundamental principle of legal certainty.  </w:t>
      </w:r>
    </w:p>
    <w:p w:rsidR="002143D1" w:rsidRPr="000516AA" w:rsidRDefault="00F90BBA" w:rsidP="00F90BBA">
      <w:pPr>
        <w:pStyle w:val="CEABullet-Level1"/>
        <w:spacing w:after="120"/>
        <w:ind w:hanging="357"/>
        <w:rPr>
          <w:lang w:val="en-GB"/>
        </w:rPr>
      </w:pPr>
      <w:r>
        <w:rPr>
          <w:lang w:val="en-GB"/>
        </w:rPr>
        <w:t xml:space="preserve">Insurance Europe </w:t>
      </w:r>
      <w:r w:rsidRPr="00C9560C">
        <w:rPr>
          <w:u w:val="single"/>
          <w:lang w:val="en-GB"/>
        </w:rPr>
        <w:t>believes</w:t>
      </w:r>
      <w:r w:rsidR="000B175C">
        <w:rPr>
          <w:lang w:val="en-GB"/>
        </w:rPr>
        <w:t xml:space="preserve"> the large number of delegated and implementing acts </w:t>
      </w:r>
      <w:r>
        <w:rPr>
          <w:lang w:val="en-GB"/>
        </w:rPr>
        <w:t xml:space="preserve">is </w:t>
      </w:r>
      <w:r w:rsidR="002143D1" w:rsidRPr="000516AA">
        <w:rPr>
          <w:lang w:val="en-GB"/>
        </w:rPr>
        <w:t xml:space="preserve">even </w:t>
      </w:r>
      <w:r w:rsidR="002143D1" w:rsidRPr="00F90BBA">
        <w:rPr>
          <w:u w:val="single"/>
          <w:lang w:val="en-GB"/>
        </w:rPr>
        <w:t>more worrying</w:t>
      </w:r>
      <w:r w:rsidR="002143D1" w:rsidRPr="000516AA">
        <w:rPr>
          <w:lang w:val="en-GB"/>
        </w:rPr>
        <w:t xml:space="preserve"> since </w:t>
      </w:r>
      <w:r w:rsidR="00C9560C">
        <w:rPr>
          <w:lang w:val="en-GB"/>
        </w:rPr>
        <w:t>the</w:t>
      </w:r>
      <w:r w:rsidR="000B175C">
        <w:rPr>
          <w:lang w:val="en-GB"/>
        </w:rPr>
        <w:t xml:space="preserve"> chosen legal instrument, a </w:t>
      </w:r>
      <w:r w:rsidR="00C9560C">
        <w:rPr>
          <w:lang w:val="en-GB"/>
        </w:rPr>
        <w:t>R</w:t>
      </w:r>
      <w:r w:rsidR="002143D1" w:rsidRPr="000516AA">
        <w:rPr>
          <w:lang w:val="en-GB"/>
        </w:rPr>
        <w:t>egulation</w:t>
      </w:r>
      <w:r w:rsidR="000B175C">
        <w:rPr>
          <w:lang w:val="en-GB"/>
        </w:rPr>
        <w:t>, is immediate</w:t>
      </w:r>
      <w:r w:rsidR="002B0F0A">
        <w:rPr>
          <w:lang w:val="en-GB"/>
        </w:rPr>
        <w:t>ly</w:t>
      </w:r>
      <w:r w:rsidR="000B175C">
        <w:rPr>
          <w:lang w:val="en-GB"/>
        </w:rPr>
        <w:t xml:space="preserve"> applicable</w:t>
      </w:r>
      <w:r w:rsidR="002143D1" w:rsidRPr="000516AA">
        <w:rPr>
          <w:lang w:val="en-GB"/>
        </w:rPr>
        <w:t xml:space="preserve"> without national implementation. </w:t>
      </w:r>
    </w:p>
    <w:p w:rsidR="002143D1" w:rsidRPr="00D029CA" w:rsidRDefault="002143D1" w:rsidP="002143D1">
      <w:pPr>
        <w:pStyle w:val="CEABullet-Level1"/>
        <w:rPr>
          <w:lang w:val="en-GB"/>
        </w:rPr>
      </w:pPr>
      <w:r w:rsidRPr="00D029CA">
        <w:rPr>
          <w:lang w:val="en-GB"/>
        </w:rPr>
        <w:t xml:space="preserve">Insurance Europe </w:t>
      </w:r>
      <w:r w:rsidRPr="00D029CA">
        <w:rPr>
          <w:u w:val="single"/>
          <w:lang w:val="en-GB"/>
        </w:rPr>
        <w:t>calls for</w:t>
      </w:r>
      <w:r w:rsidRPr="00D029CA">
        <w:rPr>
          <w:lang w:val="en-GB"/>
        </w:rPr>
        <w:t xml:space="preserve"> a </w:t>
      </w:r>
      <w:r w:rsidRPr="002B0F0A">
        <w:rPr>
          <w:b/>
          <w:i/>
          <w:lang w:val="en-GB"/>
        </w:rPr>
        <w:t>reduction of the number of delegated and implementing acts</w:t>
      </w:r>
      <w:r w:rsidRPr="00D029CA">
        <w:rPr>
          <w:lang w:val="en-GB"/>
        </w:rPr>
        <w:t xml:space="preserve">. </w:t>
      </w:r>
    </w:p>
    <w:p w:rsidR="00F97381" w:rsidRDefault="00F97381" w:rsidP="00F97381">
      <w:pPr>
        <w:rPr>
          <w:rStyle w:val="CEAGraphTitle"/>
          <w:szCs w:val="17"/>
        </w:rPr>
      </w:pPr>
    </w:p>
    <w:p w:rsidR="00F97381" w:rsidRPr="00A37DB2" w:rsidRDefault="00F97381" w:rsidP="00F90BBA">
      <w:pPr>
        <w:pStyle w:val="ListParagraph"/>
        <w:numPr>
          <w:ilvl w:val="0"/>
          <w:numId w:val="19"/>
        </w:numPr>
        <w:spacing w:after="120"/>
        <w:ind w:left="714" w:hanging="357"/>
        <w:rPr>
          <w:rStyle w:val="CEAGraphTitle"/>
          <w:b/>
          <w:szCs w:val="17"/>
          <w:u w:val="single"/>
        </w:rPr>
      </w:pPr>
      <w:r w:rsidRPr="00A37DB2">
        <w:rPr>
          <w:rStyle w:val="CEAGraphTitle"/>
          <w:b/>
          <w:szCs w:val="17"/>
          <w:u w:val="single"/>
        </w:rPr>
        <w:t xml:space="preserve">Administrative sanctions </w:t>
      </w:r>
      <w:r w:rsidR="00E34DB3">
        <w:rPr>
          <w:rStyle w:val="CEAGraphTitle"/>
          <w:b/>
          <w:szCs w:val="17"/>
          <w:u w:val="single"/>
        </w:rPr>
        <w:t xml:space="preserve"> </w:t>
      </w:r>
      <w:r w:rsidR="000E763B">
        <w:rPr>
          <w:rStyle w:val="CEAGraphTitle"/>
          <w:b/>
          <w:szCs w:val="17"/>
          <w:u w:val="single"/>
        </w:rPr>
        <w:t>(</w:t>
      </w:r>
      <w:r w:rsidR="00E34DB3">
        <w:rPr>
          <w:rStyle w:val="CEAGraphTitle"/>
          <w:b/>
          <w:szCs w:val="17"/>
          <w:u w:val="single"/>
        </w:rPr>
        <w:t>Article 79</w:t>
      </w:r>
      <w:r w:rsidR="000E763B">
        <w:rPr>
          <w:rStyle w:val="CEAGraphTitle"/>
          <w:b/>
          <w:szCs w:val="17"/>
          <w:u w:val="single"/>
        </w:rPr>
        <w:t>)</w:t>
      </w:r>
    </w:p>
    <w:p w:rsidR="002143D1" w:rsidRPr="00D029CA" w:rsidRDefault="002143D1" w:rsidP="00F90BBA">
      <w:pPr>
        <w:pStyle w:val="CEABullet-Level1"/>
        <w:spacing w:after="120"/>
        <w:ind w:left="714" w:hanging="357"/>
        <w:rPr>
          <w:lang w:val="en-GB"/>
        </w:rPr>
      </w:pPr>
      <w:r w:rsidRPr="00D029CA">
        <w:rPr>
          <w:lang w:val="en-GB"/>
        </w:rPr>
        <w:t xml:space="preserve">Insurance Europe </w:t>
      </w:r>
      <w:r w:rsidRPr="00D029CA">
        <w:rPr>
          <w:u w:val="single"/>
          <w:lang w:val="en-GB"/>
        </w:rPr>
        <w:t>believes</w:t>
      </w:r>
      <w:r w:rsidRPr="00D029CA">
        <w:rPr>
          <w:lang w:val="en-GB"/>
        </w:rPr>
        <w:t xml:space="preserve"> the proposed </w:t>
      </w:r>
      <w:r w:rsidR="00C5567A">
        <w:rPr>
          <w:lang w:val="en-GB"/>
        </w:rPr>
        <w:t>sanction</w:t>
      </w:r>
      <w:r w:rsidRPr="00D029CA">
        <w:rPr>
          <w:lang w:val="en-GB"/>
        </w:rPr>
        <w:t xml:space="preserve"> for violati</w:t>
      </w:r>
      <w:r w:rsidR="00C5567A">
        <w:rPr>
          <w:lang w:val="en-GB"/>
        </w:rPr>
        <w:t xml:space="preserve">ng </w:t>
      </w:r>
      <w:r w:rsidRPr="00D029CA">
        <w:rPr>
          <w:lang w:val="en-GB"/>
        </w:rPr>
        <w:t xml:space="preserve">data subject’s rights is </w:t>
      </w:r>
      <w:r w:rsidR="0036339B" w:rsidRPr="002B0F0A">
        <w:rPr>
          <w:lang w:val="en-GB"/>
        </w:rPr>
        <w:t>incompatible</w:t>
      </w:r>
      <w:r w:rsidRPr="002B0F0A">
        <w:rPr>
          <w:lang w:val="en-GB"/>
        </w:rPr>
        <w:t xml:space="preserve"> with </w:t>
      </w:r>
      <w:commentRangeStart w:id="20"/>
      <w:r w:rsidRPr="002B0F0A">
        <w:rPr>
          <w:lang w:val="en-GB"/>
        </w:rPr>
        <w:t>economic realities</w:t>
      </w:r>
      <w:commentRangeEnd w:id="20"/>
      <w:r w:rsidR="00D24391">
        <w:rPr>
          <w:rStyle w:val="CommentReference"/>
          <w:rFonts w:cs="Times New Roman"/>
          <w:color w:val="auto"/>
          <w:lang w:val="en-GB"/>
        </w:rPr>
        <w:commentReference w:id="20"/>
      </w:r>
      <w:r w:rsidRPr="00D029CA">
        <w:rPr>
          <w:lang w:val="en-GB"/>
        </w:rPr>
        <w:t xml:space="preserve"> of individual EU member states and the level of fines is </w:t>
      </w:r>
      <w:r w:rsidRPr="00D029CA">
        <w:rPr>
          <w:b/>
          <w:i/>
          <w:lang w:val="en-GB"/>
        </w:rPr>
        <w:t>disproportionate</w:t>
      </w:r>
      <w:r w:rsidRPr="00D029CA">
        <w:rPr>
          <w:lang w:val="en-GB"/>
        </w:rPr>
        <w:t xml:space="preserve">. </w:t>
      </w:r>
    </w:p>
    <w:p w:rsidR="002143D1" w:rsidRPr="00D029CA" w:rsidRDefault="002143D1" w:rsidP="002143D1">
      <w:pPr>
        <w:pStyle w:val="CEABullet-Level2"/>
        <w:spacing w:after="120"/>
        <w:ind w:left="1797" w:hanging="357"/>
        <w:rPr>
          <w:lang w:val="en-GB"/>
        </w:rPr>
      </w:pPr>
      <w:r w:rsidRPr="00D029CA">
        <w:rPr>
          <w:i/>
          <w:lang w:val="en-GB"/>
        </w:rPr>
        <w:t>For example</w:t>
      </w:r>
      <w:r w:rsidRPr="00D029CA">
        <w:rPr>
          <w:lang w:val="en-GB"/>
        </w:rPr>
        <w:t>, a fine of up to 0.55</w:t>
      </w:r>
      <w:r w:rsidR="00C5567A">
        <w:rPr>
          <w:lang w:val="en-GB"/>
        </w:rPr>
        <w:t>%</w:t>
      </w:r>
      <w:r w:rsidRPr="00D029CA">
        <w:rPr>
          <w:lang w:val="en-GB"/>
        </w:rPr>
        <w:t xml:space="preserve"> </w:t>
      </w:r>
      <w:r w:rsidR="00C5567A">
        <w:rPr>
          <w:lang w:val="en-GB"/>
        </w:rPr>
        <w:t xml:space="preserve">of </w:t>
      </w:r>
      <w:r w:rsidRPr="00D029CA">
        <w:rPr>
          <w:lang w:val="en-GB"/>
        </w:rPr>
        <w:t>annual worldwide turnover (which would run into millions for some insurers) for responding a few days late to a request for access to personal data is disproportionate</w:t>
      </w:r>
      <w:r w:rsidR="00C5567A">
        <w:rPr>
          <w:lang w:val="en-GB"/>
        </w:rPr>
        <w:t xml:space="preserve">, especially </w:t>
      </w:r>
      <w:r w:rsidR="00C5567A" w:rsidRPr="00D029CA">
        <w:rPr>
          <w:b/>
          <w:i/>
          <w:lang w:val="en-GB"/>
        </w:rPr>
        <w:t>where there is no impact for the individual</w:t>
      </w:r>
      <w:r w:rsidRPr="00D029CA">
        <w:rPr>
          <w:lang w:val="en-GB"/>
        </w:rPr>
        <w:t xml:space="preserve">. </w:t>
      </w:r>
    </w:p>
    <w:p w:rsidR="002143D1" w:rsidRPr="00D029CA" w:rsidRDefault="002143D1" w:rsidP="002143D1">
      <w:pPr>
        <w:pStyle w:val="CEABullet-Level2"/>
        <w:spacing w:after="120"/>
        <w:ind w:left="1797" w:hanging="357"/>
        <w:rPr>
          <w:lang w:val="en-GB"/>
        </w:rPr>
      </w:pPr>
      <w:r w:rsidRPr="00D029CA">
        <w:rPr>
          <w:lang w:val="en-GB"/>
        </w:rPr>
        <w:t xml:space="preserve">The level of fines could jeopardise the </w:t>
      </w:r>
      <w:commentRangeStart w:id="21"/>
      <w:r w:rsidRPr="00D029CA">
        <w:rPr>
          <w:lang w:val="en-GB"/>
        </w:rPr>
        <w:t xml:space="preserve">existence of small companies. </w:t>
      </w:r>
      <w:commentRangeEnd w:id="21"/>
      <w:r w:rsidR="006014B5">
        <w:rPr>
          <w:rStyle w:val="CommentReference"/>
          <w:rFonts w:cs="Times New Roman"/>
          <w:color w:val="auto"/>
          <w:lang w:val="en-GB"/>
        </w:rPr>
        <w:commentReference w:id="21"/>
      </w:r>
    </w:p>
    <w:p w:rsidR="00A75035" w:rsidRPr="00D029CA" w:rsidRDefault="00A73A22" w:rsidP="00A75035">
      <w:pPr>
        <w:pStyle w:val="CEABullet-Level2"/>
        <w:spacing w:after="120"/>
        <w:rPr>
          <w:lang w:val="en-GB"/>
        </w:rPr>
      </w:pPr>
      <w:r>
        <w:rPr>
          <w:lang w:val="en-GB"/>
        </w:rPr>
        <w:t>It is difficult for companies to make contingencies and reserves for such potential large liabilities</w:t>
      </w:r>
      <w:r w:rsidR="00A75035" w:rsidRPr="00D029CA">
        <w:rPr>
          <w:lang w:val="en-GB"/>
        </w:rPr>
        <w:t xml:space="preserve">. </w:t>
      </w:r>
    </w:p>
    <w:p w:rsidR="002143D1" w:rsidRPr="00D029CA" w:rsidRDefault="002143D1" w:rsidP="00A75035">
      <w:pPr>
        <w:pStyle w:val="CEABullet-Level1"/>
        <w:spacing w:after="120"/>
        <w:ind w:hanging="357"/>
        <w:rPr>
          <w:lang w:val="en-GB"/>
        </w:rPr>
      </w:pPr>
      <w:r w:rsidRPr="00D029CA">
        <w:rPr>
          <w:lang w:val="en-GB"/>
        </w:rPr>
        <w:t xml:space="preserve">Insurance Europe </w:t>
      </w:r>
      <w:r w:rsidRPr="00D029CA">
        <w:rPr>
          <w:u w:val="single"/>
          <w:lang w:val="en-GB"/>
        </w:rPr>
        <w:t>calls for</w:t>
      </w:r>
      <w:r w:rsidRPr="00D029CA">
        <w:rPr>
          <w:b/>
          <w:i/>
          <w:lang w:val="en-GB"/>
        </w:rPr>
        <w:t xml:space="preserve"> a revision </w:t>
      </w:r>
      <w:r w:rsidR="00C5567A">
        <w:rPr>
          <w:b/>
          <w:i/>
          <w:lang w:val="en-GB"/>
        </w:rPr>
        <w:t>of</w:t>
      </w:r>
      <w:r w:rsidRPr="00D029CA">
        <w:rPr>
          <w:b/>
          <w:i/>
          <w:lang w:val="en-GB"/>
        </w:rPr>
        <w:t xml:space="preserve"> the level of fines and a </w:t>
      </w:r>
      <w:r w:rsidR="00C5567A">
        <w:rPr>
          <w:b/>
          <w:i/>
          <w:lang w:val="en-GB"/>
        </w:rPr>
        <w:t xml:space="preserve">lower ceiling in the </w:t>
      </w:r>
      <w:r w:rsidRPr="00D029CA">
        <w:rPr>
          <w:b/>
          <w:i/>
          <w:lang w:val="en-GB"/>
        </w:rPr>
        <w:t>amount of fines</w:t>
      </w:r>
      <w:r w:rsidRPr="00D029CA">
        <w:rPr>
          <w:lang w:val="en-GB"/>
        </w:rPr>
        <w:t xml:space="preserve">. </w:t>
      </w:r>
    </w:p>
    <w:p w:rsidR="002143D1" w:rsidRPr="00D029CA" w:rsidRDefault="002143D1" w:rsidP="002143D1">
      <w:pPr>
        <w:pStyle w:val="CEABullet-Level1"/>
        <w:spacing w:after="120"/>
        <w:ind w:hanging="357"/>
        <w:rPr>
          <w:lang w:val="en-GB"/>
        </w:rPr>
      </w:pPr>
      <w:r w:rsidRPr="00D029CA">
        <w:rPr>
          <w:lang w:val="en-GB"/>
        </w:rPr>
        <w:t xml:space="preserve">Insurance Europe </w:t>
      </w:r>
      <w:r w:rsidRPr="00D029CA">
        <w:rPr>
          <w:u w:val="single"/>
          <w:lang w:val="en-GB"/>
        </w:rPr>
        <w:t>asks for</w:t>
      </w:r>
      <w:r w:rsidRPr="00D029CA">
        <w:rPr>
          <w:lang w:val="en-GB"/>
        </w:rPr>
        <w:t xml:space="preserve"> the </w:t>
      </w:r>
      <w:r w:rsidRPr="002B0F0A">
        <w:rPr>
          <w:b/>
          <w:i/>
          <w:lang w:val="en-GB"/>
        </w:rPr>
        <w:t xml:space="preserve">inclusion of a provision about the right to appeal against the </w:t>
      </w:r>
      <w:r w:rsidR="002B0F0A">
        <w:rPr>
          <w:b/>
          <w:i/>
          <w:lang w:val="en-GB"/>
        </w:rPr>
        <w:t>sanctions</w:t>
      </w:r>
      <w:r w:rsidRPr="00D029CA">
        <w:rPr>
          <w:lang w:val="en-GB"/>
        </w:rPr>
        <w:t xml:space="preserve">. </w:t>
      </w:r>
    </w:p>
    <w:p w:rsidR="002143D1" w:rsidRPr="00D029CA" w:rsidRDefault="00C5567A" w:rsidP="002143D1">
      <w:pPr>
        <w:pStyle w:val="CEABullet-Level2"/>
        <w:spacing w:after="120"/>
        <w:ind w:hanging="357"/>
        <w:rPr>
          <w:color w:val="002957"/>
          <w:sz w:val="19"/>
          <w:szCs w:val="19"/>
          <w:u w:val="single"/>
          <w:lang w:val="en-GB"/>
        </w:rPr>
      </w:pPr>
      <w:r>
        <w:rPr>
          <w:lang w:val="en-GB"/>
        </w:rPr>
        <w:t>Sanctions</w:t>
      </w:r>
      <w:r w:rsidR="002143D1" w:rsidRPr="00D029CA">
        <w:rPr>
          <w:lang w:val="en-GB"/>
        </w:rPr>
        <w:t xml:space="preserve"> are defined as an obligation (“</w:t>
      </w:r>
      <w:r w:rsidR="002143D1" w:rsidRPr="00D029CA">
        <w:rPr>
          <w:i/>
          <w:lang w:val="en-GB"/>
        </w:rPr>
        <w:t>shall impose</w:t>
      </w:r>
      <w:r w:rsidR="002143D1" w:rsidRPr="00D029CA">
        <w:rPr>
          <w:lang w:val="en-GB"/>
        </w:rPr>
        <w:t>”) while they should be defined as a competence (“</w:t>
      </w:r>
      <w:r w:rsidR="002143D1" w:rsidRPr="00D029CA">
        <w:rPr>
          <w:i/>
          <w:lang w:val="en-GB"/>
        </w:rPr>
        <w:t>may impose</w:t>
      </w:r>
      <w:r w:rsidR="002143D1" w:rsidRPr="00D029CA">
        <w:rPr>
          <w:lang w:val="en-GB"/>
        </w:rPr>
        <w:t xml:space="preserve">”). </w:t>
      </w:r>
    </w:p>
    <w:p w:rsidR="00F97381" w:rsidRPr="00A37DB2" w:rsidRDefault="00F97381" w:rsidP="002143D1">
      <w:pPr>
        <w:pStyle w:val="ListParagraph"/>
        <w:numPr>
          <w:ilvl w:val="0"/>
          <w:numId w:val="19"/>
        </w:numPr>
        <w:spacing w:after="120"/>
        <w:rPr>
          <w:rStyle w:val="CEAGraphTitle"/>
          <w:b/>
          <w:szCs w:val="17"/>
          <w:u w:val="single"/>
        </w:rPr>
      </w:pPr>
      <w:r w:rsidRPr="00A37DB2">
        <w:rPr>
          <w:rStyle w:val="CEAGraphTitle"/>
          <w:b/>
          <w:szCs w:val="17"/>
          <w:u w:val="single"/>
        </w:rPr>
        <w:t xml:space="preserve">Administrative burden </w:t>
      </w:r>
    </w:p>
    <w:p w:rsidR="002143D1" w:rsidRPr="00D029CA" w:rsidRDefault="0051748E" w:rsidP="002143D1">
      <w:pPr>
        <w:pStyle w:val="CEABullet-Level1"/>
        <w:spacing w:after="120"/>
        <w:rPr>
          <w:lang w:val="en-GB"/>
        </w:rPr>
      </w:pPr>
      <w:r>
        <w:rPr>
          <w:lang w:val="en-GB"/>
        </w:rPr>
        <w:t>Insurance Europe welcomes</w:t>
      </w:r>
      <w:r w:rsidR="00C5567A">
        <w:rPr>
          <w:lang w:val="en-GB"/>
        </w:rPr>
        <w:t xml:space="preserve"> the</w:t>
      </w:r>
      <w:r w:rsidR="002143D1" w:rsidRPr="00D029CA">
        <w:rPr>
          <w:lang w:val="en-GB"/>
        </w:rPr>
        <w:t xml:space="preserve"> EC’s intention to reduce companies’ administrative burden. However, Insurance Europe </w:t>
      </w:r>
      <w:r w:rsidR="002143D1" w:rsidRPr="00D029CA">
        <w:rPr>
          <w:u w:val="single"/>
          <w:lang w:val="en-GB"/>
        </w:rPr>
        <w:t>identified</w:t>
      </w:r>
      <w:r w:rsidR="002143D1" w:rsidRPr="00D029CA">
        <w:rPr>
          <w:lang w:val="en-GB"/>
        </w:rPr>
        <w:t xml:space="preserve"> several proposed </w:t>
      </w:r>
      <w:r w:rsidR="00C5567A">
        <w:rPr>
          <w:lang w:val="en-GB"/>
        </w:rPr>
        <w:t xml:space="preserve">provisions having </w:t>
      </w:r>
      <w:r w:rsidR="002143D1" w:rsidRPr="00D029CA">
        <w:rPr>
          <w:lang w:val="en-GB"/>
        </w:rPr>
        <w:t xml:space="preserve">the opposite of the intended outcome. </w:t>
      </w:r>
    </w:p>
    <w:p w:rsidR="002143D1" w:rsidRPr="002143D1" w:rsidRDefault="002143D1" w:rsidP="002143D1">
      <w:pPr>
        <w:autoSpaceDE w:val="0"/>
        <w:autoSpaceDN w:val="0"/>
        <w:adjustRightInd w:val="0"/>
        <w:spacing w:after="120"/>
        <w:ind w:left="284"/>
        <w:rPr>
          <w:rFonts w:cs="Frutiger LT Std 45 Light"/>
          <w:b/>
          <w:color w:val="000000"/>
          <w:szCs w:val="20"/>
          <w:lang w:val="fr-BE"/>
        </w:rPr>
      </w:pPr>
      <w:r>
        <w:rPr>
          <w:rFonts w:cs="Frutiger LT Std 45 Light"/>
          <w:b/>
          <w:color w:val="000000"/>
          <w:szCs w:val="20"/>
          <w:lang w:val="fr-BE"/>
        </w:rPr>
        <w:lastRenderedPageBreak/>
        <w:t xml:space="preserve">3.1 </w:t>
      </w:r>
      <w:r w:rsidRPr="002143D1">
        <w:rPr>
          <w:rFonts w:cs="Frutiger LT Std 45 Light"/>
          <w:b/>
          <w:color w:val="000000"/>
          <w:szCs w:val="20"/>
          <w:lang w:val="fr-BE"/>
        </w:rPr>
        <w:t xml:space="preserve">Data </w:t>
      </w:r>
      <w:proofErr w:type="spellStart"/>
      <w:r w:rsidRPr="002143D1">
        <w:rPr>
          <w:rFonts w:cs="Frutiger LT Std 45 Light"/>
          <w:b/>
          <w:color w:val="000000"/>
          <w:szCs w:val="20"/>
          <w:lang w:val="fr-BE"/>
        </w:rPr>
        <w:t>breach</w:t>
      </w:r>
      <w:proofErr w:type="spellEnd"/>
      <w:r w:rsidRPr="002143D1">
        <w:rPr>
          <w:rFonts w:cs="Frutiger LT Std 45 Light"/>
          <w:b/>
          <w:color w:val="000000"/>
          <w:szCs w:val="20"/>
          <w:lang w:val="fr-BE"/>
        </w:rPr>
        <w:t xml:space="preserve"> notification</w:t>
      </w:r>
      <w:r w:rsidR="00E34DB3">
        <w:rPr>
          <w:rFonts w:cs="Frutiger LT Std 45 Light"/>
          <w:b/>
          <w:color w:val="000000"/>
          <w:szCs w:val="20"/>
          <w:lang w:val="fr-BE"/>
        </w:rPr>
        <w:t xml:space="preserve"> </w:t>
      </w:r>
      <w:r w:rsidR="000E763B">
        <w:rPr>
          <w:rFonts w:cs="Frutiger LT Std 45 Light"/>
          <w:b/>
          <w:color w:val="000000"/>
          <w:szCs w:val="20"/>
          <w:lang w:val="fr-BE"/>
        </w:rPr>
        <w:t>(</w:t>
      </w:r>
      <w:r w:rsidR="00E34DB3">
        <w:rPr>
          <w:rFonts w:cs="Frutiger LT Std 45 Light"/>
          <w:b/>
          <w:color w:val="000000"/>
          <w:szCs w:val="20"/>
          <w:lang w:val="fr-BE"/>
        </w:rPr>
        <w:t>Articles 31-32</w:t>
      </w:r>
      <w:r w:rsidR="000E763B">
        <w:rPr>
          <w:rFonts w:cs="Frutiger LT Std 45 Light"/>
          <w:b/>
          <w:color w:val="000000"/>
          <w:szCs w:val="20"/>
          <w:lang w:val="fr-BE"/>
        </w:rPr>
        <w:t>)</w:t>
      </w:r>
    </w:p>
    <w:p w:rsidR="002143D1" w:rsidRDefault="002143D1" w:rsidP="002143D1">
      <w:pPr>
        <w:pStyle w:val="CEABullet-Level1"/>
        <w:spacing w:after="120"/>
        <w:rPr>
          <w:lang w:val="en-GB"/>
        </w:rPr>
      </w:pPr>
      <w:r w:rsidRPr="002143D1">
        <w:rPr>
          <w:lang w:val="en-GB"/>
        </w:rPr>
        <w:t xml:space="preserve">Insurance Europe </w:t>
      </w:r>
      <w:r w:rsidRPr="002143D1">
        <w:rPr>
          <w:u w:val="single"/>
          <w:lang w:val="en-GB"/>
        </w:rPr>
        <w:t>believes</w:t>
      </w:r>
      <w:r w:rsidRPr="002143D1">
        <w:rPr>
          <w:lang w:val="en-GB"/>
        </w:rPr>
        <w:t xml:space="preserve"> excessive notification will distract data protection authorities from their important role of investigating serious breaches, and where necessary taking action. </w:t>
      </w:r>
      <w:r w:rsidRPr="00D029CA">
        <w:rPr>
          <w:lang w:val="en-GB"/>
        </w:rPr>
        <w:t xml:space="preserve">This is not in the public interest and undermines the principles underlying breach notification. </w:t>
      </w:r>
    </w:p>
    <w:p w:rsidR="002143D1" w:rsidRPr="00D029CA" w:rsidRDefault="00011F6C" w:rsidP="002143D1">
      <w:pPr>
        <w:pStyle w:val="CEABullet-Level1"/>
        <w:spacing w:after="120"/>
        <w:rPr>
          <w:lang w:val="en-GB"/>
        </w:rPr>
      </w:pPr>
      <w:r>
        <w:rPr>
          <w:lang w:val="en-GB"/>
        </w:rPr>
        <w:t xml:space="preserve">Insurance Europe </w:t>
      </w:r>
      <w:r>
        <w:rPr>
          <w:u w:val="single"/>
          <w:lang w:val="en-GB"/>
        </w:rPr>
        <w:t>is in favour of a</w:t>
      </w:r>
      <w:r>
        <w:rPr>
          <w:lang w:val="en-GB"/>
        </w:rPr>
        <w:t xml:space="preserve"> n</w:t>
      </w:r>
      <w:r w:rsidR="002143D1" w:rsidRPr="00D029CA">
        <w:rPr>
          <w:lang w:val="en-GB"/>
        </w:rPr>
        <w:t>otificat</w:t>
      </w:r>
      <w:r>
        <w:rPr>
          <w:lang w:val="en-GB"/>
        </w:rPr>
        <w:t>ion system with clear purpose:</w:t>
      </w:r>
      <w:r w:rsidR="002143D1" w:rsidRPr="00D029CA">
        <w:rPr>
          <w:lang w:val="en-GB"/>
        </w:rPr>
        <w:t xml:space="preserve"> support</w:t>
      </w:r>
      <w:r>
        <w:rPr>
          <w:lang w:val="en-GB"/>
        </w:rPr>
        <w:t>ing</w:t>
      </w:r>
      <w:r w:rsidR="002143D1" w:rsidRPr="00D029CA">
        <w:rPr>
          <w:lang w:val="en-GB"/>
        </w:rPr>
        <w:t xml:space="preserve"> </w:t>
      </w:r>
      <w:r w:rsidRPr="00D029CA">
        <w:rPr>
          <w:lang w:val="en-GB"/>
        </w:rPr>
        <w:t>individuals,</w:t>
      </w:r>
      <w:r w:rsidR="002143D1" w:rsidRPr="00D029CA">
        <w:rPr>
          <w:lang w:val="en-GB"/>
        </w:rPr>
        <w:t xml:space="preserve"> who may have been affected to take steps to protect themselves</w:t>
      </w:r>
      <w:r>
        <w:rPr>
          <w:lang w:val="en-GB"/>
        </w:rPr>
        <w:t>,</w:t>
      </w:r>
      <w:r w:rsidR="002143D1" w:rsidRPr="00D029CA">
        <w:rPr>
          <w:lang w:val="en-GB"/>
        </w:rPr>
        <w:t xml:space="preserve"> or allow</w:t>
      </w:r>
      <w:r>
        <w:rPr>
          <w:lang w:val="en-GB"/>
        </w:rPr>
        <w:t>ing</w:t>
      </w:r>
      <w:r w:rsidR="002143D1" w:rsidRPr="00D029CA">
        <w:rPr>
          <w:lang w:val="en-GB"/>
        </w:rPr>
        <w:t xml:space="preserve"> the appropriate regulatory bodies to perform their functions, provide advice and deal with complaints. </w:t>
      </w:r>
    </w:p>
    <w:p w:rsidR="002143D1" w:rsidRPr="00D029CA" w:rsidRDefault="00011F6C" w:rsidP="002143D1">
      <w:pPr>
        <w:pStyle w:val="CEABullet-Level1"/>
        <w:spacing w:after="120"/>
        <w:rPr>
          <w:lang w:val="en-GB"/>
        </w:rPr>
      </w:pPr>
      <w:r>
        <w:rPr>
          <w:lang w:val="en-GB"/>
        </w:rPr>
        <w:t xml:space="preserve">Insurance Europe </w:t>
      </w:r>
      <w:r w:rsidRPr="00011F6C">
        <w:rPr>
          <w:u w:val="single"/>
          <w:lang w:val="en-GB"/>
        </w:rPr>
        <w:t>is concerned</w:t>
      </w:r>
      <w:r>
        <w:rPr>
          <w:lang w:val="en-GB"/>
        </w:rPr>
        <w:t xml:space="preserve"> e</w:t>
      </w:r>
      <w:r w:rsidR="002143D1" w:rsidRPr="00D029CA" w:rsidDel="002D3297">
        <w:rPr>
          <w:lang w:val="en-GB"/>
        </w:rPr>
        <w:t xml:space="preserve">xcessive notification requirements could lead to </w:t>
      </w:r>
      <w:r w:rsidR="002143D1" w:rsidRPr="00D029CA" w:rsidDel="002D3297">
        <w:rPr>
          <w:b/>
          <w:i/>
          <w:lang w:val="en-GB"/>
        </w:rPr>
        <w:t>consumer apathy</w:t>
      </w:r>
      <w:r w:rsidR="002143D1" w:rsidRPr="00D029CA" w:rsidDel="002D3297">
        <w:rPr>
          <w:lang w:val="en-GB"/>
        </w:rPr>
        <w:t xml:space="preserve">, as has been the </w:t>
      </w:r>
      <w:commentRangeStart w:id="22"/>
      <w:r w:rsidR="002143D1" w:rsidRPr="00D029CA" w:rsidDel="002D3297">
        <w:rPr>
          <w:lang w:val="en-GB"/>
        </w:rPr>
        <w:t>case in the US</w:t>
      </w:r>
      <w:commentRangeEnd w:id="22"/>
      <w:r w:rsidR="006014B5">
        <w:rPr>
          <w:rStyle w:val="CommentReference"/>
          <w:rFonts w:cs="Times New Roman"/>
          <w:color w:val="auto"/>
          <w:lang w:val="en-GB"/>
        </w:rPr>
        <w:commentReference w:id="22"/>
      </w:r>
      <w:r w:rsidR="002143D1" w:rsidRPr="00D029CA" w:rsidDel="002D3297">
        <w:rPr>
          <w:lang w:val="en-GB"/>
        </w:rPr>
        <w:t>.</w:t>
      </w:r>
      <w:r w:rsidR="002143D1" w:rsidRPr="00D029CA">
        <w:rPr>
          <w:lang w:val="en-GB"/>
        </w:rPr>
        <w:t xml:space="preserve"> </w:t>
      </w:r>
    </w:p>
    <w:p w:rsidR="00410AB0" w:rsidRPr="00290CF9" w:rsidRDefault="002143D1" w:rsidP="00011F6C">
      <w:pPr>
        <w:pStyle w:val="CEABullet-Level1"/>
        <w:spacing w:after="120"/>
        <w:ind w:left="714" w:hanging="357"/>
        <w:rPr>
          <w:lang w:val="en-GB"/>
        </w:rPr>
      </w:pPr>
      <w:r w:rsidRPr="00D029CA">
        <w:rPr>
          <w:lang w:val="en-GB"/>
        </w:rPr>
        <w:t xml:space="preserve">Insurance Europe </w:t>
      </w:r>
      <w:r w:rsidRPr="00011F6C">
        <w:rPr>
          <w:u w:val="single"/>
          <w:lang w:val="en-GB"/>
        </w:rPr>
        <w:t xml:space="preserve">is </w:t>
      </w:r>
      <w:r w:rsidR="00011F6C" w:rsidRPr="00011F6C">
        <w:rPr>
          <w:u w:val="single"/>
          <w:lang w:val="en-GB"/>
        </w:rPr>
        <w:t xml:space="preserve">also </w:t>
      </w:r>
      <w:r w:rsidRPr="00011F6C">
        <w:rPr>
          <w:u w:val="single"/>
          <w:lang w:val="en-GB"/>
        </w:rPr>
        <w:t>concerned</w:t>
      </w:r>
      <w:r w:rsidRPr="00D029CA">
        <w:rPr>
          <w:lang w:val="en-GB"/>
        </w:rPr>
        <w:t xml:space="preserve"> </w:t>
      </w:r>
      <w:r w:rsidR="00011F6C">
        <w:rPr>
          <w:lang w:val="en-GB"/>
        </w:rPr>
        <w:t>t</w:t>
      </w:r>
      <w:r w:rsidRPr="00011F6C">
        <w:rPr>
          <w:lang w:val="en-GB"/>
        </w:rPr>
        <w:t xml:space="preserve">he proposals are </w:t>
      </w:r>
      <w:r w:rsidRPr="00011F6C">
        <w:rPr>
          <w:b/>
          <w:i/>
          <w:lang w:val="en-GB"/>
        </w:rPr>
        <w:t>disproportionate</w:t>
      </w:r>
      <w:r w:rsidRPr="00011F6C">
        <w:rPr>
          <w:lang w:val="en-GB"/>
        </w:rPr>
        <w:t xml:space="preserve">, will be unduly burdensome for businesses and </w:t>
      </w:r>
      <w:commentRangeStart w:id="23"/>
      <w:r w:rsidRPr="00011F6C">
        <w:rPr>
          <w:lang w:val="en-GB"/>
        </w:rPr>
        <w:t>will not deliver</w:t>
      </w:r>
      <w:r w:rsidR="00C5567A">
        <w:rPr>
          <w:lang w:val="en-GB"/>
        </w:rPr>
        <w:t xml:space="preserve"> consumer</w:t>
      </w:r>
      <w:r w:rsidRPr="00011F6C">
        <w:rPr>
          <w:lang w:val="en-GB"/>
        </w:rPr>
        <w:t xml:space="preserve"> benefits</w:t>
      </w:r>
      <w:commentRangeEnd w:id="23"/>
      <w:r w:rsidR="006014B5">
        <w:rPr>
          <w:rStyle w:val="CommentReference"/>
          <w:rFonts w:cs="Times New Roman"/>
          <w:color w:val="auto"/>
          <w:lang w:val="en-GB"/>
        </w:rPr>
        <w:commentReference w:id="23"/>
      </w:r>
      <w:r w:rsidRPr="00011F6C">
        <w:rPr>
          <w:lang w:val="en-GB"/>
        </w:rPr>
        <w:t xml:space="preserve">. </w:t>
      </w:r>
    </w:p>
    <w:p w:rsidR="00C5567A" w:rsidRDefault="002143D1" w:rsidP="00011F6C">
      <w:pPr>
        <w:pStyle w:val="CEABullet-Level1"/>
        <w:spacing w:after="120"/>
        <w:ind w:left="714" w:hanging="357"/>
        <w:rPr>
          <w:lang w:val="en-GB"/>
        </w:rPr>
      </w:pPr>
      <w:r w:rsidRPr="00D029CA">
        <w:rPr>
          <w:lang w:val="en-GB"/>
        </w:rPr>
        <w:t xml:space="preserve">Insurance Europe </w:t>
      </w:r>
      <w:r w:rsidRPr="00D029CA">
        <w:rPr>
          <w:u w:val="single"/>
          <w:lang w:val="en-GB"/>
        </w:rPr>
        <w:t>calls for</w:t>
      </w:r>
      <w:r w:rsidRPr="00D029CA">
        <w:rPr>
          <w:lang w:val="en-GB"/>
        </w:rPr>
        <w:t xml:space="preserve"> </w:t>
      </w:r>
      <w:r w:rsidR="00C5567A" w:rsidRPr="002B0F0A">
        <w:rPr>
          <w:b/>
          <w:i/>
          <w:lang w:val="en-GB"/>
        </w:rPr>
        <w:t>changing t</w:t>
      </w:r>
      <w:r w:rsidRPr="002B0F0A">
        <w:rPr>
          <w:b/>
          <w:i/>
          <w:lang w:val="en-GB"/>
        </w:rPr>
        <w:t>he current proposed rules on breach notification system</w:t>
      </w:r>
      <w:r w:rsidR="00C5567A">
        <w:rPr>
          <w:lang w:val="en-GB"/>
        </w:rPr>
        <w:t>.</w:t>
      </w:r>
    </w:p>
    <w:p w:rsidR="002143D1" w:rsidRDefault="00C5567A" w:rsidP="00011F6C">
      <w:pPr>
        <w:pStyle w:val="CEABullet-Level1"/>
        <w:spacing w:after="120"/>
        <w:ind w:left="714" w:hanging="357"/>
        <w:rPr>
          <w:lang w:val="en-GB"/>
        </w:rPr>
      </w:pPr>
      <w:r>
        <w:rPr>
          <w:lang w:val="en-GB"/>
        </w:rPr>
        <w:t xml:space="preserve">Insurance Europe </w:t>
      </w:r>
      <w:r w:rsidRPr="002B0F0A">
        <w:rPr>
          <w:u w:val="single"/>
          <w:lang w:val="en-GB"/>
        </w:rPr>
        <w:t>suggests</w:t>
      </w:r>
      <w:r w:rsidR="002143D1" w:rsidRPr="00D029CA">
        <w:rPr>
          <w:lang w:val="en-GB"/>
        </w:rPr>
        <w:t xml:space="preserve"> </w:t>
      </w:r>
      <w:r>
        <w:rPr>
          <w:lang w:val="en-GB"/>
        </w:rPr>
        <w:t xml:space="preserve">only breaches </w:t>
      </w:r>
      <w:r w:rsidR="002143D1" w:rsidRPr="00D029CA">
        <w:rPr>
          <w:lang w:val="en-GB"/>
        </w:rPr>
        <w:t>pos</w:t>
      </w:r>
      <w:r>
        <w:rPr>
          <w:lang w:val="en-GB"/>
        </w:rPr>
        <w:t>ing</w:t>
      </w:r>
      <w:r w:rsidR="002143D1" w:rsidRPr="00D029CA">
        <w:rPr>
          <w:lang w:val="en-GB"/>
        </w:rPr>
        <w:t xml:space="preserve"> a </w:t>
      </w:r>
      <w:r w:rsidR="002143D1" w:rsidRPr="00D029CA">
        <w:rPr>
          <w:b/>
          <w:i/>
          <w:lang w:val="en-GB"/>
        </w:rPr>
        <w:t>significant risk of harm to data subjects</w:t>
      </w:r>
      <w:r w:rsidR="002143D1" w:rsidRPr="00D029CA">
        <w:rPr>
          <w:lang w:val="en-GB"/>
        </w:rPr>
        <w:t xml:space="preserve"> - and where data subjects should take action (</w:t>
      </w:r>
      <w:proofErr w:type="spellStart"/>
      <w:r w:rsidR="002143D1" w:rsidRPr="00D029CA">
        <w:rPr>
          <w:lang w:val="en-GB"/>
        </w:rPr>
        <w:t>eg</w:t>
      </w:r>
      <w:proofErr w:type="spellEnd"/>
      <w:r w:rsidR="002143D1" w:rsidRPr="00D029CA">
        <w:rPr>
          <w:lang w:val="en-GB"/>
        </w:rPr>
        <w:t xml:space="preserve"> to prevent identity theft) or remain vigilant – or a serious violation of their rights should be notified.</w:t>
      </w:r>
    </w:p>
    <w:p w:rsidR="00011F6C" w:rsidRDefault="00011F6C" w:rsidP="00011F6C">
      <w:pPr>
        <w:pStyle w:val="CEABullet-Level1"/>
        <w:spacing w:after="120"/>
        <w:rPr>
          <w:lang w:val="en-GB"/>
        </w:rPr>
      </w:pPr>
      <w:r w:rsidRPr="00011F6C">
        <w:rPr>
          <w:lang w:val="en-GB"/>
        </w:rPr>
        <w:t>Insurance Europe</w:t>
      </w:r>
      <w:r>
        <w:rPr>
          <w:lang w:val="en-GB"/>
        </w:rPr>
        <w:t xml:space="preserve"> also</w:t>
      </w:r>
      <w:r w:rsidRPr="00011F6C">
        <w:rPr>
          <w:lang w:val="en-GB"/>
        </w:rPr>
        <w:t xml:space="preserve"> </w:t>
      </w:r>
      <w:r w:rsidRPr="00011F6C">
        <w:rPr>
          <w:u w:val="single"/>
          <w:lang w:val="en-GB"/>
        </w:rPr>
        <w:t>asks for</w:t>
      </w:r>
      <w:r w:rsidRPr="00011F6C">
        <w:rPr>
          <w:lang w:val="en-GB"/>
        </w:rPr>
        <w:t xml:space="preserve"> a more </w:t>
      </w:r>
      <w:r w:rsidRPr="002B0F0A">
        <w:rPr>
          <w:b/>
          <w:i/>
          <w:lang w:val="en-GB"/>
        </w:rPr>
        <w:t>detailed definition</w:t>
      </w:r>
      <w:r w:rsidRPr="00011F6C">
        <w:rPr>
          <w:lang w:val="en-GB"/>
        </w:rPr>
        <w:t xml:space="preserve">, since the draft definition seems too broad for non-digital relationships. </w:t>
      </w:r>
    </w:p>
    <w:p w:rsidR="00410AB0" w:rsidRPr="00011F6C" w:rsidRDefault="00410AB0" w:rsidP="00011F6C">
      <w:pPr>
        <w:pStyle w:val="CEABullet-Level1"/>
        <w:spacing w:after="120"/>
        <w:rPr>
          <w:lang w:val="en-GB"/>
        </w:rPr>
      </w:pPr>
      <w:r>
        <w:rPr>
          <w:lang w:val="en-GB"/>
        </w:rPr>
        <w:t xml:space="preserve">Insurance Europe </w:t>
      </w:r>
      <w:r w:rsidRPr="00410AB0">
        <w:rPr>
          <w:u w:val="single"/>
          <w:lang w:val="en-GB"/>
        </w:rPr>
        <w:t>recommends</w:t>
      </w:r>
      <w:r>
        <w:rPr>
          <w:lang w:val="en-GB"/>
        </w:rPr>
        <w:t xml:space="preserve"> </w:t>
      </w:r>
      <w:r w:rsidR="00C5567A">
        <w:rPr>
          <w:lang w:val="en-GB"/>
        </w:rPr>
        <w:t>the</w:t>
      </w:r>
      <w:r>
        <w:rPr>
          <w:lang w:val="en-GB"/>
        </w:rPr>
        <w:t xml:space="preserve"> </w:t>
      </w:r>
      <w:r w:rsidRPr="002B0F0A">
        <w:rPr>
          <w:b/>
          <w:i/>
          <w:lang w:val="en-GB"/>
        </w:rPr>
        <w:t xml:space="preserve">regulation should not prescribe response </w:t>
      </w:r>
      <w:r w:rsidR="00C5567A" w:rsidRPr="002B0F0A">
        <w:rPr>
          <w:b/>
          <w:i/>
          <w:lang w:val="en-GB"/>
        </w:rPr>
        <w:t>deadlines</w:t>
      </w:r>
      <w:r w:rsidRPr="00410AB0">
        <w:rPr>
          <w:lang w:val="en-GB"/>
        </w:rPr>
        <w:t xml:space="preserve"> but should encourage</w:t>
      </w:r>
      <w:r w:rsidR="00C5567A">
        <w:rPr>
          <w:lang w:val="en-GB"/>
        </w:rPr>
        <w:t xml:space="preserve"> </w:t>
      </w:r>
      <w:r w:rsidR="00110230">
        <w:rPr>
          <w:lang w:val="en-GB"/>
        </w:rPr>
        <w:t xml:space="preserve">the controller to provide a response as soon as feasible and without </w:t>
      </w:r>
      <w:r w:rsidRPr="00410AB0">
        <w:rPr>
          <w:lang w:val="en-GB"/>
        </w:rPr>
        <w:t>excessive delay</w:t>
      </w:r>
      <w:r>
        <w:rPr>
          <w:lang w:val="en-GB"/>
        </w:rPr>
        <w:t>.</w:t>
      </w:r>
    </w:p>
    <w:p w:rsidR="002143D1" w:rsidRPr="002143D1" w:rsidRDefault="002143D1" w:rsidP="00011F6C">
      <w:pPr>
        <w:autoSpaceDE w:val="0"/>
        <w:autoSpaceDN w:val="0"/>
        <w:adjustRightInd w:val="0"/>
        <w:spacing w:after="120"/>
        <w:rPr>
          <w:rFonts w:cs="Frutiger LT Std 45 Light"/>
          <w:b/>
          <w:color w:val="000000"/>
          <w:szCs w:val="20"/>
        </w:rPr>
      </w:pPr>
      <w:r>
        <w:rPr>
          <w:rFonts w:cs="Frutiger LT Std 45 Light"/>
          <w:b/>
          <w:color w:val="000000"/>
          <w:szCs w:val="20"/>
        </w:rPr>
        <w:t xml:space="preserve">3.2 </w:t>
      </w:r>
      <w:r w:rsidRPr="002143D1">
        <w:rPr>
          <w:rFonts w:cs="Frutiger LT Std 45 Light"/>
          <w:b/>
          <w:color w:val="000000"/>
          <w:szCs w:val="20"/>
        </w:rPr>
        <w:t>Impact assessment</w:t>
      </w:r>
      <w:r w:rsidR="00E34DB3">
        <w:rPr>
          <w:rFonts w:cs="Frutiger LT Std 45 Light"/>
          <w:b/>
          <w:color w:val="000000"/>
          <w:szCs w:val="20"/>
        </w:rPr>
        <w:t xml:space="preserve"> </w:t>
      </w:r>
      <w:r w:rsidR="000E763B">
        <w:rPr>
          <w:rFonts w:cs="Frutiger LT Std 45 Light"/>
          <w:b/>
          <w:color w:val="000000"/>
          <w:szCs w:val="20"/>
        </w:rPr>
        <w:t>(</w:t>
      </w:r>
      <w:r w:rsidR="00E34DB3">
        <w:rPr>
          <w:rFonts w:cs="Frutiger LT Std 45 Light"/>
          <w:b/>
          <w:color w:val="000000"/>
          <w:szCs w:val="20"/>
        </w:rPr>
        <w:t xml:space="preserve">Article 33 </w:t>
      </w:r>
      <w:r w:rsidR="000E763B">
        <w:rPr>
          <w:rFonts w:cs="Frutiger LT Std 45 Light"/>
          <w:b/>
          <w:color w:val="000000"/>
          <w:szCs w:val="20"/>
        </w:rPr>
        <w:t>–</w:t>
      </w:r>
      <w:r w:rsidR="00E34DB3">
        <w:rPr>
          <w:rFonts w:cs="Frutiger LT Std 45 Light"/>
          <w:b/>
          <w:color w:val="000000"/>
          <w:szCs w:val="20"/>
        </w:rPr>
        <w:t xml:space="preserve"> 34</w:t>
      </w:r>
      <w:r w:rsidR="000E763B">
        <w:rPr>
          <w:rFonts w:cs="Frutiger LT Std 45 Light"/>
          <w:b/>
          <w:color w:val="000000"/>
          <w:szCs w:val="20"/>
        </w:rPr>
        <w:t>)</w:t>
      </w:r>
    </w:p>
    <w:p w:rsidR="002143D1" w:rsidRDefault="002143D1" w:rsidP="002143D1">
      <w:pPr>
        <w:pStyle w:val="CEABullet-Level1"/>
        <w:spacing w:after="120"/>
        <w:ind w:left="714" w:hanging="357"/>
        <w:rPr>
          <w:lang w:val="en-GB" w:eastAsia="nl-NL"/>
        </w:rPr>
      </w:pPr>
      <w:r w:rsidRPr="00D029CA">
        <w:rPr>
          <w:lang w:val="en-GB" w:eastAsia="nl-NL"/>
        </w:rPr>
        <w:t xml:space="preserve">Insurance Europe </w:t>
      </w:r>
      <w:r w:rsidRPr="00D029CA">
        <w:rPr>
          <w:u w:val="single"/>
          <w:lang w:val="en-GB" w:eastAsia="nl-NL"/>
        </w:rPr>
        <w:t>argues</w:t>
      </w:r>
      <w:r w:rsidRPr="00D029CA">
        <w:rPr>
          <w:lang w:val="en-GB" w:eastAsia="nl-NL"/>
        </w:rPr>
        <w:t xml:space="preserve"> that such an “impact assessment” duty is </w:t>
      </w:r>
      <w:r w:rsidRPr="00D029CA">
        <w:rPr>
          <w:b/>
          <w:i/>
          <w:lang w:val="en-GB" w:eastAsia="nl-NL"/>
        </w:rPr>
        <w:t xml:space="preserve">disproportionate </w:t>
      </w:r>
      <w:r w:rsidR="00A73A22">
        <w:rPr>
          <w:lang w:val="en-GB" w:eastAsia="nl-NL"/>
        </w:rPr>
        <w:t>to the objective pursued. I</w:t>
      </w:r>
      <w:r w:rsidRPr="00D029CA">
        <w:rPr>
          <w:lang w:val="en-GB" w:eastAsia="nl-NL"/>
        </w:rPr>
        <w:t xml:space="preserve">t conflicts with the principle of economic freedom and the right to make </w:t>
      </w:r>
      <w:proofErr w:type="gramStart"/>
      <w:r w:rsidRPr="00D029CA">
        <w:rPr>
          <w:lang w:val="en-GB" w:eastAsia="nl-NL"/>
        </w:rPr>
        <w:t>their own</w:t>
      </w:r>
      <w:proofErr w:type="gramEnd"/>
      <w:r w:rsidRPr="00D029CA">
        <w:rPr>
          <w:lang w:val="en-GB" w:eastAsia="nl-NL"/>
        </w:rPr>
        <w:t xml:space="preserve"> risk assessment.</w:t>
      </w:r>
    </w:p>
    <w:p w:rsidR="00BA5B42" w:rsidRDefault="00BA5B42" w:rsidP="00BA5B42">
      <w:pPr>
        <w:pStyle w:val="CEABullet-Level2"/>
        <w:spacing w:after="120"/>
        <w:rPr>
          <w:lang w:val="en-GB" w:eastAsia="nl-NL"/>
        </w:rPr>
      </w:pPr>
      <w:r w:rsidRPr="00BA5B42">
        <w:rPr>
          <w:lang w:val="en-GB" w:eastAsia="nl-NL"/>
        </w:rPr>
        <w:t xml:space="preserve">The obligation to publish these assessments </w:t>
      </w:r>
      <w:commentRangeStart w:id="24"/>
      <w:r w:rsidRPr="00BA5B42">
        <w:rPr>
          <w:b/>
          <w:i/>
          <w:lang w:val="en-GB" w:eastAsia="nl-NL"/>
        </w:rPr>
        <w:t>endangers insurers’ trade secrets</w:t>
      </w:r>
      <w:commentRangeEnd w:id="24"/>
      <w:r w:rsidR="006014B5">
        <w:rPr>
          <w:rStyle w:val="CommentReference"/>
          <w:rFonts w:cs="Times New Roman"/>
          <w:color w:val="auto"/>
          <w:lang w:val="en-GB"/>
        </w:rPr>
        <w:commentReference w:id="24"/>
      </w:r>
      <w:r w:rsidRPr="00BA5B42">
        <w:rPr>
          <w:lang w:val="en-GB" w:eastAsia="nl-NL"/>
        </w:rPr>
        <w:t xml:space="preserve">, and may </w:t>
      </w:r>
      <w:r w:rsidR="00110230">
        <w:rPr>
          <w:lang w:val="en-GB" w:eastAsia="nl-NL"/>
        </w:rPr>
        <w:t>force</w:t>
      </w:r>
      <w:r w:rsidRPr="00BA5B42">
        <w:rPr>
          <w:lang w:val="en-GB" w:eastAsia="nl-NL"/>
        </w:rPr>
        <w:t xml:space="preserve"> them to </w:t>
      </w:r>
      <w:r w:rsidR="00A73A22">
        <w:rPr>
          <w:lang w:val="en-GB" w:eastAsia="nl-NL"/>
        </w:rPr>
        <w:t xml:space="preserve">make </w:t>
      </w:r>
      <w:r w:rsidRPr="00BA5B42">
        <w:rPr>
          <w:lang w:val="en-GB" w:eastAsia="nl-NL"/>
        </w:rPr>
        <w:t>an unlawful disclosure of confidential</w:t>
      </w:r>
      <w:r w:rsidR="00110230">
        <w:rPr>
          <w:lang w:val="en-GB" w:eastAsia="nl-NL"/>
        </w:rPr>
        <w:t xml:space="preserve"> insurance</w:t>
      </w:r>
      <w:r w:rsidRPr="00BA5B42">
        <w:rPr>
          <w:lang w:val="en-GB" w:eastAsia="nl-NL"/>
        </w:rPr>
        <w:t xml:space="preserve"> information. </w:t>
      </w:r>
    </w:p>
    <w:p w:rsidR="002143D1" w:rsidRPr="00290CF9" w:rsidRDefault="002143D1" w:rsidP="00BA5B42">
      <w:pPr>
        <w:pStyle w:val="CEABullet-Level2"/>
        <w:spacing w:after="120"/>
        <w:rPr>
          <w:lang w:val="en-GB" w:eastAsia="nl-NL"/>
        </w:rPr>
      </w:pPr>
      <w:r w:rsidRPr="00BA5B42">
        <w:rPr>
          <w:lang w:val="en-GB" w:eastAsia="nl-NL"/>
        </w:rPr>
        <w:t xml:space="preserve">This rule also leads to </w:t>
      </w:r>
      <w:r w:rsidRPr="00BA5B42">
        <w:rPr>
          <w:b/>
          <w:i/>
          <w:lang w:val="en-GB" w:eastAsia="nl-NL"/>
        </w:rPr>
        <w:t>extensive bureaucracy</w:t>
      </w:r>
      <w:r w:rsidRPr="00BA5B42">
        <w:rPr>
          <w:lang w:val="en-GB" w:eastAsia="nl-NL"/>
        </w:rPr>
        <w:t xml:space="preserve">. </w:t>
      </w:r>
      <w:r w:rsidRPr="00290CF9">
        <w:rPr>
          <w:lang w:val="en-GB" w:eastAsia="nl-NL"/>
        </w:rPr>
        <w:t>The obligation to seek the data subject</w:t>
      </w:r>
      <w:r w:rsidR="00110230">
        <w:rPr>
          <w:lang w:val="en-GB" w:eastAsia="nl-NL"/>
        </w:rPr>
        <w:t>’</w:t>
      </w:r>
      <w:r w:rsidRPr="00290CF9">
        <w:rPr>
          <w:lang w:val="en-GB" w:eastAsia="nl-NL"/>
        </w:rPr>
        <w:t xml:space="preserve">s </w:t>
      </w:r>
      <w:r w:rsidR="00110230">
        <w:rPr>
          <w:lang w:val="en-GB" w:eastAsia="nl-NL"/>
        </w:rPr>
        <w:t xml:space="preserve">view </w:t>
      </w:r>
      <w:r w:rsidRPr="00290CF9">
        <w:rPr>
          <w:lang w:val="en-GB" w:eastAsia="nl-NL"/>
        </w:rPr>
        <w:t xml:space="preserve">is disproportionate as it interferes with the entrepreneurial freedom to </w:t>
      </w:r>
      <w:r w:rsidR="00110230">
        <w:rPr>
          <w:lang w:val="en-GB" w:eastAsia="nl-NL"/>
        </w:rPr>
        <w:t xml:space="preserve">determine its </w:t>
      </w:r>
      <w:r w:rsidR="00317F56">
        <w:rPr>
          <w:lang w:val="en-GB" w:eastAsia="nl-NL"/>
        </w:rPr>
        <w:t xml:space="preserve">own </w:t>
      </w:r>
      <w:r w:rsidR="00317F56" w:rsidRPr="00290CF9">
        <w:rPr>
          <w:lang w:val="en-GB" w:eastAsia="nl-NL"/>
        </w:rPr>
        <w:t>business</w:t>
      </w:r>
      <w:r w:rsidRPr="00290CF9">
        <w:rPr>
          <w:lang w:val="en-GB" w:eastAsia="nl-NL"/>
        </w:rPr>
        <w:t xml:space="preserve"> policy.</w:t>
      </w:r>
    </w:p>
    <w:p w:rsidR="00BA5B42" w:rsidRPr="00BA5B42" w:rsidRDefault="00BA5B42" w:rsidP="00BA5B42">
      <w:pPr>
        <w:pStyle w:val="CEABullet-Level2"/>
        <w:spacing w:after="120"/>
        <w:rPr>
          <w:lang w:val="en-GB"/>
        </w:rPr>
      </w:pPr>
      <w:r w:rsidRPr="00BA5B42">
        <w:rPr>
          <w:lang w:val="en-GB"/>
        </w:rPr>
        <w:t xml:space="preserve">Article 33 e) creates legal uncertainty </w:t>
      </w:r>
      <w:r>
        <w:rPr>
          <w:lang w:val="en-GB"/>
        </w:rPr>
        <w:t>as</w:t>
      </w:r>
      <w:r w:rsidRPr="00BA5B42">
        <w:rPr>
          <w:lang w:val="en-GB"/>
        </w:rPr>
        <w:t xml:space="preserve"> it allows each supervisory authority to list processing operations </w:t>
      </w:r>
      <w:r w:rsidR="00317F56">
        <w:rPr>
          <w:lang w:val="en-GB"/>
        </w:rPr>
        <w:t>subject to</w:t>
      </w:r>
      <w:r w:rsidR="00110230">
        <w:rPr>
          <w:lang w:val="en-GB"/>
        </w:rPr>
        <w:t xml:space="preserve"> an </w:t>
      </w:r>
      <w:r w:rsidRPr="00BA5B42">
        <w:rPr>
          <w:lang w:val="en-GB"/>
        </w:rPr>
        <w:t xml:space="preserve">impact assessment. </w:t>
      </w:r>
      <w:r w:rsidR="00317F56">
        <w:rPr>
          <w:lang w:val="en-GB"/>
        </w:rPr>
        <w:t>It therefore</w:t>
      </w:r>
      <w:r w:rsidRPr="00BA5B42">
        <w:rPr>
          <w:lang w:val="en-GB"/>
        </w:rPr>
        <w:t xml:space="preserve"> weaken</w:t>
      </w:r>
      <w:r w:rsidR="00317F56">
        <w:rPr>
          <w:lang w:val="en-GB"/>
        </w:rPr>
        <w:t>s</w:t>
      </w:r>
      <w:r w:rsidRPr="00BA5B42">
        <w:rPr>
          <w:lang w:val="en-GB"/>
        </w:rPr>
        <w:t xml:space="preserve"> the impact of maximum harmonisation and create</w:t>
      </w:r>
      <w:r w:rsidR="00317F56">
        <w:rPr>
          <w:lang w:val="en-GB"/>
        </w:rPr>
        <w:t>s</w:t>
      </w:r>
      <w:r w:rsidRPr="00BA5B42">
        <w:rPr>
          <w:lang w:val="en-GB"/>
        </w:rPr>
        <w:t xml:space="preserve"> an imbalance between competitors. </w:t>
      </w:r>
    </w:p>
    <w:p w:rsidR="00BA5B42" w:rsidRDefault="002143D1" w:rsidP="00BA5B42">
      <w:pPr>
        <w:pStyle w:val="CEABullet-Level1"/>
        <w:spacing w:after="120"/>
        <w:ind w:left="714" w:hanging="357"/>
        <w:rPr>
          <w:lang w:val="en-GB"/>
        </w:rPr>
      </w:pPr>
      <w:r w:rsidRPr="00BA5B42">
        <w:rPr>
          <w:lang w:val="en-GB"/>
        </w:rPr>
        <w:t xml:space="preserve">Insurance Europe </w:t>
      </w:r>
      <w:r w:rsidRPr="00BA5B42">
        <w:rPr>
          <w:u w:val="single"/>
          <w:lang w:val="en-GB"/>
        </w:rPr>
        <w:t>asks for</w:t>
      </w:r>
      <w:r w:rsidRPr="00BA5B42">
        <w:rPr>
          <w:lang w:val="en-GB"/>
        </w:rPr>
        <w:t xml:space="preserve"> </w:t>
      </w:r>
      <w:r w:rsidRPr="002B0F0A">
        <w:rPr>
          <w:b/>
          <w:i/>
          <w:lang w:val="en-GB"/>
        </w:rPr>
        <w:t xml:space="preserve">clarification of which type of data </w:t>
      </w:r>
      <w:r w:rsidR="00317F56" w:rsidRPr="002B0F0A">
        <w:rPr>
          <w:b/>
          <w:i/>
          <w:lang w:val="en-GB"/>
        </w:rPr>
        <w:t>is subject</w:t>
      </w:r>
      <w:r w:rsidRPr="002B0F0A">
        <w:rPr>
          <w:b/>
          <w:i/>
          <w:lang w:val="en-GB"/>
        </w:rPr>
        <w:t xml:space="preserve"> to impact assessment</w:t>
      </w:r>
      <w:r w:rsidRPr="00BA5B42">
        <w:rPr>
          <w:lang w:val="en-GB"/>
        </w:rPr>
        <w:t xml:space="preserve">. </w:t>
      </w:r>
    </w:p>
    <w:p w:rsidR="002143D1" w:rsidRPr="00BA5B42" w:rsidRDefault="002143D1" w:rsidP="00BA5B42">
      <w:pPr>
        <w:pStyle w:val="CEABullet-Level1"/>
        <w:spacing w:after="120"/>
        <w:ind w:left="714" w:hanging="357"/>
        <w:rPr>
          <w:lang w:val="en-GB"/>
        </w:rPr>
      </w:pPr>
      <w:r w:rsidRPr="00BA5B42">
        <w:rPr>
          <w:lang w:val="en-GB"/>
        </w:rPr>
        <w:t xml:space="preserve">Insurance Europe </w:t>
      </w:r>
      <w:r w:rsidRPr="00BA5B42">
        <w:rPr>
          <w:u w:val="single"/>
          <w:lang w:val="en-GB"/>
        </w:rPr>
        <w:t>seeks clarifications</w:t>
      </w:r>
      <w:r w:rsidRPr="00BA5B42">
        <w:rPr>
          <w:lang w:val="en-GB"/>
        </w:rPr>
        <w:t xml:space="preserve"> on whether there is a </w:t>
      </w:r>
      <w:r w:rsidRPr="002B0F0A">
        <w:rPr>
          <w:b/>
          <w:i/>
          <w:lang w:val="en-GB"/>
        </w:rPr>
        <w:t>difference between</w:t>
      </w:r>
      <w:r w:rsidRPr="00BA5B42">
        <w:rPr>
          <w:lang w:val="en-GB"/>
        </w:rPr>
        <w:t xml:space="preserve"> a prior authorisation and a prior consultation. </w:t>
      </w:r>
    </w:p>
    <w:p w:rsidR="00F97381" w:rsidRPr="00F95D42" w:rsidRDefault="00F97381" w:rsidP="002143D1">
      <w:pPr>
        <w:spacing w:after="120"/>
        <w:rPr>
          <w:rStyle w:val="CEAGraphTitle"/>
          <w:szCs w:val="17"/>
        </w:rPr>
      </w:pPr>
    </w:p>
    <w:sectPr w:rsidR="00F97381" w:rsidRPr="00F95D42" w:rsidSect="003329BA">
      <w:headerReference w:type="default" r:id="rId10"/>
      <w:footerReference w:type="default" r:id="rId11"/>
      <w:type w:val="continuous"/>
      <w:pgSz w:w="11907" w:h="16839" w:code="9"/>
      <w:pgMar w:top="2410" w:right="902" w:bottom="993" w:left="1418" w:header="1276" w:footer="397"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Lamprini Gyftokosta" w:date="2012-05-14T13:12:00Z" w:initials="LG">
    <w:p w:rsidR="00D24391" w:rsidRDefault="00D24391">
      <w:pPr>
        <w:pStyle w:val="CommentText"/>
      </w:pPr>
      <w:r w:rsidRPr="0086263E">
        <w:rPr>
          <w:rStyle w:val="CommentReference"/>
          <w:u w:val="single"/>
        </w:rPr>
        <w:annotationRef/>
      </w:r>
      <w:r>
        <w:rPr>
          <w:u w:val="single"/>
        </w:rPr>
        <w:t>Potential s</w:t>
      </w:r>
      <w:r w:rsidRPr="0086263E">
        <w:rPr>
          <w:u w:val="single"/>
        </w:rPr>
        <w:t>olution</w:t>
      </w:r>
      <w:r>
        <w:t xml:space="preserve">: when a contract is signed with an intermediary, the consumer could also sign a document giving explicit consent to the insurer; or the contract could include a clause in that respect. </w:t>
      </w:r>
    </w:p>
    <w:p w:rsidR="00D24391" w:rsidRDefault="00D24391">
      <w:pPr>
        <w:pStyle w:val="CommentText"/>
      </w:pPr>
    </w:p>
    <w:p w:rsidR="00D24391" w:rsidRDefault="00D24391">
      <w:pPr>
        <w:pStyle w:val="CommentText"/>
      </w:pPr>
      <w:r w:rsidRPr="00F97D86">
        <w:rPr>
          <w:u w:val="single"/>
        </w:rPr>
        <w:t>If this is the case, then our argument/ example is not very strong</w:t>
      </w:r>
      <w:r>
        <w:t xml:space="preserve">. </w:t>
      </w:r>
    </w:p>
    <w:p w:rsidR="00D24391" w:rsidRPr="00F97D86" w:rsidRDefault="00D24391">
      <w:pPr>
        <w:pStyle w:val="CommentText"/>
        <w:rPr>
          <w:b/>
          <w:i/>
        </w:rPr>
      </w:pPr>
    </w:p>
  </w:comment>
  <w:comment w:id="1" w:author="Lamprini Gyftokosta" w:date="2012-05-14T13:17:00Z" w:initials="LG">
    <w:p w:rsidR="00D24391" w:rsidRDefault="00D24391">
      <w:pPr>
        <w:pStyle w:val="CommentText"/>
      </w:pPr>
      <w:r>
        <w:rPr>
          <w:rStyle w:val="CommentReference"/>
        </w:rPr>
        <w:annotationRef/>
      </w:r>
      <w:r>
        <w:t xml:space="preserve">Suggestion: instead of using “insurance sector” to use “insurance and assurance”. </w:t>
      </w:r>
    </w:p>
  </w:comment>
  <w:comment w:id="3" w:author="Lamprini Gyftokosta" w:date="2012-05-14T12:02:00Z" w:initials="LG">
    <w:p w:rsidR="00D24391" w:rsidRDefault="00D24391">
      <w:pPr>
        <w:pStyle w:val="CommentText"/>
      </w:pPr>
      <w:r>
        <w:rPr>
          <w:rStyle w:val="CommentReference"/>
        </w:rPr>
        <w:annotationRef/>
      </w:r>
      <w:r>
        <w:t>Such as? Examples needed to make this statement more credible.</w:t>
      </w:r>
    </w:p>
  </w:comment>
  <w:comment w:id="4" w:author="Lamprini Gyftokosta" w:date="2012-05-14T13:22:00Z" w:initials="LG">
    <w:p w:rsidR="00D24391" w:rsidRDefault="00D24391">
      <w:pPr>
        <w:pStyle w:val="CommentText"/>
      </w:pPr>
      <w:r>
        <w:rPr>
          <w:rStyle w:val="CommentReference"/>
        </w:rPr>
        <w:annotationRef/>
      </w:r>
      <w:r>
        <w:t xml:space="preserve">Please provide examples. </w:t>
      </w:r>
    </w:p>
  </w:comment>
  <w:comment w:id="5" w:author="Lamprini Gyftokosta" w:date="2012-05-14T13:23:00Z" w:initials="LG">
    <w:p w:rsidR="00D24391" w:rsidRDefault="00D24391">
      <w:pPr>
        <w:pStyle w:val="CommentText"/>
      </w:pPr>
      <w:r>
        <w:rPr>
          <w:rStyle w:val="CommentReference"/>
        </w:rPr>
        <w:annotationRef/>
      </w:r>
      <w:r>
        <w:t>Is this what we want? And if so, what should the narrow definition include?</w:t>
      </w:r>
    </w:p>
  </w:comment>
  <w:comment w:id="6" w:author="Lamprini Gyftokosta" w:date="2012-05-14T13:29:00Z" w:initials="LG">
    <w:p w:rsidR="00D24391" w:rsidRDefault="00D24391">
      <w:pPr>
        <w:pStyle w:val="CommentText"/>
      </w:pPr>
      <w:r>
        <w:rPr>
          <w:rStyle w:val="CommentReference"/>
        </w:rPr>
        <w:annotationRef/>
      </w:r>
      <w:r>
        <w:t xml:space="preserve">There are </w:t>
      </w:r>
      <w:r w:rsidRPr="004050B0">
        <w:rPr>
          <w:b/>
          <w:u w:val="single"/>
        </w:rPr>
        <w:t>conflicting views</w:t>
      </w:r>
      <w:r>
        <w:t xml:space="preserve"> on this topic. It will be discussed further during the TF on 21 May. </w:t>
      </w:r>
    </w:p>
  </w:comment>
  <w:comment w:id="7" w:author="Lamprini Gyftokosta" w:date="2012-05-14T16:02:00Z" w:initials="LG">
    <w:p w:rsidR="00D24391" w:rsidRDefault="00D24391">
      <w:pPr>
        <w:pStyle w:val="CommentText"/>
      </w:pPr>
      <w:r>
        <w:rPr>
          <w:rStyle w:val="CommentReference"/>
        </w:rPr>
        <w:annotationRef/>
      </w:r>
      <w:r>
        <w:t xml:space="preserve">Sources of information are needed to substantiate the countries facts. </w:t>
      </w:r>
    </w:p>
  </w:comment>
  <w:comment w:id="8" w:author="Lamprini Gyftokosta" w:date="2012-05-14T16:12:00Z" w:initials="LG">
    <w:p w:rsidR="009F604E" w:rsidRDefault="009F604E">
      <w:pPr>
        <w:pStyle w:val="CommentText"/>
      </w:pPr>
      <w:r>
        <w:rPr>
          <w:rStyle w:val="CommentReference"/>
        </w:rPr>
        <w:annotationRef/>
      </w:r>
      <w:r>
        <w:t>Examples needed: could we estimate the economic impact of fraudulent claims on tax payers?</w:t>
      </w:r>
    </w:p>
  </w:comment>
  <w:comment w:id="9" w:author="Lamprini Gyftokosta" w:date="2012-05-14T13:31:00Z" w:initials="LG">
    <w:p w:rsidR="00D24391" w:rsidRDefault="00D24391">
      <w:pPr>
        <w:pStyle w:val="CommentText"/>
      </w:pPr>
      <w:r>
        <w:rPr>
          <w:rStyle w:val="CommentReference"/>
        </w:rPr>
        <w:annotationRef/>
      </w:r>
      <w:r>
        <w:t xml:space="preserve"> Criminal convictions are publicly available data. </w:t>
      </w:r>
    </w:p>
  </w:comment>
  <w:comment w:id="10" w:author="Lamprini Gyftokosta" w:date="2012-05-14T13:33:00Z" w:initials="LG">
    <w:p w:rsidR="00D24391" w:rsidRDefault="00D24391">
      <w:pPr>
        <w:pStyle w:val="CommentText"/>
      </w:pPr>
      <w:r>
        <w:rPr>
          <w:rStyle w:val="CommentReference"/>
        </w:rPr>
        <w:annotationRef/>
      </w:r>
      <w:r>
        <w:t xml:space="preserve"> For purposes of fraud prevention and detection, other data should be allowed to be processed, not only data on criminal convictions. Please provide other examples/ data that would be useful. </w:t>
      </w:r>
    </w:p>
  </w:comment>
  <w:comment w:id="11" w:author="Lamprini Gyftokosta" w:date="2012-05-14T16:03:00Z" w:initials="LG">
    <w:p w:rsidR="00D24391" w:rsidRDefault="00D24391">
      <w:pPr>
        <w:pStyle w:val="CommentText"/>
      </w:pPr>
      <w:r>
        <w:rPr>
          <w:rStyle w:val="CommentReference"/>
        </w:rPr>
        <w:annotationRef/>
      </w:r>
      <w:r>
        <w:t>More information/ examples/ references are needed to support our argument that “evidence shows…</w:t>
      </w:r>
      <w:proofErr w:type="gramStart"/>
      <w:r>
        <w:t>”.</w:t>
      </w:r>
      <w:proofErr w:type="gramEnd"/>
      <w:r>
        <w:t xml:space="preserve"> </w:t>
      </w:r>
    </w:p>
  </w:comment>
  <w:comment w:id="12" w:author="Lamprini Gyftokosta" w:date="2012-05-14T13:34:00Z" w:initials="LG">
    <w:p w:rsidR="00D24391" w:rsidRDefault="00D24391">
      <w:pPr>
        <w:pStyle w:val="CommentText"/>
      </w:pPr>
      <w:r>
        <w:rPr>
          <w:rStyle w:val="CommentReference"/>
        </w:rPr>
        <w:annotationRef/>
      </w:r>
      <w:r>
        <w:t xml:space="preserve">Examples from other countries are needed. </w:t>
      </w:r>
    </w:p>
  </w:comment>
  <w:comment w:id="13" w:author="Lamprini Gyftokosta" w:date="2012-05-14T16:03:00Z" w:initials="LG">
    <w:p w:rsidR="00D24391" w:rsidRDefault="00D24391">
      <w:pPr>
        <w:pStyle w:val="CommentText"/>
      </w:pPr>
      <w:r>
        <w:rPr>
          <w:rStyle w:val="CommentReference"/>
        </w:rPr>
        <w:annotationRef/>
      </w:r>
      <w:r>
        <w:t xml:space="preserve">Is this correct? Is there another Directive/ national legislation referring to similar registries in other countries? </w:t>
      </w:r>
    </w:p>
  </w:comment>
  <w:comment w:id="14" w:author="Lamprini Gyftokosta" w:date="2012-05-14T13:35:00Z" w:initials="LG">
    <w:p w:rsidR="00D24391" w:rsidRDefault="00D24391">
      <w:pPr>
        <w:pStyle w:val="CommentText"/>
      </w:pPr>
      <w:r>
        <w:rPr>
          <w:rStyle w:val="CommentReference"/>
        </w:rPr>
        <w:annotationRef/>
      </w:r>
      <w:r>
        <w:t xml:space="preserve">Same as above: this is </w:t>
      </w:r>
      <w:r w:rsidRPr="004050B0">
        <w:rPr>
          <w:b/>
          <w:u w:val="single"/>
        </w:rPr>
        <w:t>narrow</w:t>
      </w:r>
      <w:r>
        <w:t xml:space="preserve">, there are other data that insurers should be able to use for prevention, detection and combating fraud: please provide examples. </w:t>
      </w:r>
    </w:p>
  </w:comment>
  <w:comment w:id="15" w:author="Lamprini Gyftokosta" w:date="2012-05-14T13:38:00Z" w:initials="LG">
    <w:p w:rsidR="00D24391" w:rsidRDefault="00D24391">
      <w:pPr>
        <w:pStyle w:val="CommentText"/>
      </w:pPr>
      <w:r>
        <w:rPr>
          <w:rStyle w:val="CommentReference"/>
        </w:rPr>
        <w:annotationRef/>
      </w:r>
      <w:r>
        <w:t xml:space="preserve">Examples are needed. </w:t>
      </w:r>
    </w:p>
  </w:comment>
  <w:comment w:id="16" w:author="Lamprini Gyftokosta" w:date="2012-05-14T13:37:00Z" w:initials="LG">
    <w:p w:rsidR="00D24391" w:rsidRDefault="00D24391">
      <w:pPr>
        <w:pStyle w:val="CommentText"/>
      </w:pPr>
      <w:r>
        <w:rPr>
          <w:rStyle w:val="CommentReference"/>
        </w:rPr>
        <w:annotationRef/>
      </w:r>
      <w:r>
        <w:t xml:space="preserve">Examples are needed/ explanations. </w:t>
      </w:r>
    </w:p>
  </w:comment>
  <w:comment w:id="17" w:author="Lamprini Gyftokosta" w:date="2012-05-14T13:38:00Z" w:initials="LG">
    <w:p w:rsidR="00D24391" w:rsidRDefault="00D24391">
      <w:pPr>
        <w:pStyle w:val="CommentText"/>
      </w:pPr>
      <w:r>
        <w:rPr>
          <w:rStyle w:val="CommentReference"/>
        </w:rPr>
        <w:annotationRef/>
      </w:r>
      <w:r>
        <w:t xml:space="preserve">Do members agree with this statement? </w:t>
      </w:r>
    </w:p>
  </w:comment>
  <w:comment w:id="18" w:author="Lamprini Gyftokosta" w:date="2012-05-14T13:39:00Z" w:initials="LG">
    <w:p w:rsidR="00D24391" w:rsidRDefault="00D24391">
      <w:pPr>
        <w:pStyle w:val="CommentText"/>
      </w:pPr>
      <w:r>
        <w:rPr>
          <w:rStyle w:val="CommentReference"/>
        </w:rPr>
        <w:annotationRef/>
      </w:r>
      <w:r>
        <w:t xml:space="preserve">Specific examples are needed for each one of the points. </w:t>
      </w:r>
    </w:p>
  </w:comment>
  <w:comment w:id="19" w:author="Lamprini Gyftokosta" w:date="2012-05-14T13:41:00Z" w:initials="LG">
    <w:p w:rsidR="00D24391" w:rsidRDefault="00D24391">
      <w:pPr>
        <w:pStyle w:val="CommentText"/>
      </w:pPr>
      <w:r>
        <w:rPr>
          <w:rStyle w:val="CommentReference"/>
        </w:rPr>
        <w:annotationRef/>
      </w:r>
      <w:r>
        <w:t xml:space="preserve">Are these provisions illustrating our point here? Are there any other provisions that members would like to see  </w:t>
      </w:r>
    </w:p>
  </w:comment>
  <w:comment w:id="20" w:author="Lamprini Gyftokosta" w:date="2012-05-14T16:08:00Z" w:initials="LG">
    <w:p w:rsidR="00D24391" w:rsidRDefault="00D24391">
      <w:pPr>
        <w:pStyle w:val="CommentText"/>
      </w:pPr>
      <w:r>
        <w:rPr>
          <w:rStyle w:val="CommentReference"/>
        </w:rPr>
        <w:annotationRef/>
      </w:r>
      <w:r>
        <w:t xml:space="preserve">Examples are needed; what do we mean by economic realities </w:t>
      </w:r>
    </w:p>
  </w:comment>
  <w:comment w:id="21" w:author="Lamprini Gyftokosta" w:date="2012-05-14T16:05:00Z" w:initials="LG">
    <w:p w:rsidR="00D24391" w:rsidRDefault="00D24391">
      <w:pPr>
        <w:pStyle w:val="CommentText"/>
      </w:pPr>
      <w:r>
        <w:rPr>
          <w:rStyle w:val="CommentReference"/>
        </w:rPr>
        <w:annotationRef/>
      </w:r>
      <w:r>
        <w:t xml:space="preserve">Examples are needed. </w:t>
      </w:r>
    </w:p>
  </w:comment>
  <w:comment w:id="22" w:author="Lamprini Gyftokosta" w:date="2012-05-14T16:06:00Z" w:initials="LG">
    <w:p w:rsidR="00D24391" w:rsidRDefault="00D24391">
      <w:pPr>
        <w:pStyle w:val="CommentText"/>
      </w:pPr>
      <w:r>
        <w:rPr>
          <w:rStyle w:val="CommentReference"/>
        </w:rPr>
        <w:annotationRef/>
      </w:r>
      <w:r>
        <w:t xml:space="preserve">Source of information needed/ reference </w:t>
      </w:r>
    </w:p>
  </w:comment>
  <w:comment w:id="23" w:author="Lamprini Gyftokosta" w:date="2012-05-14T16:19:00Z" w:initials="LG">
    <w:p w:rsidR="00D24391" w:rsidRDefault="00D24391">
      <w:pPr>
        <w:pStyle w:val="CommentText"/>
      </w:pPr>
      <w:r>
        <w:rPr>
          <w:rStyle w:val="CommentReference"/>
        </w:rPr>
        <w:annotationRef/>
      </w:r>
      <w:r>
        <w:t>Example</w:t>
      </w:r>
      <w:r w:rsidR="00F3456C">
        <w:t>s</w:t>
      </w:r>
      <w:r>
        <w:t xml:space="preserve"> needed. Why do we say so? </w:t>
      </w:r>
    </w:p>
  </w:comment>
  <w:comment w:id="24" w:author="Lamprini Gyftokosta" w:date="2012-05-14T16:19:00Z" w:initials="LG">
    <w:p w:rsidR="00D24391" w:rsidRDefault="00D24391">
      <w:pPr>
        <w:pStyle w:val="CommentText"/>
      </w:pPr>
      <w:r>
        <w:rPr>
          <w:rStyle w:val="CommentReference"/>
        </w:rPr>
        <w:annotationRef/>
      </w:r>
      <w:r>
        <w:t>Example</w:t>
      </w:r>
      <w:r w:rsidR="00F3456C">
        <w:t>s</w:t>
      </w:r>
      <w:r>
        <w:t xml:space="preserve"> needed.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430A" w:rsidRDefault="00A9430A">
      <w:r>
        <w:separator/>
      </w:r>
    </w:p>
    <w:p w:rsidR="00A9430A" w:rsidRDefault="00A9430A"/>
  </w:endnote>
  <w:endnote w:type="continuationSeparator" w:id="0">
    <w:p w:rsidR="00A9430A" w:rsidRDefault="00A9430A">
      <w:r>
        <w:continuationSeparator/>
      </w:r>
    </w:p>
    <w:p w:rsidR="00A9430A" w:rsidRDefault="00A943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embedRegular r:id="rId1" w:fontKey="{D99D9E95-56F5-440D-BCEC-28141D00E6AD}"/>
    <w:embedBold r:id="rId2" w:fontKey="{01AF1F36-D7B6-4F95-9A62-7C59CA1E3D94}"/>
    <w:embedItalic r:id="rId3" w:fontKey="{8CA87D82-FD0B-4EAD-8A00-D8E048C9A640}"/>
    <w:embedBoldItalic r:id="rId4" w:fontKey="{774C0424-CF25-4E02-ABA8-B048361B5F4A}"/>
  </w:font>
  <w:font w:name="Frutiger LT Com 45 Light">
    <w:altName w:val="Corbel"/>
    <w:charset w:val="00"/>
    <w:family w:val="swiss"/>
    <w:pitch w:val="variable"/>
    <w:sig w:usb0="00000001"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BDB4D3DA-35B6-4338-993D-464E6754EDE6}"/>
  </w:font>
  <w:font w:name="Calibri">
    <w:panose1 w:val="020F0502020204030204"/>
    <w:charset w:val="00"/>
    <w:family w:val="swiss"/>
    <w:pitch w:val="variable"/>
    <w:sig w:usb0="E10002FF" w:usb1="4000ACFF" w:usb2="00000009" w:usb3="00000000" w:csb0="0000019F" w:csb1="00000000"/>
    <w:embedRegular r:id="rId6" w:fontKey="{0360481E-C06E-4CE3-BE8B-CCA477BA4EBC}"/>
  </w:font>
  <w:font w:name="Frutiger LT Std 45 Light">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embedRegular r:id="rId7" w:fontKey="{4AF19AAE-ECEF-4925-B323-2B71D22716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8964100"/>
      <w:docPartObj>
        <w:docPartGallery w:val="Page Numbers (Bottom of Page)"/>
        <w:docPartUnique/>
      </w:docPartObj>
    </w:sdtPr>
    <w:sdtEndPr>
      <w:rPr>
        <w:noProof/>
      </w:rPr>
    </w:sdtEndPr>
    <w:sdtContent>
      <w:p w:rsidR="000E763B" w:rsidRDefault="000E763B">
        <w:pPr>
          <w:pStyle w:val="Footer"/>
          <w:jc w:val="right"/>
        </w:pPr>
        <w:r>
          <w:fldChar w:fldCharType="begin"/>
        </w:r>
        <w:r>
          <w:instrText xml:space="preserve"> PAGE   \* MERGEFORMAT </w:instrText>
        </w:r>
        <w:r>
          <w:fldChar w:fldCharType="separate"/>
        </w:r>
        <w:r w:rsidR="003329BA">
          <w:rPr>
            <w:noProof/>
          </w:rPr>
          <w:t>7</w:t>
        </w:r>
        <w:r>
          <w:rPr>
            <w:noProof/>
          </w:rPr>
          <w:fldChar w:fldCharType="end"/>
        </w:r>
      </w:p>
    </w:sdtContent>
  </w:sdt>
  <w:p w:rsidR="00D24391" w:rsidRPr="00CD51F6" w:rsidRDefault="00D24391" w:rsidP="006014B5">
    <w:pPr>
      <w:pStyle w:val="Footer"/>
      <w:ind w:left="546"/>
      <w:jc w:val="right"/>
      <w:rPr>
        <w:rFonts w:cs="Arial"/>
        <w:b/>
        <w:color w:val="0032FF"/>
        <w:sz w:val="16"/>
        <w:szCs w:val="16"/>
        <w:lang w:val="pt-P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430A" w:rsidRDefault="00A9430A">
      <w:r>
        <w:separator/>
      </w:r>
    </w:p>
    <w:p w:rsidR="00A9430A" w:rsidRDefault="00A9430A"/>
  </w:footnote>
  <w:footnote w:type="continuationSeparator" w:id="0">
    <w:p w:rsidR="00A9430A" w:rsidRDefault="00A9430A">
      <w:r>
        <w:continuationSeparator/>
      </w:r>
    </w:p>
    <w:p w:rsidR="00A9430A" w:rsidRDefault="00A9430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391" w:rsidRPr="00DA3B3A" w:rsidRDefault="00A9430A" w:rsidP="000846C0">
    <w:pPr>
      <w:pStyle w:val="Noparagraphstyle"/>
      <w:jc w:val="right"/>
      <w:rPr>
        <w:color w:val="FF0000"/>
        <w:sz w:val="20"/>
        <w:szCs w:val="18"/>
      </w:rPr>
    </w:pPr>
    <w:sdt>
      <w:sdtPr>
        <w:rPr>
          <w:color w:val="FF0000"/>
          <w:sz w:val="20"/>
          <w:szCs w:val="18"/>
        </w:rPr>
        <w:id w:val="-1439747990"/>
        <w:docPartObj>
          <w:docPartGallery w:val="Watermarks"/>
          <w:docPartUnique/>
        </w:docPartObj>
      </w:sdtPr>
      <w:sdtEndPr/>
      <w:sdtContent>
        <w:r>
          <w:rPr>
            <w:noProof/>
            <w:color w:val="FF0000"/>
            <w:sz w:val="20"/>
            <w:szCs w:val="18"/>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24391" w:rsidRPr="00DA3B3A">
      <w:rPr>
        <w:color w:val="FF0000"/>
        <w:sz w:val="20"/>
        <w:szCs w:val="18"/>
      </w:rPr>
      <w:t>Internal document</w:t>
    </w:r>
  </w:p>
  <w:p w:rsidR="00D24391" w:rsidRPr="00DA3B3A" w:rsidRDefault="00D24391" w:rsidP="000846C0">
    <w:pPr>
      <w:pStyle w:val="Noparagraphstyle"/>
      <w:jc w:val="right"/>
      <w:rPr>
        <w:color w:val="FF0000"/>
        <w:sz w:val="20"/>
        <w:szCs w:val="18"/>
      </w:rPr>
    </w:pPr>
    <w:r>
      <w:rPr>
        <w:color w:val="FF0000"/>
        <w:sz w:val="20"/>
        <w:szCs w:val="18"/>
      </w:rPr>
      <w:t>SMC-DAT-12-035</w:t>
    </w:r>
  </w:p>
  <w:p w:rsidR="00D24391" w:rsidRPr="00CD51F6" w:rsidRDefault="00D24391" w:rsidP="000846C0">
    <w:pPr>
      <w:pStyle w:val="Noparagraphstyle"/>
      <w:jc w:val="right"/>
      <w:rPr>
        <w:rFonts w:ascii="Arial" w:hAnsi="Arial" w:cs="Arial"/>
        <w:i/>
        <w:iCs/>
        <w:color w:val="034EA2"/>
      </w:rPr>
    </w:pPr>
    <w:r>
      <w:tab/>
    </w:r>
  </w:p>
  <w:p w:rsidR="00D24391" w:rsidRPr="007349E1" w:rsidRDefault="00D24391" w:rsidP="007349E1">
    <w:pPr>
      <w:pStyle w:val="Header"/>
      <w:tabs>
        <w:tab w:val="clear" w:pos="4320"/>
        <w:tab w:val="clear" w:pos="8640"/>
        <w:tab w:val="center" w:pos="0"/>
        <w:tab w:val="right" w:pos="10440"/>
      </w:tabs>
      <w:rPr>
        <w:b/>
        <w:sz w:val="40"/>
        <w:szCs w:val="40"/>
      </w:rPr>
    </w:pPr>
    <w:r w:rsidRPr="00164309">
      <w:rPr>
        <w:b/>
        <w:noProof/>
        <w:sz w:val="40"/>
        <w:szCs w:val="40"/>
        <w:lang w:eastAsia="en-GB"/>
      </w:rPr>
      <w:drawing>
        <wp:anchor distT="0" distB="0" distL="114300" distR="114300" simplePos="0" relativeHeight="251657216" behindDoc="0" locked="0" layoutInCell="1" allowOverlap="1" wp14:anchorId="4E462AC8" wp14:editId="74E40D4D">
          <wp:simplePos x="0" y="0"/>
          <wp:positionH relativeFrom="page">
            <wp:posOffset>524888</wp:posOffset>
          </wp:positionH>
          <wp:positionV relativeFrom="page">
            <wp:posOffset>525294</wp:posOffset>
          </wp:positionV>
          <wp:extent cx="1459555" cy="894944"/>
          <wp:effectExtent l="19050" t="0" r="0" b="0"/>
          <wp:wrapSquare wrapText="bothSides"/>
          <wp:docPr id="2" name="Picture 11" descr="CEA+baseline_RVB_200dpi(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A+baseline_RVB_200dpi(psd)"/>
                  <pic:cNvPicPr>
                    <a:picLocks noChangeAspect="1" noChangeArrowheads="1"/>
                  </pic:cNvPicPr>
                </pic:nvPicPr>
                <pic:blipFill>
                  <a:blip r:embed="rId1"/>
                  <a:stretch>
                    <a:fillRect/>
                  </a:stretch>
                </pic:blipFill>
                <pic:spPr bwMode="auto">
                  <a:xfrm>
                    <a:off x="0" y="0"/>
                    <a:ext cx="1456193" cy="89535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1.25pt" o:bullet="t">
        <v:imagedata r:id="rId1" o:title="CEA - Bullets Rounded Squares_BulletLevel1_forMS"/>
      </v:shape>
    </w:pict>
  </w:numPicBullet>
  <w:numPicBullet w:numPicBulletId="1">
    <w:pict>
      <v:shape id="_x0000_i1040" type="#_x0000_t75" style="width:9pt;height:9pt" o:bullet="t">
        <v:imagedata r:id="rId2" o:title="CEA - Bullets Rounded Squares_BulletLevel3_forMS"/>
      </v:shape>
    </w:pict>
  </w:numPicBullet>
  <w:numPicBullet w:numPicBulletId="2">
    <w:pict>
      <v:shape id="_x0000_i1041" type="#_x0000_t75" style="width:7.5pt;height:7.5pt" o:bullet="t">
        <v:imagedata r:id="rId3" o:title="CEA - Bullets Rounded Squares_BulletLevel2_forMS"/>
      </v:shape>
    </w:pict>
  </w:numPicBullet>
  <w:numPicBullet w:numPicBulletId="3">
    <w:pict>
      <v:shape id="_x0000_i1042" type="#_x0000_t75" style="width:7in;height:422.25pt" o:bullet="t">
        <v:imagedata r:id="rId4" o:title="clip_image001"/>
      </v:shape>
    </w:pict>
  </w:numPicBullet>
  <w:numPicBullet w:numPicBulletId="4">
    <w:pict>
      <v:shape id="_x0000_i1043" type="#_x0000_t75" style="width:7in;height:422.25pt" o:bullet="t">
        <v:imagedata r:id="rId5" o:title="clip_image002"/>
      </v:shape>
    </w:pict>
  </w:numPicBullet>
  <w:numPicBullet w:numPicBulletId="5">
    <w:pict>
      <v:shape id="_x0000_i1044" type="#_x0000_t75" style="width:7in;height:422.25pt" o:bullet="t">
        <v:imagedata r:id="rId6" o:title="clip_image003"/>
      </v:shape>
    </w:pict>
  </w:numPicBullet>
  <w:abstractNum w:abstractNumId="0">
    <w:nsid w:val="FFFFFF7C"/>
    <w:multiLevelType w:val="singleLevel"/>
    <w:tmpl w:val="DCA655B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D9007F2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FD4E3424"/>
    <w:lvl w:ilvl="0">
      <w:start w:val="1"/>
      <w:numFmt w:val="decimal"/>
      <w:pStyle w:val="ListNumber3"/>
      <w:lvlText w:val="%1."/>
      <w:lvlJc w:val="left"/>
      <w:pPr>
        <w:tabs>
          <w:tab w:val="num" w:pos="926"/>
        </w:tabs>
        <w:ind w:left="926" w:hanging="360"/>
      </w:pPr>
    </w:lvl>
  </w:abstractNum>
  <w:abstractNum w:abstractNumId="3">
    <w:nsid w:val="FFFFFF7F"/>
    <w:multiLevelType w:val="singleLevel"/>
    <w:tmpl w:val="1EACF058"/>
    <w:lvl w:ilvl="0">
      <w:start w:val="1"/>
      <w:numFmt w:val="decimal"/>
      <w:pStyle w:val="ListNumber2"/>
      <w:lvlText w:val="%1."/>
      <w:lvlJc w:val="left"/>
      <w:pPr>
        <w:tabs>
          <w:tab w:val="num" w:pos="643"/>
        </w:tabs>
        <w:ind w:left="643" w:hanging="360"/>
      </w:pPr>
    </w:lvl>
  </w:abstractNum>
  <w:abstractNum w:abstractNumId="4">
    <w:nsid w:val="FFFFFF80"/>
    <w:multiLevelType w:val="singleLevel"/>
    <w:tmpl w:val="C3960D8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F0DB7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50AAEB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27E4C5E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9F807E5C"/>
    <w:lvl w:ilvl="0">
      <w:start w:val="1"/>
      <w:numFmt w:val="decimal"/>
      <w:pStyle w:val="ListNumber"/>
      <w:lvlText w:val="%1."/>
      <w:lvlJc w:val="left"/>
      <w:pPr>
        <w:tabs>
          <w:tab w:val="num" w:pos="360"/>
        </w:tabs>
        <w:ind w:left="360" w:hanging="360"/>
      </w:pPr>
    </w:lvl>
  </w:abstractNum>
  <w:abstractNum w:abstractNumId="9">
    <w:nsid w:val="FFFFFF89"/>
    <w:multiLevelType w:val="singleLevel"/>
    <w:tmpl w:val="4B14C1D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054071E"/>
    <w:multiLevelType w:val="hybridMultilevel"/>
    <w:tmpl w:val="EBE65710"/>
    <w:lvl w:ilvl="0" w:tplc="A0240652">
      <w:start w:val="165"/>
      <w:numFmt w:val="bullet"/>
      <w:pStyle w:val="CEABullet-Level2"/>
      <w:lvlText w:val=""/>
      <w:lvlPicBulletId w:val="2"/>
      <w:lvlJc w:val="left"/>
      <w:pPr>
        <w:ind w:left="1800" w:hanging="360"/>
      </w:pPr>
      <w:rPr>
        <w:rFonts w:ascii="Symbol" w:hAnsi="Symbol" w:hint="default"/>
        <w:color w:val="auto"/>
      </w:rPr>
    </w:lvl>
    <w:lvl w:ilvl="1" w:tplc="080C0003" w:tentative="1">
      <w:start w:val="1"/>
      <w:numFmt w:val="bullet"/>
      <w:lvlText w:val="o"/>
      <w:lvlJc w:val="left"/>
      <w:pPr>
        <w:ind w:left="2520" w:hanging="360"/>
      </w:pPr>
      <w:rPr>
        <w:rFonts w:ascii="Courier New" w:hAnsi="Courier New" w:cs="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11">
    <w:nsid w:val="25573D5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2">
    <w:nsid w:val="287677F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428650BD"/>
    <w:multiLevelType w:val="hybridMultilevel"/>
    <w:tmpl w:val="AD2047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47E4D85"/>
    <w:multiLevelType w:val="hybridMultilevel"/>
    <w:tmpl w:val="36024468"/>
    <w:lvl w:ilvl="0" w:tplc="37180294">
      <w:start w:val="165"/>
      <w:numFmt w:val="bullet"/>
      <w:pStyle w:val="CEABullet-Level3"/>
      <w:lvlText w:val=""/>
      <w:lvlPicBulletId w:val="1"/>
      <w:lvlJc w:val="left"/>
      <w:pPr>
        <w:ind w:left="2673" w:hanging="360"/>
      </w:pPr>
      <w:rPr>
        <w:rFonts w:ascii="Symbol" w:hAnsi="Symbol" w:hint="default"/>
        <w:color w:val="auto"/>
      </w:rPr>
    </w:lvl>
    <w:lvl w:ilvl="1" w:tplc="080C0003" w:tentative="1">
      <w:start w:val="1"/>
      <w:numFmt w:val="bullet"/>
      <w:lvlText w:val="o"/>
      <w:lvlJc w:val="left"/>
      <w:pPr>
        <w:ind w:left="3393" w:hanging="360"/>
      </w:pPr>
      <w:rPr>
        <w:rFonts w:ascii="Courier New" w:hAnsi="Courier New" w:cs="Courier New" w:hint="default"/>
      </w:rPr>
    </w:lvl>
    <w:lvl w:ilvl="2" w:tplc="080C0005" w:tentative="1">
      <w:start w:val="1"/>
      <w:numFmt w:val="bullet"/>
      <w:lvlText w:val=""/>
      <w:lvlJc w:val="left"/>
      <w:pPr>
        <w:ind w:left="4113" w:hanging="360"/>
      </w:pPr>
      <w:rPr>
        <w:rFonts w:ascii="Wingdings" w:hAnsi="Wingdings" w:hint="default"/>
      </w:rPr>
    </w:lvl>
    <w:lvl w:ilvl="3" w:tplc="080C0001" w:tentative="1">
      <w:start w:val="1"/>
      <w:numFmt w:val="bullet"/>
      <w:lvlText w:val=""/>
      <w:lvlJc w:val="left"/>
      <w:pPr>
        <w:ind w:left="4833" w:hanging="360"/>
      </w:pPr>
      <w:rPr>
        <w:rFonts w:ascii="Symbol" w:hAnsi="Symbol" w:hint="default"/>
      </w:rPr>
    </w:lvl>
    <w:lvl w:ilvl="4" w:tplc="080C0003" w:tentative="1">
      <w:start w:val="1"/>
      <w:numFmt w:val="bullet"/>
      <w:lvlText w:val="o"/>
      <w:lvlJc w:val="left"/>
      <w:pPr>
        <w:ind w:left="5553" w:hanging="360"/>
      </w:pPr>
      <w:rPr>
        <w:rFonts w:ascii="Courier New" w:hAnsi="Courier New" w:cs="Courier New" w:hint="default"/>
      </w:rPr>
    </w:lvl>
    <w:lvl w:ilvl="5" w:tplc="080C0005" w:tentative="1">
      <w:start w:val="1"/>
      <w:numFmt w:val="bullet"/>
      <w:lvlText w:val=""/>
      <w:lvlJc w:val="left"/>
      <w:pPr>
        <w:ind w:left="6273" w:hanging="360"/>
      </w:pPr>
      <w:rPr>
        <w:rFonts w:ascii="Wingdings" w:hAnsi="Wingdings" w:hint="default"/>
      </w:rPr>
    </w:lvl>
    <w:lvl w:ilvl="6" w:tplc="080C0001" w:tentative="1">
      <w:start w:val="1"/>
      <w:numFmt w:val="bullet"/>
      <w:lvlText w:val=""/>
      <w:lvlJc w:val="left"/>
      <w:pPr>
        <w:ind w:left="6993" w:hanging="360"/>
      </w:pPr>
      <w:rPr>
        <w:rFonts w:ascii="Symbol" w:hAnsi="Symbol" w:hint="default"/>
      </w:rPr>
    </w:lvl>
    <w:lvl w:ilvl="7" w:tplc="080C0003" w:tentative="1">
      <w:start w:val="1"/>
      <w:numFmt w:val="bullet"/>
      <w:lvlText w:val="o"/>
      <w:lvlJc w:val="left"/>
      <w:pPr>
        <w:ind w:left="7713" w:hanging="360"/>
      </w:pPr>
      <w:rPr>
        <w:rFonts w:ascii="Courier New" w:hAnsi="Courier New" w:cs="Courier New" w:hint="default"/>
      </w:rPr>
    </w:lvl>
    <w:lvl w:ilvl="8" w:tplc="080C0005" w:tentative="1">
      <w:start w:val="1"/>
      <w:numFmt w:val="bullet"/>
      <w:lvlText w:val=""/>
      <w:lvlJc w:val="left"/>
      <w:pPr>
        <w:ind w:left="8433" w:hanging="360"/>
      </w:pPr>
      <w:rPr>
        <w:rFonts w:ascii="Wingdings" w:hAnsi="Wingdings" w:hint="default"/>
      </w:rPr>
    </w:lvl>
  </w:abstractNum>
  <w:abstractNum w:abstractNumId="15">
    <w:nsid w:val="48AC408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4F1408AA"/>
    <w:multiLevelType w:val="hybridMultilevel"/>
    <w:tmpl w:val="09429C4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0E20AF9"/>
    <w:multiLevelType w:val="hybridMultilevel"/>
    <w:tmpl w:val="50F08422"/>
    <w:lvl w:ilvl="0" w:tplc="0D8859D0">
      <w:start w:val="1"/>
      <w:numFmt w:val="bullet"/>
      <w:lvlText w:val=""/>
      <w:lvlPicBulletId w:val="3"/>
      <w:lvlJc w:val="left"/>
      <w:pPr>
        <w:tabs>
          <w:tab w:val="num" w:pos="873"/>
        </w:tabs>
        <w:ind w:left="873" w:hanging="360"/>
      </w:pPr>
      <w:rPr>
        <w:rFonts w:ascii="Symbol" w:hAnsi="Symbol" w:hint="default"/>
      </w:rPr>
    </w:lvl>
    <w:lvl w:ilvl="1" w:tplc="7090DE12">
      <w:start w:val="165"/>
      <w:numFmt w:val="bullet"/>
      <w:lvlText w:val=""/>
      <w:lvlPicBulletId w:val="4"/>
      <w:lvlJc w:val="left"/>
      <w:pPr>
        <w:tabs>
          <w:tab w:val="num" w:pos="1593"/>
        </w:tabs>
        <w:ind w:left="1593" w:hanging="360"/>
      </w:pPr>
      <w:rPr>
        <w:rFonts w:ascii="Symbol" w:hAnsi="Symbol" w:hint="default"/>
      </w:rPr>
    </w:lvl>
    <w:lvl w:ilvl="2" w:tplc="E40C36CC">
      <w:start w:val="165"/>
      <w:numFmt w:val="bullet"/>
      <w:lvlText w:val=""/>
      <w:lvlPicBulletId w:val="5"/>
      <w:lvlJc w:val="left"/>
      <w:pPr>
        <w:tabs>
          <w:tab w:val="num" w:pos="2313"/>
        </w:tabs>
        <w:ind w:left="2313" w:hanging="360"/>
      </w:pPr>
      <w:rPr>
        <w:rFonts w:ascii="Symbol" w:hAnsi="Symbol" w:hint="default"/>
      </w:rPr>
    </w:lvl>
    <w:lvl w:ilvl="3" w:tplc="16DC7A14">
      <w:start w:val="1"/>
      <w:numFmt w:val="bullet"/>
      <w:lvlText w:val=""/>
      <w:lvlPicBulletId w:val="3"/>
      <w:lvlJc w:val="left"/>
      <w:pPr>
        <w:tabs>
          <w:tab w:val="num" w:pos="3033"/>
        </w:tabs>
        <w:ind w:left="3033" w:hanging="360"/>
      </w:pPr>
      <w:rPr>
        <w:rFonts w:ascii="Symbol" w:hAnsi="Symbol" w:hint="default"/>
      </w:rPr>
    </w:lvl>
    <w:lvl w:ilvl="4" w:tplc="B23E7F52" w:tentative="1">
      <w:start w:val="1"/>
      <w:numFmt w:val="bullet"/>
      <w:lvlText w:val=""/>
      <w:lvlPicBulletId w:val="3"/>
      <w:lvlJc w:val="left"/>
      <w:pPr>
        <w:tabs>
          <w:tab w:val="num" w:pos="3753"/>
        </w:tabs>
        <w:ind w:left="3753" w:hanging="360"/>
      </w:pPr>
      <w:rPr>
        <w:rFonts w:ascii="Symbol" w:hAnsi="Symbol" w:hint="default"/>
      </w:rPr>
    </w:lvl>
    <w:lvl w:ilvl="5" w:tplc="11C4D3D2" w:tentative="1">
      <w:start w:val="1"/>
      <w:numFmt w:val="bullet"/>
      <w:lvlText w:val=""/>
      <w:lvlPicBulletId w:val="3"/>
      <w:lvlJc w:val="left"/>
      <w:pPr>
        <w:tabs>
          <w:tab w:val="num" w:pos="4473"/>
        </w:tabs>
        <w:ind w:left="4473" w:hanging="360"/>
      </w:pPr>
      <w:rPr>
        <w:rFonts w:ascii="Symbol" w:hAnsi="Symbol" w:hint="default"/>
      </w:rPr>
    </w:lvl>
    <w:lvl w:ilvl="6" w:tplc="D3726356" w:tentative="1">
      <w:start w:val="1"/>
      <w:numFmt w:val="bullet"/>
      <w:lvlText w:val=""/>
      <w:lvlPicBulletId w:val="3"/>
      <w:lvlJc w:val="left"/>
      <w:pPr>
        <w:tabs>
          <w:tab w:val="num" w:pos="5193"/>
        </w:tabs>
        <w:ind w:left="5193" w:hanging="360"/>
      </w:pPr>
      <w:rPr>
        <w:rFonts w:ascii="Symbol" w:hAnsi="Symbol" w:hint="default"/>
      </w:rPr>
    </w:lvl>
    <w:lvl w:ilvl="7" w:tplc="417A4466" w:tentative="1">
      <w:start w:val="1"/>
      <w:numFmt w:val="bullet"/>
      <w:lvlText w:val=""/>
      <w:lvlPicBulletId w:val="3"/>
      <w:lvlJc w:val="left"/>
      <w:pPr>
        <w:tabs>
          <w:tab w:val="num" w:pos="5913"/>
        </w:tabs>
        <w:ind w:left="5913" w:hanging="360"/>
      </w:pPr>
      <w:rPr>
        <w:rFonts w:ascii="Symbol" w:hAnsi="Symbol" w:hint="default"/>
      </w:rPr>
    </w:lvl>
    <w:lvl w:ilvl="8" w:tplc="8BE07814" w:tentative="1">
      <w:start w:val="1"/>
      <w:numFmt w:val="bullet"/>
      <w:lvlText w:val=""/>
      <w:lvlPicBulletId w:val="3"/>
      <w:lvlJc w:val="left"/>
      <w:pPr>
        <w:tabs>
          <w:tab w:val="num" w:pos="6633"/>
        </w:tabs>
        <w:ind w:left="6633" w:hanging="360"/>
      </w:pPr>
      <w:rPr>
        <w:rFonts w:ascii="Symbol" w:hAnsi="Symbol" w:hint="default"/>
      </w:rPr>
    </w:lvl>
  </w:abstractNum>
  <w:abstractNum w:abstractNumId="18">
    <w:nsid w:val="699E2B88"/>
    <w:multiLevelType w:val="hybridMultilevel"/>
    <w:tmpl w:val="636CBA02"/>
    <w:lvl w:ilvl="0" w:tplc="2CF65F2A">
      <w:start w:val="165"/>
      <w:numFmt w:val="bullet"/>
      <w:pStyle w:val="CEABullet-Level1"/>
      <w:lvlText w:val=""/>
      <w:lvlPicBulletId w:val="0"/>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nsid w:val="7AEB4D5B"/>
    <w:multiLevelType w:val="hybridMultilevel"/>
    <w:tmpl w:val="27B25D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5"/>
  </w:num>
  <w:num w:numId="13">
    <w:abstractNumId w:val="12"/>
  </w:num>
  <w:num w:numId="14">
    <w:abstractNumId w:val="18"/>
  </w:num>
  <w:num w:numId="15">
    <w:abstractNumId w:val="14"/>
  </w:num>
  <w:num w:numId="16">
    <w:abstractNumId w:val="10"/>
  </w:num>
  <w:num w:numId="17">
    <w:abstractNumId w:val="13"/>
  </w:num>
  <w:num w:numId="18">
    <w:abstractNumId w:val="16"/>
  </w:num>
  <w:num w:numId="19">
    <w:abstractNumId w:val="19"/>
  </w:num>
  <w:num w:numId="20">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8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1"/>
  <w:stylePaneSortMethod w:val="0000"/>
  <w:defaultTabStop w:val="1134"/>
  <w:hyphenationZone w:val="425"/>
  <w:characterSpacingControl w:val="doNotCompress"/>
  <w:hdrShapeDefaults>
    <o:shapedefaults v:ext="edit" spidmax="2050">
      <o:colormru v:ext="edit" colors="#034ea2,#5d9ef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B3A"/>
    <w:rsid w:val="00000622"/>
    <w:rsid w:val="000011C1"/>
    <w:rsid w:val="00001EBB"/>
    <w:rsid w:val="00006017"/>
    <w:rsid w:val="00010B8A"/>
    <w:rsid w:val="00011F6C"/>
    <w:rsid w:val="000233DD"/>
    <w:rsid w:val="00034910"/>
    <w:rsid w:val="000354FA"/>
    <w:rsid w:val="00035C6C"/>
    <w:rsid w:val="00037FBF"/>
    <w:rsid w:val="00043095"/>
    <w:rsid w:val="00044495"/>
    <w:rsid w:val="00044ECB"/>
    <w:rsid w:val="00047182"/>
    <w:rsid w:val="0004778B"/>
    <w:rsid w:val="000516AA"/>
    <w:rsid w:val="00062772"/>
    <w:rsid w:val="00065779"/>
    <w:rsid w:val="00074937"/>
    <w:rsid w:val="00076557"/>
    <w:rsid w:val="0007785C"/>
    <w:rsid w:val="000810B2"/>
    <w:rsid w:val="000846C0"/>
    <w:rsid w:val="000869E1"/>
    <w:rsid w:val="0008722C"/>
    <w:rsid w:val="00087F5D"/>
    <w:rsid w:val="00091FFD"/>
    <w:rsid w:val="0009470E"/>
    <w:rsid w:val="00094AED"/>
    <w:rsid w:val="00094F94"/>
    <w:rsid w:val="00095134"/>
    <w:rsid w:val="00096E89"/>
    <w:rsid w:val="000A3157"/>
    <w:rsid w:val="000A5C74"/>
    <w:rsid w:val="000B0B48"/>
    <w:rsid w:val="000B175C"/>
    <w:rsid w:val="000B1B74"/>
    <w:rsid w:val="000B32DF"/>
    <w:rsid w:val="000C061F"/>
    <w:rsid w:val="000C0B39"/>
    <w:rsid w:val="000C1585"/>
    <w:rsid w:val="000C2041"/>
    <w:rsid w:val="000D3234"/>
    <w:rsid w:val="000E12A5"/>
    <w:rsid w:val="000E1C9B"/>
    <w:rsid w:val="000E47C1"/>
    <w:rsid w:val="000E763B"/>
    <w:rsid w:val="000F1F78"/>
    <w:rsid w:val="000F296B"/>
    <w:rsid w:val="00100FC6"/>
    <w:rsid w:val="00110230"/>
    <w:rsid w:val="00113142"/>
    <w:rsid w:val="00113305"/>
    <w:rsid w:val="00113F11"/>
    <w:rsid w:val="00120A99"/>
    <w:rsid w:val="00126148"/>
    <w:rsid w:val="001262D9"/>
    <w:rsid w:val="00127A6C"/>
    <w:rsid w:val="0013682A"/>
    <w:rsid w:val="00146DE0"/>
    <w:rsid w:val="00154F0E"/>
    <w:rsid w:val="001603D7"/>
    <w:rsid w:val="00164309"/>
    <w:rsid w:val="001649DC"/>
    <w:rsid w:val="0017141D"/>
    <w:rsid w:val="00172CC0"/>
    <w:rsid w:val="00174598"/>
    <w:rsid w:val="00182068"/>
    <w:rsid w:val="00182700"/>
    <w:rsid w:val="0018318B"/>
    <w:rsid w:val="00195A38"/>
    <w:rsid w:val="001964BE"/>
    <w:rsid w:val="001A022F"/>
    <w:rsid w:val="001A0BB7"/>
    <w:rsid w:val="001A50F7"/>
    <w:rsid w:val="001A75E9"/>
    <w:rsid w:val="001B0A3A"/>
    <w:rsid w:val="001B1E41"/>
    <w:rsid w:val="001B29F2"/>
    <w:rsid w:val="001C0EE5"/>
    <w:rsid w:val="001D600E"/>
    <w:rsid w:val="001E0CCF"/>
    <w:rsid w:val="001F6433"/>
    <w:rsid w:val="001F6EFC"/>
    <w:rsid w:val="00200EEC"/>
    <w:rsid w:val="0020115F"/>
    <w:rsid w:val="00201751"/>
    <w:rsid w:val="00203504"/>
    <w:rsid w:val="00205DE0"/>
    <w:rsid w:val="002062A6"/>
    <w:rsid w:val="00211FAE"/>
    <w:rsid w:val="002143D1"/>
    <w:rsid w:val="00214D71"/>
    <w:rsid w:val="00226415"/>
    <w:rsid w:val="00231943"/>
    <w:rsid w:val="00234644"/>
    <w:rsid w:val="002349AC"/>
    <w:rsid w:val="00242E2D"/>
    <w:rsid w:val="00244031"/>
    <w:rsid w:val="0024630B"/>
    <w:rsid w:val="0024638B"/>
    <w:rsid w:val="002531AA"/>
    <w:rsid w:val="002531B2"/>
    <w:rsid w:val="00253AD9"/>
    <w:rsid w:val="00254BC5"/>
    <w:rsid w:val="00263C3C"/>
    <w:rsid w:val="002644FF"/>
    <w:rsid w:val="00264FF8"/>
    <w:rsid w:val="00275373"/>
    <w:rsid w:val="00280821"/>
    <w:rsid w:val="002810CD"/>
    <w:rsid w:val="00281A6F"/>
    <w:rsid w:val="002820FB"/>
    <w:rsid w:val="002825EA"/>
    <w:rsid w:val="00283ADA"/>
    <w:rsid w:val="00290CF9"/>
    <w:rsid w:val="00290D37"/>
    <w:rsid w:val="00292DE8"/>
    <w:rsid w:val="0029642B"/>
    <w:rsid w:val="002A26FA"/>
    <w:rsid w:val="002A5B60"/>
    <w:rsid w:val="002A5DA1"/>
    <w:rsid w:val="002A6E93"/>
    <w:rsid w:val="002A7B00"/>
    <w:rsid w:val="002A7D7C"/>
    <w:rsid w:val="002B0F0A"/>
    <w:rsid w:val="002B30E8"/>
    <w:rsid w:val="002B72A8"/>
    <w:rsid w:val="002C3275"/>
    <w:rsid w:val="002C35B0"/>
    <w:rsid w:val="002C3A0E"/>
    <w:rsid w:val="002C6607"/>
    <w:rsid w:val="002C74D1"/>
    <w:rsid w:val="002D142B"/>
    <w:rsid w:val="002D3146"/>
    <w:rsid w:val="002E027B"/>
    <w:rsid w:val="002E0975"/>
    <w:rsid w:val="002E0C74"/>
    <w:rsid w:val="002E14A8"/>
    <w:rsid w:val="002E2F8B"/>
    <w:rsid w:val="002E5E12"/>
    <w:rsid w:val="002E5EDF"/>
    <w:rsid w:val="002E6CA2"/>
    <w:rsid w:val="002F0FBF"/>
    <w:rsid w:val="002F30BB"/>
    <w:rsid w:val="002F55BB"/>
    <w:rsid w:val="00303D59"/>
    <w:rsid w:val="003059C9"/>
    <w:rsid w:val="003102F1"/>
    <w:rsid w:val="00313C83"/>
    <w:rsid w:val="00317DA0"/>
    <w:rsid w:val="00317F56"/>
    <w:rsid w:val="0032023C"/>
    <w:rsid w:val="00331C99"/>
    <w:rsid w:val="003329BA"/>
    <w:rsid w:val="00333702"/>
    <w:rsid w:val="00340958"/>
    <w:rsid w:val="00342398"/>
    <w:rsid w:val="0034517E"/>
    <w:rsid w:val="00345FDD"/>
    <w:rsid w:val="00351F64"/>
    <w:rsid w:val="00353F7E"/>
    <w:rsid w:val="003559C3"/>
    <w:rsid w:val="00355B82"/>
    <w:rsid w:val="0036339B"/>
    <w:rsid w:val="00364327"/>
    <w:rsid w:val="00364C8C"/>
    <w:rsid w:val="003677EA"/>
    <w:rsid w:val="00374464"/>
    <w:rsid w:val="003756BA"/>
    <w:rsid w:val="00375EB4"/>
    <w:rsid w:val="00376401"/>
    <w:rsid w:val="00384458"/>
    <w:rsid w:val="00387F65"/>
    <w:rsid w:val="00390E2A"/>
    <w:rsid w:val="00391193"/>
    <w:rsid w:val="003944DA"/>
    <w:rsid w:val="00394BF7"/>
    <w:rsid w:val="003969F8"/>
    <w:rsid w:val="003A0F7B"/>
    <w:rsid w:val="003A46B8"/>
    <w:rsid w:val="003B357D"/>
    <w:rsid w:val="003C2276"/>
    <w:rsid w:val="003C72E8"/>
    <w:rsid w:val="003D0347"/>
    <w:rsid w:val="003D0CCD"/>
    <w:rsid w:val="003D1833"/>
    <w:rsid w:val="003D1BDE"/>
    <w:rsid w:val="003E0EC1"/>
    <w:rsid w:val="003E1AA5"/>
    <w:rsid w:val="003E1B09"/>
    <w:rsid w:val="003E30DD"/>
    <w:rsid w:val="003E36CF"/>
    <w:rsid w:val="003E37E8"/>
    <w:rsid w:val="00400FD0"/>
    <w:rsid w:val="00404DAA"/>
    <w:rsid w:val="004050B0"/>
    <w:rsid w:val="00406E8F"/>
    <w:rsid w:val="004109EA"/>
    <w:rsid w:val="00410AB0"/>
    <w:rsid w:val="0041161E"/>
    <w:rsid w:val="00411938"/>
    <w:rsid w:val="0041481F"/>
    <w:rsid w:val="00415C70"/>
    <w:rsid w:val="004209C3"/>
    <w:rsid w:val="00420FCF"/>
    <w:rsid w:val="004224DC"/>
    <w:rsid w:val="00430879"/>
    <w:rsid w:val="0043493A"/>
    <w:rsid w:val="0043659E"/>
    <w:rsid w:val="00442487"/>
    <w:rsid w:val="00447293"/>
    <w:rsid w:val="00453D66"/>
    <w:rsid w:val="00454785"/>
    <w:rsid w:val="004552CC"/>
    <w:rsid w:val="004570EA"/>
    <w:rsid w:val="004575F9"/>
    <w:rsid w:val="00460326"/>
    <w:rsid w:val="0046412F"/>
    <w:rsid w:val="0046741D"/>
    <w:rsid w:val="00473B09"/>
    <w:rsid w:val="00474786"/>
    <w:rsid w:val="00477D81"/>
    <w:rsid w:val="004806C0"/>
    <w:rsid w:val="004820CF"/>
    <w:rsid w:val="00483847"/>
    <w:rsid w:val="00483EE4"/>
    <w:rsid w:val="00487BF6"/>
    <w:rsid w:val="00494470"/>
    <w:rsid w:val="00495D24"/>
    <w:rsid w:val="00495D62"/>
    <w:rsid w:val="004A0078"/>
    <w:rsid w:val="004A10DB"/>
    <w:rsid w:val="004A168A"/>
    <w:rsid w:val="004A20A4"/>
    <w:rsid w:val="004A2505"/>
    <w:rsid w:val="004B1CA7"/>
    <w:rsid w:val="004B2740"/>
    <w:rsid w:val="004B2BA5"/>
    <w:rsid w:val="004B45B7"/>
    <w:rsid w:val="004B6DBE"/>
    <w:rsid w:val="004B6FFC"/>
    <w:rsid w:val="004C3EB9"/>
    <w:rsid w:val="004C68DC"/>
    <w:rsid w:val="004C7ACC"/>
    <w:rsid w:val="004D2F99"/>
    <w:rsid w:val="004D338B"/>
    <w:rsid w:val="004D72CC"/>
    <w:rsid w:val="004E0668"/>
    <w:rsid w:val="004E52C3"/>
    <w:rsid w:val="004F0038"/>
    <w:rsid w:val="004F74A9"/>
    <w:rsid w:val="005017B3"/>
    <w:rsid w:val="0050195D"/>
    <w:rsid w:val="005019D3"/>
    <w:rsid w:val="0050432C"/>
    <w:rsid w:val="0050436A"/>
    <w:rsid w:val="0050522A"/>
    <w:rsid w:val="005053B8"/>
    <w:rsid w:val="00510951"/>
    <w:rsid w:val="00512C7C"/>
    <w:rsid w:val="00514535"/>
    <w:rsid w:val="00516FCD"/>
    <w:rsid w:val="0051748E"/>
    <w:rsid w:val="00517FE2"/>
    <w:rsid w:val="0052539F"/>
    <w:rsid w:val="0052555D"/>
    <w:rsid w:val="005306D6"/>
    <w:rsid w:val="00531D9D"/>
    <w:rsid w:val="00532614"/>
    <w:rsid w:val="00534F69"/>
    <w:rsid w:val="00535BEB"/>
    <w:rsid w:val="00541E62"/>
    <w:rsid w:val="00542701"/>
    <w:rsid w:val="00546745"/>
    <w:rsid w:val="00547A29"/>
    <w:rsid w:val="00556765"/>
    <w:rsid w:val="00556D7A"/>
    <w:rsid w:val="00560448"/>
    <w:rsid w:val="00563911"/>
    <w:rsid w:val="00567AC6"/>
    <w:rsid w:val="005715F6"/>
    <w:rsid w:val="00572044"/>
    <w:rsid w:val="00575E24"/>
    <w:rsid w:val="00581B23"/>
    <w:rsid w:val="005913BF"/>
    <w:rsid w:val="00592B3B"/>
    <w:rsid w:val="00594BD0"/>
    <w:rsid w:val="005958C7"/>
    <w:rsid w:val="005A261D"/>
    <w:rsid w:val="005A4B6A"/>
    <w:rsid w:val="005A5A31"/>
    <w:rsid w:val="005A6190"/>
    <w:rsid w:val="005B26FC"/>
    <w:rsid w:val="005B3B48"/>
    <w:rsid w:val="005B3C3D"/>
    <w:rsid w:val="005B4CF7"/>
    <w:rsid w:val="005C0D74"/>
    <w:rsid w:val="005C2C81"/>
    <w:rsid w:val="005C5307"/>
    <w:rsid w:val="005D14DF"/>
    <w:rsid w:val="005D17FB"/>
    <w:rsid w:val="005D20A5"/>
    <w:rsid w:val="005D2139"/>
    <w:rsid w:val="005D224D"/>
    <w:rsid w:val="005D3770"/>
    <w:rsid w:val="005E055F"/>
    <w:rsid w:val="005F3091"/>
    <w:rsid w:val="005F4358"/>
    <w:rsid w:val="005F7B6A"/>
    <w:rsid w:val="006014B5"/>
    <w:rsid w:val="00601ECE"/>
    <w:rsid w:val="006029D8"/>
    <w:rsid w:val="00606966"/>
    <w:rsid w:val="0061533A"/>
    <w:rsid w:val="006166C1"/>
    <w:rsid w:val="00620088"/>
    <w:rsid w:val="006261F2"/>
    <w:rsid w:val="00633549"/>
    <w:rsid w:val="00634ABE"/>
    <w:rsid w:val="006433FE"/>
    <w:rsid w:val="00651372"/>
    <w:rsid w:val="006560D8"/>
    <w:rsid w:val="006573AB"/>
    <w:rsid w:val="006644C4"/>
    <w:rsid w:val="00665335"/>
    <w:rsid w:val="00666D90"/>
    <w:rsid w:val="0067149E"/>
    <w:rsid w:val="00674028"/>
    <w:rsid w:val="00675E2C"/>
    <w:rsid w:val="00681BBA"/>
    <w:rsid w:val="00683873"/>
    <w:rsid w:val="00685E93"/>
    <w:rsid w:val="00686649"/>
    <w:rsid w:val="006903EC"/>
    <w:rsid w:val="0069273B"/>
    <w:rsid w:val="00694554"/>
    <w:rsid w:val="006A25E3"/>
    <w:rsid w:val="006A2E6C"/>
    <w:rsid w:val="006A3230"/>
    <w:rsid w:val="006A6B2E"/>
    <w:rsid w:val="006B0B7F"/>
    <w:rsid w:val="006B3A45"/>
    <w:rsid w:val="006D0265"/>
    <w:rsid w:val="006D096C"/>
    <w:rsid w:val="006D0BD8"/>
    <w:rsid w:val="006D155B"/>
    <w:rsid w:val="006D4719"/>
    <w:rsid w:val="006E34BD"/>
    <w:rsid w:val="006F2F66"/>
    <w:rsid w:val="006F6337"/>
    <w:rsid w:val="00705738"/>
    <w:rsid w:val="00707B86"/>
    <w:rsid w:val="00710608"/>
    <w:rsid w:val="00712888"/>
    <w:rsid w:val="00714494"/>
    <w:rsid w:val="00722867"/>
    <w:rsid w:val="00723957"/>
    <w:rsid w:val="007244F3"/>
    <w:rsid w:val="00731DB3"/>
    <w:rsid w:val="007349E1"/>
    <w:rsid w:val="0073634A"/>
    <w:rsid w:val="0073747B"/>
    <w:rsid w:val="0074020E"/>
    <w:rsid w:val="007405FE"/>
    <w:rsid w:val="00740784"/>
    <w:rsid w:val="007459B2"/>
    <w:rsid w:val="0074665F"/>
    <w:rsid w:val="00747CB3"/>
    <w:rsid w:val="00753709"/>
    <w:rsid w:val="007537B1"/>
    <w:rsid w:val="0075389D"/>
    <w:rsid w:val="00774DC1"/>
    <w:rsid w:val="007750FF"/>
    <w:rsid w:val="00775D13"/>
    <w:rsid w:val="00777A2E"/>
    <w:rsid w:val="00783DDF"/>
    <w:rsid w:val="00785B8F"/>
    <w:rsid w:val="007A30A4"/>
    <w:rsid w:val="007A6454"/>
    <w:rsid w:val="007A6D3C"/>
    <w:rsid w:val="007B2CE8"/>
    <w:rsid w:val="007C10AC"/>
    <w:rsid w:val="007C5693"/>
    <w:rsid w:val="007C705A"/>
    <w:rsid w:val="007D6975"/>
    <w:rsid w:val="007E3EC4"/>
    <w:rsid w:val="007E41A3"/>
    <w:rsid w:val="007E5CA8"/>
    <w:rsid w:val="007E7781"/>
    <w:rsid w:val="007F1CB0"/>
    <w:rsid w:val="007F53B8"/>
    <w:rsid w:val="0080047E"/>
    <w:rsid w:val="00801A88"/>
    <w:rsid w:val="00801BF0"/>
    <w:rsid w:val="00805A0D"/>
    <w:rsid w:val="00810054"/>
    <w:rsid w:val="0081274D"/>
    <w:rsid w:val="008136E0"/>
    <w:rsid w:val="00813FF5"/>
    <w:rsid w:val="00816B7B"/>
    <w:rsid w:val="00816C52"/>
    <w:rsid w:val="00817E41"/>
    <w:rsid w:val="00820C9A"/>
    <w:rsid w:val="008224E9"/>
    <w:rsid w:val="0084632B"/>
    <w:rsid w:val="00846FB6"/>
    <w:rsid w:val="008554A3"/>
    <w:rsid w:val="008560E8"/>
    <w:rsid w:val="00857299"/>
    <w:rsid w:val="0086263E"/>
    <w:rsid w:val="008641E8"/>
    <w:rsid w:val="0086529B"/>
    <w:rsid w:val="00872189"/>
    <w:rsid w:val="00881AFE"/>
    <w:rsid w:val="00884A46"/>
    <w:rsid w:val="00884F7D"/>
    <w:rsid w:val="00892F3A"/>
    <w:rsid w:val="0089401C"/>
    <w:rsid w:val="0089477A"/>
    <w:rsid w:val="0089703C"/>
    <w:rsid w:val="0089761C"/>
    <w:rsid w:val="008A5396"/>
    <w:rsid w:val="008A739E"/>
    <w:rsid w:val="008B53F1"/>
    <w:rsid w:val="008B5E70"/>
    <w:rsid w:val="008C0686"/>
    <w:rsid w:val="008C3271"/>
    <w:rsid w:val="008C3A3F"/>
    <w:rsid w:val="008D48F8"/>
    <w:rsid w:val="008D4D50"/>
    <w:rsid w:val="008D704E"/>
    <w:rsid w:val="008D7BC8"/>
    <w:rsid w:val="008E3270"/>
    <w:rsid w:val="008F4439"/>
    <w:rsid w:val="008F48AD"/>
    <w:rsid w:val="008F6E21"/>
    <w:rsid w:val="00900150"/>
    <w:rsid w:val="009016DE"/>
    <w:rsid w:val="00902DB0"/>
    <w:rsid w:val="009046CD"/>
    <w:rsid w:val="00904957"/>
    <w:rsid w:val="0090534C"/>
    <w:rsid w:val="00905EE9"/>
    <w:rsid w:val="00907D6C"/>
    <w:rsid w:val="0091279E"/>
    <w:rsid w:val="00913289"/>
    <w:rsid w:val="00916702"/>
    <w:rsid w:val="00917C5E"/>
    <w:rsid w:val="00921697"/>
    <w:rsid w:val="00924297"/>
    <w:rsid w:val="00932976"/>
    <w:rsid w:val="00933E4B"/>
    <w:rsid w:val="00933F44"/>
    <w:rsid w:val="00934EFF"/>
    <w:rsid w:val="009375A2"/>
    <w:rsid w:val="00943EDC"/>
    <w:rsid w:val="00946CC2"/>
    <w:rsid w:val="00947B48"/>
    <w:rsid w:val="00952041"/>
    <w:rsid w:val="00955CB5"/>
    <w:rsid w:val="009574E7"/>
    <w:rsid w:val="00957DF2"/>
    <w:rsid w:val="0096252F"/>
    <w:rsid w:val="0096519C"/>
    <w:rsid w:val="009652F3"/>
    <w:rsid w:val="009654A1"/>
    <w:rsid w:val="00966CBF"/>
    <w:rsid w:val="00967C31"/>
    <w:rsid w:val="009702D7"/>
    <w:rsid w:val="00972012"/>
    <w:rsid w:val="0097329E"/>
    <w:rsid w:val="0097345C"/>
    <w:rsid w:val="009864CB"/>
    <w:rsid w:val="00987B2A"/>
    <w:rsid w:val="00987FBC"/>
    <w:rsid w:val="009B7083"/>
    <w:rsid w:val="009C520E"/>
    <w:rsid w:val="009C6601"/>
    <w:rsid w:val="009E0B5C"/>
    <w:rsid w:val="009E1C04"/>
    <w:rsid w:val="009E1C73"/>
    <w:rsid w:val="009E510A"/>
    <w:rsid w:val="009F022D"/>
    <w:rsid w:val="009F03C9"/>
    <w:rsid w:val="009F45DA"/>
    <w:rsid w:val="009F47E1"/>
    <w:rsid w:val="009F4F52"/>
    <w:rsid w:val="009F604E"/>
    <w:rsid w:val="00A0081B"/>
    <w:rsid w:val="00A019E6"/>
    <w:rsid w:val="00A02279"/>
    <w:rsid w:val="00A05CEA"/>
    <w:rsid w:val="00A06504"/>
    <w:rsid w:val="00A06A28"/>
    <w:rsid w:val="00A07415"/>
    <w:rsid w:val="00A107DA"/>
    <w:rsid w:val="00A14119"/>
    <w:rsid w:val="00A20035"/>
    <w:rsid w:val="00A23C76"/>
    <w:rsid w:val="00A24497"/>
    <w:rsid w:val="00A339A4"/>
    <w:rsid w:val="00A3409F"/>
    <w:rsid w:val="00A37DB2"/>
    <w:rsid w:val="00A4306D"/>
    <w:rsid w:val="00A44A0D"/>
    <w:rsid w:val="00A44EEF"/>
    <w:rsid w:val="00A45EA1"/>
    <w:rsid w:val="00A45EA5"/>
    <w:rsid w:val="00A45F7D"/>
    <w:rsid w:val="00A46610"/>
    <w:rsid w:val="00A50222"/>
    <w:rsid w:val="00A5196B"/>
    <w:rsid w:val="00A55792"/>
    <w:rsid w:val="00A56B27"/>
    <w:rsid w:val="00A57571"/>
    <w:rsid w:val="00A57631"/>
    <w:rsid w:val="00A600AB"/>
    <w:rsid w:val="00A61790"/>
    <w:rsid w:val="00A632FC"/>
    <w:rsid w:val="00A63CC0"/>
    <w:rsid w:val="00A67294"/>
    <w:rsid w:val="00A677E9"/>
    <w:rsid w:val="00A678F8"/>
    <w:rsid w:val="00A73A22"/>
    <w:rsid w:val="00A75035"/>
    <w:rsid w:val="00A76FD2"/>
    <w:rsid w:val="00A8130B"/>
    <w:rsid w:val="00A82035"/>
    <w:rsid w:val="00A841EE"/>
    <w:rsid w:val="00A84B61"/>
    <w:rsid w:val="00A9408A"/>
    <w:rsid w:val="00A9430A"/>
    <w:rsid w:val="00A948D4"/>
    <w:rsid w:val="00AA23BE"/>
    <w:rsid w:val="00AA3040"/>
    <w:rsid w:val="00AA5029"/>
    <w:rsid w:val="00AA5413"/>
    <w:rsid w:val="00AB148D"/>
    <w:rsid w:val="00AB7DE4"/>
    <w:rsid w:val="00AC1770"/>
    <w:rsid w:val="00AD4080"/>
    <w:rsid w:val="00AD4B9B"/>
    <w:rsid w:val="00AD624C"/>
    <w:rsid w:val="00AD735F"/>
    <w:rsid w:val="00AD7F68"/>
    <w:rsid w:val="00AE0559"/>
    <w:rsid w:val="00AE2018"/>
    <w:rsid w:val="00AF3871"/>
    <w:rsid w:val="00AF3A07"/>
    <w:rsid w:val="00AF457F"/>
    <w:rsid w:val="00AF7019"/>
    <w:rsid w:val="00AF7A50"/>
    <w:rsid w:val="00B12089"/>
    <w:rsid w:val="00B1269A"/>
    <w:rsid w:val="00B14E82"/>
    <w:rsid w:val="00B15130"/>
    <w:rsid w:val="00B16FAE"/>
    <w:rsid w:val="00B2434E"/>
    <w:rsid w:val="00B316E4"/>
    <w:rsid w:val="00B41BAC"/>
    <w:rsid w:val="00B4429F"/>
    <w:rsid w:val="00B45C93"/>
    <w:rsid w:val="00B50D4A"/>
    <w:rsid w:val="00B549F1"/>
    <w:rsid w:val="00B557FE"/>
    <w:rsid w:val="00B612D6"/>
    <w:rsid w:val="00B62C5B"/>
    <w:rsid w:val="00B64DA7"/>
    <w:rsid w:val="00B673B7"/>
    <w:rsid w:val="00B6747E"/>
    <w:rsid w:val="00B77A0B"/>
    <w:rsid w:val="00B77C4B"/>
    <w:rsid w:val="00B80FC4"/>
    <w:rsid w:val="00B84010"/>
    <w:rsid w:val="00B84551"/>
    <w:rsid w:val="00B85BAB"/>
    <w:rsid w:val="00B929A9"/>
    <w:rsid w:val="00B943A6"/>
    <w:rsid w:val="00B94B8A"/>
    <w:rsid w:val="00B952BA"/>
    <w:rsid w:val="00B96677"/>
    <w:rsid w:val="00BA0174"/>
    <w:rsid w:val="00BA0C9C"/>
    <w:rsid w:val="00BA104E"/>
    <w:rsid w:val="00BA2293"/>
    <w:rsid w:val="00BA424E"/>
    <w:rsid w:val="00BA5B42"/>
    <w:rsid w:val="00BB09A2"/>
    <w:rsid w:val="00BB31C2"/>
    <w:rsid w:val="00BB3E93"/>
    <w:rsid w:val="00BB4445"/>
    <w:rsid w:val="00BB581B"/>
    <w:rsid w:val="00BC2057"/>
    <w:rsid w:val="00BC2541"/>
    <w:rsid w:val="00BC37DA"/>
    <w:rsid w:val="00BC43B5"/>
    <w:rsid w:val="00BC5C3D"/>
    <w:rsid w:val="00BC6EA7"/>
    <w:rsid w:val="00BD0817"/>
    <w:rsid w:val="00BD211F"/>
    <w:rsid w:val="00BD3347"/>
    <w:rsid w:val="00BD3FDA"/>
    <w:rsid w:val="00BD5EF2"/>
    <w:rsid w:val="00BD7265"/>
    <w:rsid w:val="00BD7E6E"/>
    <w:rsid w:val="00BE0D72"/>
    <w:rsid w:val="00BE71A7"/>
    <w:rsid w:val="00BE797B"/>
    <w:rsid w:val="00BF2BD5"/>
    <w:rsid w:val="00BF3A9C"/>
    <w:rsid w:val="00BF6216"/>
    <w:rsid w:val="00BF7A37"/>
    <w:rsid w:val="00C00FB0"/>
    <w:rsid w:val="00C02C74"/>
    <w:rsid w:val="00C060D1"/>
    <w:rsid w:val="00C118F5"/>
    <w:rsid w:val="00C14C59"/>
    <w:rsid w:val="00C21EB9"/>
    <w:rsid w:val="00C23324"/>
    <w:rsid w:val="00C24175"/>
    <w:rsid w:val="00C24706"/>
    <w:rsid w:val="00C277B0"/>
    <w:rsid w:val="00C4206C"/>
    <w:rsid w:val="00C440C7"/>
    <w:rsid w:val="00C51E20"/>
    <w:rsid w:val="00C5567A"/>
    <w:rsid w:val="00C5581E"/>
    <w:rsid w:val="00C606AC"/>
    <w:rsid w:val="00C6152C"/>
    <w:rsid w:val="00C61DFE"/>
    <w:rsid w:val="00C712BF"/>
    <w:rsid w:val="00C727A5"/>
    <w:rsid w:val="00C77F3C"/>
    <w:rsid w:val="00C818FB"/>
    <w:rsid w:val="00C82E56"/>
    <w:rsid w:val="00C865C5"/>
    <w:rsid w:val="00C9560C"/>
    <w:rsid w:val="00C967E4"/>
    <w:rsid w:val="00C967E6"/>
    <w:rsid w:val="00CA26CE"/>
    <w:rsid w:val="00CA5E0D"/>
    <w:rsid w:val="00CA5F18"/>
    <w:rsid w:val="00CB1C74"/>
    <w:rsid w:val="00CB535F"/>
    <w:rsid w:val="00CC045C"/>
    <w:rsid w:val="00CC2772"/>
    <w:rsid w:val="00CD0630"/>
    <w:rsid w:val="00CD1028"/>
    <w:rsid w:val="00CD1627"/>
    <w:rsid w:val="00CD51F6"/>
    <w:rsid w:val="00CE1913"/>
    <w:rsid w:val="00CE2A40"/>
    <w:rsid w:val="00CE30FB"/>
    <w:rsid w:val="00CE5F76"/>
    <w:rsid w:val="00CE5FAC"/>
    <w:rsid w:val="00CF0221"/>
    <w:rsid w:val="00CF09CC"/>
    <w:rsid w:val="00CF4939"/>
    <w:rsid w:val="00CF642D"/>
    <w:rsid w:val="00D029CA"/>
    <w:rsid w:val="00D11161"/>
    <w:rsid w:val="00D1453C"/>
    <w:rsid w:val="00D1608F"/>
    <w:rsid w:val="00D24391"/>
    <w:rsid w:val="00D30207"/>
    <w:rsid w:val="00D35D2F"/>
    <w:rsid w:val="00D36236"/>
    <w:rsid w:val="00D46C81"/>
    <w:rsid w:val="00D545D2"/>
    <w:rsid w:val="00D57303"/>
    <w:rsid w:val="00D61B2A"/>
    <w:rsid w:val="00D631C6"/>
    <w:rsid w:val="00D64530"/>
    <w:rsid w:val="00D73A39"/>
    <w:rsid w:val="00D74E03"/>
    <w:rsid w:val="00D82B7C"/>
    <w:rsid w:val="00D84F59"/>
    <w:rsid w:val="00D87907"/>
    <w:rsid w:val="00D93198"/>
    <w:rsid w:val="00D95951"/>
    <w:rsid w:val="00D95A83"/>
    <w:rsid w:val="00DA0B13"/>
    <w:rsid w:val="00DA1FD8"/>
    <w:rsid w:val="00DA384B"/>
    <w:rsid w:val="00DA3B3A"/>
    <w:rsid w:val="00DA41D4"/>
    <w:rsid w:val="00DA4631"/>
    <w:rsid w:val="00DB0207"/>
    <w:rsid w:val="00DB15EF"/>
    <w:rsid w:val="00DB1990"/>
    <w:rsid w:val="00DB6297"/>
    <w:rsid w:val="00DB64E4"/>
    <w:rsid w:val="00DB6F74"/>
    <w:rsid w:val="00DB74B6"/>
    <w:rsid w:val="00DC2178"/>
    <w:rsid w:val="00DC45F5"/>
    <w:rsid w:val="00DC6422"/>
    <w:rsid w:val="00DE2A0E"/>
    <w:rsid w:val="00DF0F56"/>
    <w:rsid w:val="00E00D05"/>
    <w:rsid w:val="00E011B0"/>
    <w:rsid w:val="00E01A4C"/>
    <w:rsid w:val="00E02931"/>
    <w:rsid w:val="00E05040"/>
    <w:rsid w:val="00E05A98"/>
    <w:rsid w:val="00E07E9A"/>
    <w:rsid w:val="00E166BA"/>
    <w:rsid w:val="00E16CD5"/>
    <w:rsid w:val="00E1779E"/>
    <w:rsid w:val="00E30A77"/>
    <w:rsid w:val="00E34DB3"/>
    <w:rsid w:val="00E34DD6"/>
    <w:rsid w:val="00E55F1D"/>
    <w:rsid w:val="00E578A4"/>
    <w:rsid w:val="00E61627"/>
    <w:rsid w:val="00E6183A"/>
    <w:rsid w:val="00E61D60"/>
    <w:rsid w:val="00E61F4F"/>
    <w:rsid w:val="00E626E5"/>
    <w:rsid w:val="00E65E25"/>
    <w:rsid w:val="00E71883"/>
    <w:rsid w:val="00E7261A"/>
    <w:rsid w:val="00E77C1D"/>
    <w:rsid w:val="00E826CD"/>
    <w:rsid w:val="00E854A6"/>
    <w:rsid w:val="00E922EE"/>
    <w:rsid w:val="00E96991"/>
    <w:rsid w:val="00E9752D"/>
    <w:rsid w:val="00E97AA7"/>
    <w:rsid w:val="00EA15EF"/>
    <w:rsid w:val="00EA46F9"/>
    <w:rsid w:val="00EA4931"/>
    <w:rsid w:val="00EA5252"/>
    <w:rsid w:val="00EB06B7"/>
    <w:rsid w:val="00EB1A45"/>
    <w:rsid w:val="00EB4D7C"/>
    <w:rsid w:val="00EC00B4"/>
    <w:rsid w:val="00EC03AD"/>
    <w:rsid w:val="00EC0D36"/>
    <w:rsid w:val="00EC39A4"/>
    <w:rsid w:val="00EC485E"/>
    <w:rsid w:val="00EC5E39"/>
    <w:rsid w:val="00EC5E5A"/>
    <w:rsid w:val="00EC7423"/>
    <w:rsid w:val="00EC7D8A"/>
    <w:rsid w:val="00EE12C4"/>
    <w:rsid w:val="00EE62AA"/>
    <w:rsid w:val="00EE649C"/>
    <w:rsid w:val="00EE7D12"/>
    <w:rsid w:val="00EF3C22"/>
    <w:rsid w:val="00EF424D"/>
    <w:rsid w:val="00EF4577"/>
    <w:rsid w:val="00EF7A2A"/>
    <w:rsid w:val="00F01FFB"/>
    <w:rsid w:val="00F060F5"/>
    <w:rsid w:val="00F06974"/>
    <w:rsid w:val="00F10156"/>
    <w:rsid w:val="00F14C7F"/>
    <w:rsid w:val="00F16E54"/>
    <w:rsid w:val="00F25ED3"/>
    <w:rsid w:val="00F27607"/>
    <w:rsid w:val="00F277BA"/>
    <w:rsid w:val="00F30A23"/>
    <w:rsid w:val="00F311E9"/>
    <w:rsid w:val="00F3456C"/>
    <w:rsid w:val="00F3595B"/>
    <w:rsid w:val="00F42042"/>
    <w:rsid w:val="00F4271C"/>
    <w:rsid w:val="00F46AEA"/>
    <w:rsid w:val="00F517A2"/>
    <w:rsid w:val="00F51F7C"/>
    <w:rsid w:val="00F52B9D"/>
    <w:rsid w:val="00F530F8"/>
    <w:rsid w:val="00F5528C"/>
    <w:rsid w:val="00F55DAD"/>
    <w:rsid w:val="00F56AD9"/>
    <w:rsid w:val="00F57A02"/>
    <w:rsid w:val="00F64A34"/>
    <w:rsid w:val="00F73BA5"/>
    <w:rsid w:val="00F748B5"/>
    <w:rsid w:val="00F74955"/>
    <w:rsid w:val="00F839A3"/>
    <w:rsid w:val="00F853BB"/>
    <w:rsid w:val="00F90BBA"/>
    <w:rsid w:val="00F92892"/>
    <w:rsid w:val="00F9332E"/>
    <w:rsid w:val="00F9355E"/>
    <w:rsid w:val="00F95D42"/>
    <w:rsid w:val="00F97381"/>
    <w:rsid w:val="00F97D86"/>
    <w:rsid w:val="00FA2AC3"/>
    <w:rsid w:val="00FA4DDF"/>
    <w:rsid w:val="00FA4F1A"/>
    <w:rsid w:val="00FA53FE"/>
    <w:rsid w:val="00FB1F09"/>
    <w:rsid w:val="00FB3B3D"/>
    <w:rsid w:val="00FB46B6"/>
    <w:rsid w:val="00FB5421"/>
    <w:rsid w:val="00FC2AB3"/>
    <w:rsid w:val="00FC558E"/>
    <w:rsid w:val="00FC7473"/>
    <w:rsid w:val="00FD2AC0"/>
    <w:rsid w:val="00FD5886"/>
    <w:rsid w:val="00FE0CEE"/>
    <w:rsid w:val="00FE65BA"/>
    <w:rsid w:val="00FE73D6"/>
    <w:rsid w:val="00FF11C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34ea2,#5d9ef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footer" w:uiPriority="99"/>
    <w:lsdException w:name="caption" w:semiHidden="1" w:unhideWhenUsed="1" w:qFormat="1"/>
    <w:lsdException w:name="endnote reference" w:semiHidden="1"/>
    <w:lsdException w:name="endnote text" w:semiHidden="1"/>
    <w:lsdException w:name="Emphasis" w:qFormat="1"/>
    <w:lsdException w:name="Document Map"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4F69"/>
    <w:pPr>
      <w:spacing w:line="288" w:lineRule="auto"/>
      <w:jc w:val="both"/>
    </w:pPr>
    <w:rPr>
      <w:rFonts w:ascii="Verdana" w:hAnsi="Verdana"/>
      <w:sz w:val="17"/>
      <w:szCs w:val="24"/>
      <w:lang w:val="en-GB" w:eastAsia="en-US"/>
    </w:rPr>
  </w:style>
  <w:style w:type="paragraph" w:styleId="Heading1">
    <w:name w:val="heading 1"/>
    <w:basedOn w:val="Noparagraphstyle"/>
    <w:semiHidden/>
    <w:qFormat/>
    <w:rsid w:val="009654A1"/>
    <w:pPr>
      <w:spacing w:before="600" w:after="20" w:line="240" w:lineRule="auto"/>
      <w:outlineLvl w:val="0"/>
    </w:pPr>
    <w:rPr>
      <w:rFonts w:ascii="Frutiger LT Com 45 Light" w:hAnsi="Frutiger LT Com 45 Light" w:cs="Arial"/>
      <w:b/>
      <w:bCs/>
      <w:sz w:val="28"/>
      <w:szCs w:val="36"/>
      <w:lang w:val="en-GB"/>
    </w:rPr>
  </w:style>
  <w:style w:type="paragraph" w:styleId="Heading2">
    <w:name w:val="heading 2"/>
    <w:basedOn w:val="Normal"/>
    <w:next w:val="Normal"/>
    <w:semiHidden/>
    <w:qFormat/>
    <w:rsid w:val="009654A1"/>
    <w:pPr>
      <w:keepNext/>
      <w:spacing w:after="220" w:line="240" w:lineRule="auto"/>
      <w:outlineLvl w:val="1"/>
    </w:pPr>
    <w:rPr>
      <w:rFonts w:cs="Arial"/>
      <w:b/>
      <w:bCs/>
      <w:iCs/>
      <w:sz w:val="22"/>
      <w:szCs w:val="28"/>
    </w:rPr>
  </w:style>
  <w:style w:type="paragraph" w:styleId="Heading3">
    <w:name w:val="heading 3"/>
    <w:basedOn w:val="Normal"/>
    <w:next w:val="Normal"/>
    <w:qFormat/>
    <w:rsid w:val="009654A1"/>
    <w:pPr>
      <w:keepNext/>
      <w:spacing w:line="240" w:lineRule="auto"/>
      <w:outlineLvl w:val="2"/>
    </w:pPr>
    <w:rPr>
      <w:rFonts w:cs="Arial"/>
      <w:b/>
      <w:bCs/>
      <w:szCs w:val="26"/>
    </w:rPr>
  </w:style>
  <w:style w:type="paragraph" w:styleId="Heading4">
    <w:name w:val="heading 4"/>
    <w:basedOn w:val="Normal"/>
    <w:next w:val="Normal"/>
    <w:semiHidden/>
    <w:rsid w:val="00B673B7"/>
    <w:pPr>
      <w:keepNext/>
      <w:spacing w:before="240" w:after="60"/>
      <w:outlineLvl w:val="3"/>
    </w:pPr>
    <w:rPr>
      <w:b/>
      <w:bCs/>
      <w:sz w:val="28"/>
      <w:szCs w:val="28"/>
    </w:rPr>
  </w:style>
  <w:style w:type="paragraph" w:styleId="Heading5">
    <w:name w:val="heading 5"/>
    <w:basedOn w:val="Normal"/>
    <w:next w:val="Normal"/>
    <w:semiHidden/>
    <w:rsid w:val="00B673B7"/>
    <w:pPr>
      <w:spacing w:before="240" w:after="60"/>
      <w:outlineLvl w:val="4"/>
    </w:pPr>
    <w:rPr>
      <w:b/>
      <w:bCs/>
      <w:i/>
      <w:iCs/>
      <w:sz w:val="26"/>
      <w:szCs w:val="26"/>
    </w:rPr>
  </w:style>
  <w:style w:type="paragraph" w:styleId="Heading6">
    <w:name w:val="heading 6"/>
    <w:basedOn w:val="Normal"/>
    <w:next w:val="Normal"/>
    <w:semiHidden/>
    <w:rsid w:val="00B673B7"/>
    <w:pPr>
      <w:spacing w:before="240" w:after="60"/>
      <w:outlineLvl w:val="5"/>
    </w:pPr>
    <w:rPr>
      <w:b/>
      <w:bCs/>
      <w:sz w:val="22"/>
      <w:szCs w:val="22"/>
    </w:rPr>
  </w:style>
  <w:style w:type="paragraph" w:styleId="Heading7">
    <w:name w:val="heading 7"/>
    <w:basedOn w:val="Normal"/>
    <w:next w:val="Normal"/>
    <w:semiHidden/>
    <w:rsid w:val="00B673B7"/>
    <w:pPr>
      <w:spacing w:before="240" w:after="60"/>
      <w:outlineLvl w:val="6"/>
    </w:pPr>
  </w:style>
  <w:style w:type="paragraph" w:styleId="Heading8">
    <w:name w:val="heading 8"/>
    <w:basedOn w:val="Normal"/>
    <w:next w:val="Normal"/>
    <w:semiHidden/>
    <w:rsid w:val="00B673B7"/>
    <w:pPr>
      <w:spacing w:before="240" w:after="60"/>
      <w:outlineLvl w:val="7"/>
    </w:pPr>
    <w:rPr>
      <w:i/>
      <w:iCs/>
    </w:rPr>
  </w:style>
  <w:style w:type="paragraph" w:styleId="Heading9">
    <w:name w:val="heading 9"/>
    <w:basedOn w:val="Normal"/>
    <w:next w:val="Normal"/>
    <w:semiHidden/>
    <w:rsid w:val="00B673B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B316E4"/>
    <w:pPr>
      <w:tabs>
        <w:tab w:val="center" w:pos="4320"/>
        <w:tab w:val="right" w:pos="8640"/>
      </w:tabs>
    </w:pPr>
  </w:style>
  <w:style w:type="paragraph" w:styleId="Footer">
    <w:name w:val="footer"/>
    <w:basedOn w:val="Normal"/>
    <w:link w:val="FooterChar"/>
    <w:uiPriority w:val="99"/>
    <w:rsid w:val="00B316E4"/>
    <w:pPr>
      <w:tabs>
        <w:tab w:val="center" w:pos="4320"/>
        <w:tab w:val="right" w:pos="8640"/>
      </w:tabs>
    </w:pPr>
  </w:style>
  <w:style w:type="paragraph" w:customStyle="1" w:styleId="Noparagraphstyle">
    <w:name w:val="[No paragraph style]"/>
    <w:semiHidden/>
    <w:rsid w:val="007E7781"/>
    <w:pPr>
      <w:autoSpaceDE w:val="0"/>
      <w:autoSpaceDN w:val="0"/>
      <w:adjustRightInd w:val="0"/>
      <w:spacing w:line="288" w:lineRule="auto"/>
      <w:textAlignment w:val="center"/>
    </w:pPr>
    <w:rPr>
      <w:color w:val="000000"/>
      <w:sz w:val="24"/>
      <w:szCs w:val="24"/>
      <w:lang w:val="en-US" w:eastAsia="en-US"/>
    </w:rPr>
  </w:style>
  <w:style w:type="character" w:styleId="Hyperlink">
    <w:name w:val="Hyperlink"/>
    <w:basedOn w:val="DefaultParagraphFont"/>
    <w:semiHidden/>
    <w:rsid w:val="004C7ACC"/>
    <w:rPr>
      <w:color w:val="0000FF"/>
      <w:u w:val="single"/>
    </w:rPr>
  </w:style>
  <w:style w:type="character" w:styleId="PageNumber">
    <w:name w:val="page number"/>
    <w:basedOn w:val="DefaultParagraphFont"/>
    <w:semiHidden/>
    <w:rsid w:val="000846C0"/>
  </w:style>
  <w:style w:type="paragraph" w:styleId="BalloonText">
    <w:name w:val="Balloon Text"/>
    <w:basedOn w:val="Normal"/>
    <w:semiHidden/>
    <w:rsid w:val="00813FF5"/>
    <w:rPr>
      <w:rFonts w:ascii="Tahoma" w:hAnsi="Tahoma" w:cs="Tahoma"/>
      <w:sz w:val="16"/>
      <w:szCs w:val="16"/>
    </w:rPr>
  </w:style>
  <w:style w:type="paragraph" w:styleId="FootnoteText">
    <w:name w:val="footnote text"/>
    <w:basedOn w:val="Normal"/>
    <w:semiHidden/>
    <w:rsid w:val="005D14DF"/>
    <w:rPr>
      <w:szCs w:val="20"/>
      <w:lang w:eastAsia="fr-FR"/>
    </w:rPr>
  </w:style>
  <w:style w:type="numbering" w:styleId="111111">
    <w:name w:val="Outline List 2"/>
    <w:basedOn w:val="NoList"/>
    <w:semiHidden/>
    <w:rsid w:val="00B673B7"/>
    <w:pPr>
      <w:numPr>
        <w:numId w:val="11"/>
      </w:numPr>
    </w:pPr>
  </w:style>
  <w:style w:type="numbering" w:styleId="1ai">
    <w:name w:val="Outline List 1"/>
    <w:basedOn w:val="NoList"/>
    <w:semiHidden/>
    <w:rsid w:val="00B673B7"/>
    <w:pPr>
      <w:numPr>
        <w:numId w:val="12"/>
      </w:numPr>
    </w:pPr>
  </w:style>
  <w:style w:type="numbering" w:styleId="ArticleSection">
    <w:name w:val="Outline List 3"/>
    <w:basedOn w:val="NoList"/>
    <w:semiHidden/>
    <w:rsid w:val="00B673B7"/>
    <w:pPr>
      <w:numPr>
        <w:numId w:val="13"/>
      </w:numPr>
    </w:pPr>
  </w:style>
  <w:style w:type="paragraph" w:styleId="BlockText">
    <w:name w:val="Block Text"/>
    <w:basedOn w:val="Normal"/>
    <w:semiHidden/>
    <w:rsid w:val="00B673B7"/>
    <w:pPr>
      <w:spacing w:after="120"/>
      <w:ind w:left="1440" w:right="1440"/>
    </w:pPr>
  </w:style>
  <w:style w:type="paragraph" w:styleId="BodyText">
    <w:name w:val="Body Text"/>
    <w:basedOn w:val="Normal"/>
    <w:semiHidden/>
    <w:rsid w:val="00B673B7"/>
    <w:pPr>
      <w:spacing w:after="120"/>
    </w:pPr>
  </w:style>
  <w:style w:type="paragraph" w:styleId="BodyText2">
    <w:name w:val="Body Text 2"/>
    <w:basedOn w:val="Normal"/>
    <w:semiHidden/>
    <w:rsid w:val="00B673B7"/>
    <w:pPr>
      <w:spacing w:after="120" w:line="480" w:lineRule="auto"/>
    </w:pPr>
  </w:style>
  <w:style w:type="paragraph" w:styleId="BodyText3">
    <w:name w:val="Body Text 3"/>
    <w:basedOn w:val="Normal"/>
    <w:semiHidden/>
    <w:rsid w:val="00B673B7"/>
    <w:pPr>
      <w:spacing w:after="120"/>
    </w:pPr>
    <w:rPr>
      <w:sz w:val="16"/>
      <w:szCs w:val="16"/>
    </w:rPr>
  </w:style>
  <w:style w:type="paragraph" w:styleId="BodyTextFirstIndent">
    <w:name w:val="Body Text First Indent"/>
    <w:basedOn w:val="BodyText"/>
    <w:semiHidden/>
    <w:rsid w:val="00B673B7"/>
    <w:pPr>
      <w:ind w:firstLine="210"/>
    </w:pPr>
  </w:style>
  <w:style w:type="paragraph" w:styleId="BodyTextIndent">
    <w:name w:val="Body Text Indent"/>
    <w:basedOn w:val="Normal"/>
    <w:semiHidden/>
    <w:rsid w:val="00B673B7"/>
    <w:pPr>
      <w:spacing w:after="120"/>
      <w:ind w:left="283"/>
    </w:pPr>
  </w:style>
  <w:style w:type="paragraph" w:styleId="BodyTextFirstIndent2">
    <w:name w:val="Body Text First Indent 2"/>
    <w:basedOn w:val="BodyTextIndent"/>
    <w:semiHidden/>
    <w:rsid w:val="00B673B7"/>
    <w:pPr>
      <w:ind w:firstLine="210"/>
    </w:pPr>
  </w:style>
  <w:style w:type="paragraph" w:styleId="BodyTextIndent2">
    <w:name w:val="Body Text Indent 2"/>
    <w:basedOn w:val="Normal"/>
    <w:semiHidden/>
    <w:rsid w:val="00B673B7"/>
    <w:pPr>
      <w:spacing w:after="120" w:line="480" w:lineRule="auto"/>
      <w:ind w:left="283"/>
    </w:pPr>
  </w:style>
  <w:style w:type="paragraph" w:styleId="BodyTextIndent3">
    <w:name w:val="Body Text Indent 3"/>
    <w:basedOn w:val="Normal"/>
    <w:semiHidden/>
    <w:rsid w:val="00B673B7"/>
    <w:pPr>
      <w:spacing w:after="120"/>
      <w:ind w:left="283"/>
    </w:pPr>
    <w:rPr>
      <w:sz w:val="16"/>
      <w:szCs w:val="16"/>
    </w:rPr>
  </w:style>
  <w:style w:type="paragraph" w:styleId="Closing">
    <w:name w:val="Closing"/>
    <w:basedOn w:val="Normal"/>
    <w:semiHidden/>
    <w:rsid w:val="00B673B7"/>
    <w:pPr>
      <w:ind w:left="4252"/>
    </w:pPr>
  </w:style>
  <w:style w:type="paragraph" w:styleId="PlainText">
    <w:name w:val="Plain Text"/>
    <w:basedOn w:val="Normal"/>
    <w:semiHidden/>
    <w:rsid w:val="00B673B7"/>
    <w:rPr>
      <w:rFonts w:ascii="Courier New" w:hAnsi="Courier New" w:cs="Courier New"/>
      <w:szCs w:val="20"/>
    </w:rPr>
  </w:style>
  <w:style w:type="paragraph" w:styleId="Salutation">
    <w:name w:val="Salutation"/>
    <w:basedOn w:val="Normal"/>
    <w:next w:val="Normal"/>
    <w:semiHidden/>
    <w:rsid w:val="00B673B7"/>
  </w:style>
  <w:style w:type="paragraph" w:styleId="Signature">
    <w:name w:val="Signature"/>
    <w:basedOn w:val="Normal"/>
    <w:semiHidden/>
    <w:rsid w:val="00B673B7"/>
    <w:pPr>
      <w:ind w:left="4252"/>
    </w:pPr>
  </w:style>
  <w:style w:type="table" w:styleId="Table3Deffects1">
    <w:name w:val="Table 3D effects 1"/>
    <w:basedOn w:val="TableNormal"/>
    <w:semiHidden/>
    <w:rsid w:val="00B673B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673B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673B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673B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673B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673B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673B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673B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673B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673B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673B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673B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673B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673B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673B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673B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673B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B67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673B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673B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673B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673B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673B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673B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673B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673B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673B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673B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673B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673B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673B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673B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673B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673B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67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B673B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673B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673B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Date">
    <w:name w:val="Date"/>
    <w:basedOn w:val="Normal"/>
    <w:next w:val="Normal"/>
    <w:semiHidden/>
    <w:rsid w:val="00B673B7"/>
  </w:style>
  <w:style w:type="paragraph" w:styleId="E-mailSignature">
    <w:name w:val="E-mail Signature"/>
    <w:basedOn w:val="Normal"/>
    <w:semiHidden/>
    <w:rsid w:val="00B673B7"/>
  </w:style>
  <w:style w:type="character" w:styleId="Emphasis">
    <w:name w:val="Emphasis"/>
    <w:basedOn w:val="DefaultParagraphFont"/>
    <w:semiHidden/>
    <w:qFormat/>
    <w:rsid w:val="009654A1"/>
    <w:rPr>
      <w:i/>
      <w:iCs/>
    </w:rPr>
  </w:style>
  <w:style w:type="paragraph" w:styleId="EnvelopeAddress">
    <w:name w:val="envelope address"/>
    <w:basedOn w:val="Normal"/>
    <w:semiHidden/>
    <w:rsid w:val="00B673B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B673B7"/>
    <w:rPr>
      <w:rFonts w:ascii="Arial" w:hAnsi="Arial" w:cs="Arial"/>
      <w:szCs w:val="20"/>
    </w:rPr>
  </w:style>
  <w:style w:type="character" w:styleId="FollowedHyperlink">
    <w:name w:val="FollowedHyperlink"/>
    <w:basedOn w:val="DefaultParagraphFont"/>
    <w:semiHidden/>
    <w:rsid w:val="00B673B7"/>
    <w:rPr>
      <w:color w:val="800080"/>
      <w:u w:val="single"/>
    </w:rPr>
  </w:style>
  <w:style w:type="character" w:styleId="HTMLAcronym">
    <w:name w:val="HTML Acronym"/>
    <w:basedOn w:val="DefaultParagraphFont"/>
    <w:semiHidden/>
    <w:rsid w:val="00B673B7"/>
  </w:style>
  <w:style w:type="paragraph" w:styleId="HTMLAddress">
    <w:name w:val="HTML Address"/>
    <w:basedOn w:val="Normal"/>
    <w:semiHidden/>
    <w:rsid w:val="00B673B7"/>
    <w:rPr>
      <w:i/>
      <w:iCs/>
    </w:rPr>
  </w:style>
  <w:style w:type="character" w:styleId="HTMLCite">
    <w:name w:val="HTML Cite"/>
    <w:basedOn w:val="DefaultParagraphFont"/>
    <w:semiHidden/>
    <w:rsid w:val="00B673B7"/>
    <w:rPr>
      <w:i/>
      <w:iCs/>
    </w:rPr>
  </w:style>
  <w:style w:type="character" w:styleId="HTMLCode">
    <w:name w:val="HTML Code"/>
    <w:basedOn w:val="DefaultParagraphFont"/>
    <w:semiHidden/>
    <w:rsid w:val="00B673B7"/>
    <w:rPr>
      <w:rFonts w:ascii="Courier New" w:hAnsi="Courier New" w:cs="Courier New"/>
      <w:sz w:val="20"/>
      <w:szCs w:val="20"/>
    </w:rPr>
  </w:style>
  <w:style w:type="character" w:styleId="HTMLDefinition">
    <w:name w:val="HTML Definition"/>
    <w:basedOn w:val="DefaultParagraphFont"/>
    <w:semiHidden/>
    <w:rsid w:val="00B673B7"/>
    <w:rPr>
      <w:i/>
      <w:iCs/>
    </w:rPr>
  </w:style>
  <w:style w:type="character" w:styleId="HTMLKeyboard">
    <w:name w:val="HTML Keyboard"/>
    <w:basedOn w:val="DefaultParagraphFont"/>
    <w:semiHidden/>
    <w:rsid w:val="00B673B7"/>
    <w:rPr>
      <w:rFonts w:ascii="Courier New" w:hAnsi="Courier New" w:cs="Courier New"/>
      <w:sz w:val="20"/>
      <w:szCs w:val="20"/>
    </w:rPr>
  </w:style>
  <w:style w:type="paragraph" w:styleId="HTMLPreformatted">
    <w:name w:val="HTML Preformatted"/>
    <w:basedOn w:val="Normal"/>
    <w:semiHidden/>
    <w:rsid w:val="00B673B7"/>
    <w:rPr>
      <w:rFonts w:ascii="Courier New" w:hAnsi="Courier New" w:cs="Courier New"/>
      <w:szCs w:val="20"/>
    </w:rPr>
  </w:style>
  <w:style w:type="character" w:styleId="HTMLSample">
    <w:name w:val="HTML Sample"/>
    <w:basedOn w:val="DefaultParagraphFont"/>
    <w:semiHidden/>
    <w:rsid w:val="00B673B7"/>
    <w:rPr>
      <w:rFonts w:ascii="Courier New" w:hAnsi="Courier New" w:cs="Courier New"/>
    </w:rPr>
  </w:style>
  <w:style w:type="character" w:styleId="HTMLTypewriter">
    <w:name w:val="HTML Typewriter"/>
    <w:basedOn w:val="DefaultParagraphFont"/>
    <w:semiHidden/>
    <w:rsid w:val="00B673B7"/>
    <w:rPr>
      <w:rFonts w:ascii="Courier New" w:hAnsi="Courier New" w:cs="Courier New"/>
      <w:sz w:val="20"/>
      <w:szCs w:val="20"/>
    </w:rPr>
  </w:style>
  <w:style w:type="character" w:styleId="HTMLVariable">
    <w:name w:val="HTML Variable"/>
    <w:basedOn w:val="DefaultParagraphFont"/>
    <w:semiHidden/>
    <w:rsid w:val="00B673B7"/>
    <w:rPr>
      <w:i/>
      <w:iCs/>
    </w:rPr>
  </w:style>
  <w:style w:type="character" w:styleId="LineNumber">
    <w:name w:val="line number"/>
    <w:basedOn w:val="DefaultParagraphFont"/>
    <w:semiHidden/>
    <w:rsid w:val="00B673B7"/>
  </w:style>
  <w:style w:type="paragraph" w:styleId="List">
    <w:name w:val="List"/>
    <w:basedOn w:val="Normal"/>
    <w:semiHidden/>
    <w:rsid w:val="00B673B7"/>
    <w:pPr>
      <w:ind w:left="283" w:hanging="283"/>
    </w:pPr>
  </w:style>
  <w:style w:type="paragraph" w:styleId="List2">
    <w:name w:val="List 2"/>
    <w:basedOn w:val="Normal"/>
    <w:semiHidden/>
    <w:rsid w:val="00B673B7"/>
    <w:pPr>
      <w:ind w:left="566" w:hanging="283"/>
    </w:pPr>
  </w:style>
  <w:style w:type="paragraph" w:styleId="List3">
    <w:name w:val="List 3"/>
    <w:basedOn w:val="Normal"/>
    <w:semiHidden/>
    <w:rsid w:val="00B673B7"/>
    <w:pPr>
      <w:ind w:left="849" w:hanging="283"/>
    </w:pPr>
  </w:style>
  <w:style w:type="paragraph" w:styleId="List4">
    <w:name w:val="List 4"/>
    <w:basedOn w:val="Normal"/>
    <w:semiHidden/>
    <w:rsid w:val="00B673B7"/>
    <w:pPr>
      <w:ind w:left="1132" w:hanging="283"/>
    </w:pPr>
  </w:style>
  <w:style w:type="paragraph" w:styleId="List5">
    <w:name w:val="List 5"/>
    <w:basedOn w:val="Normal"/>
    <w:semiHidden/>
    <w:rsid w:val="00B673B7"/>
    <w:pPr>
      <w:ind w:left="1415" w:hanging="283"/>
    </w:pPr>
  </w:style>
  <w:style w:type="paragraph" w:styleId="ListBullet">
    <w:name w:val="List Bullet"/>
    <w:basedOn w:val="Normal"/>
    <w:semiHidden/>
    <w:rsid w:val="00B673B7"/>
    <w:pPr>
      <w:numPr>
        <w:numId w:val="1"/>
      </w:numPr>
    </w:pPr>
  </w:style>
  <w:style w:type="paragraph" w:styleId="ListBullet2">
    <w:name w:val="List Bullet 2"/>
    <w:basedOn w:val="Normal"/>
    <w:semiHidden/>
    <w:rsid w:val="00B673B7"/>
    <w:pPr>
      <w:numPr>
        <w:numId w:val="2"/>
      </w:numPr>
    </w:pPr>
  </w:style>
  <w:style w:type="paragraph" w:styleId="ListBullet3">
    <w:name w:val="List Bullet 3"/>
    <w:basedOn w:val="Normal"/>
    <w:semiHidden/>
    <w:rsid w:val="00B673B7"/>
    <w:pPr>
      <w:numPr>
        <w:numId w:val="3"/>
      </w:numPr>
    </w:pPr>
  </w:style>
  <w:style w:type="paragraph" w:styleId="ListBullet4">
    <w:name w:val="List Bullet 4"/>
    <w:basedOn w:val="Normal"/>
    <w:semiHidden/>
    <w:rsid w:val="00B673B7"/>
    <w:pPr>
      <w:numPr>
        <w:numId w:val="4"/>
      </w:numPr>
    </w:pPr>
  </w:style>
  <w:style w:type="paragraph" w:styleId="ListBullet5">
    <w:name w:val="List Bullet 5"/>
    <w:basedOn w:val="Normal"/>
    <w:semiHidden/>
    <w:rsid w:val="00B673B7"/>
    <w:pPr>
      <w:numPr>
        <w:numId w:val="5"/>
      </w:numPr>
    </w:pPr>
  </w:style>
  <w:style w:type="paragraph" w:styleId="ListContinue">
    <w:name w:val="List Continue"/>
    <w:basedOn w:val="Normal"/>
    <w:semiHidden/>
    <w:rsid w:val="00B673B7"/>
    <w:pPr>
      <w:spacing w:after="120"/>
      <w:ind w:left="283"/>
    </w:pPr>
  </w:style>
  <w:style w:type="paragraph" w:styleId="ListContinue2">
    <w:name w:val="List Continue 2"/>
    <w:basedOn w:val="Normal"/>
    <w:semiHidden/>
    <w:rsid w:val="00B673B7"/>
    <w:pPr>
      <w:spacing w:after="120"/>
      <w:ind w:left="566"/>
    </w:pPr>
  </w:style>
  <w:style w:type="paragraph" w:styleId="ListContinue3">
    <w:name w:val="List Continue 3"/>
    <w:basedOn w:val="Normal"/>
    <w:semiHidden/>
    <w:rsid w:val="00B673B7"/>
    <w:pPr>
      <w:spacing w:after="120"/>
      <w:ind w:left="849"/>
    </w:pPr>
  </w:style>
  <w:style w:type="paragraph" w:styleId="ListContinue4">
    <w:name w:val="List Continue 4"/>
    <w:basedOn w:val="Normal"/>
    <w:semiHidden/>
    <w:rsid w:val="00B673B7"/>
    <w:pPr>
      <w:spacing w:after="120"/>
      <w:ind w:left="1132"/>
    </w:pPr>
  </w:style>
  <w:style w:type="paragraph" w:styleId="ListContinue5">
    <w:name w:val="List Continue 5"/>
    <w:basedOn w:val="Normal"/>
    <w:semiHidden/>
    <w:rsid w:val="00B673B7"/>
    <w:pPr>
      <w:spacing w:after="120"/>
      <w:ind w:left="1415"/>
    </w:pPr>
  </w:style>
  <w:style w:type="paragraph" w:styleId="ListNumber">
    <w:name w:val="List Number"/>
    <w:basedOn w:val="Normal"/>
    <w:semiHidden/>
    <w:rsid w:val="00B673B7"/>
    <w:pPr>
      <w:numPr>
        <w:numId w:val="6"/>
      </w:numPr>
    </w:pPr>
  </w:style>
  <w:style w:type="paragraph" w:styleId="ListNumber2">
    <w:name w:val="List Number 2"/>
    <w:basedOn w:val="Normal"/>
    <w:semiHidden/>
    <w:rsid w:val="00B673B7"/>
    <w:pPr>
      <w:numPr>
        <w:numId w:val="7"/>
      </w:numPr>
    </w:pPr>
  </w:style>
  <w:style w:type="paragraph" w:styleId="ListNumber3">
    <w:name w:val="List Number 3"/>
    <w:basedOn w:val="Normal"/>
    <w:semiHidden/>
    <w:rsid w:val="00B673B7"/>
    <w:pPr>
      <w:numPr>
        <w:numId w:val="8"/>
      </w:numPr>
    </w:pPr>
  </w:style>
  <w:style w:type="paragraph" w:styleId="ListNumber4">
    <w:name w:val="List Number 4"/>
    <w:basedOn w:val="Normal"/>
    <w:semiHidden/>
    <w:rsid w:val="00B673B7"/>
    <w:pPr>
      <w:numPr>
        <w:numId w:val="9"/>
      </w:numPr>
    </w:pPr>
  </w:style>
  <w:style w:type="paragraph" w:styleId="ListNumber5">
    <w:name w:val="List Number 5"/>
    <w:basedOn w:val="Normal"/>
    <w:semiHidden/>
    <w:rsid w:val="00B673B7"/>
    <w:pPr>
      <w:numPr>
        <w:numId w:val="10"/>
      </w:numPr>
    </w:pPr>
  </w:style>
  <w:style w:type="paragraph" w:styleId="MessageHeader">
    <w:name w:val="Message Header"/>
    <w:basedOn w:val="Normal"/>
    <w:semiHidden/>
    <w:rsid w:val="00B673B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B673B7"/>
  </w:style>
  <w:style w:type="paragraph" w:styleId="NormalIndent">
    <w:name w:val="Normal Indent"/>
    <w:basedOn w:val="Normal"/>
    <w:semiHidden/>
    <w:rsid w:val="00B673B7"/>
    <w:pPr>
      <w:ind w:left="720"/>
    </w:pPr>
  </w:style>
  <w:style w:type="paragraph" w:styleId="NoteHeading">
    <w:name w:val="Note Heading"/>
    <w:basedOn w:val="Normal"/>
    <w:next w:val="Normal"/>
    <w:semiHidden/>
    <w:rsid w:val="00B673B7"/>
  </w:style>
  <w:style w:type="character" w:styleId="FootnoteReference">
    <w:name w:val="footnote reference"/>
    <w:basedOn w:val="DefaultParagraphFont"/>
    <w:semiHidden/>
    <w:rsid w:val="005D14DF"/>
    <w:rPr>
      <w:vertAlign w:val="superscript"/>
    </w:rPr>
  </w:style>
  <w:style w:type="paragraph" w:customStyle="1" w:styleId="Heading1CEA">
    <w:name w:val="Heading 1 (CEA)"/>
    <w:basedOn w:val="Normal"/>
    <w:link w:val="Heading1CEAChar"/>
    <w:semiHidden/>
    <w:rsid w:val="00A9408A"/>
    <w:pPr>
      <w:autoSpaceDE w:val="0"/>
      <w:autoSpaceDN w:val="0"/>
      <w:adjustRightInd w:val="0"/>
    </w:pPr>
    <w:rPr>
      <w:rFonts w:ascii="Arial" w:hAnsi="Arial"/>
      <w:b/>
      <w:color w:val="034EA2"/>
      <w:sz w:val="32"/>
      <w:szCs w:val="32"/>
    </w:rPr>
  </w:style>
  <w:style w:type="character" w:customStyle="1" w:styleId="Heading1CEAChar">
    <w:name w:val="Heading 1 (CEA) Char"/>
    <w:basedOn w:val="DefaultParagraphFont"/>
    <w:link w:val="Heading1CEA"/>
    <w:rsid w:val="00A9408A"/>
    <w:rPr>
      <w:rFonts w:ascii="Arial" w:hAnsi="Arial"/>
      <w:b/>
      <w:color w:val="034EA2"/>
      <w:sz w:val="32"/>
      <w:szCs w:val="32"/>
      <w:lang w:val="en-US" w:eastAsia="en-US" w:bidi="ar-SA"/>
    </w:rPr>
  </w:style>
  <w:style w:type="paragraph" w:customStyle="1" w:styleId="Heading2CEA">
    <w:name w:val="Heading 2 (CEA)"/>
    <w:basedOn w:val="Normal"/>
    <w:semiHidden/>
    <w:rsid w:val="00A9408A"/>
    <w:pPr>
      <w:autoSpaceDE w:val="0"/>
      <w:autoSpaceDN w:val="0"/>
      <w:adjustRightInd w:val="0"/>
    </w:pPr>
    <w:rPr>
      <w:rFonts w:ascii="Arial" w:hAnsi="Arial"/>
      <w:sz w:val="28"/>
      <w:szCs w:val="28"/>
    </w:rPr>
  </w:style>
  <w:style w:type="character" w:styleId="CommentReference">
    <w:name w:val="annotation reference"/>
    <w:basedOn w:val="DefaultParagraphFont"/>
    <w:semiHidden/>
    <w:rsid w:val="00517FE2"/>
    <w:rPr>
      <w:sz w:val="16"/>
      <w:szCs w:val="16"/>
    </w:rPr>
  </w:style>
  <w:style w:type="paragraph" w:styleId="CommentText">
    <w:name w:val="annotation text"/>
    <w:basedOn w:val="Normal"/>
    <w:link w:val="CommentTextChar"/>
    <w:semiHidden/>
    <w:rsid w:val="00517FE2"/>
    <w:rPr>
      <w:szCs w:val="20"/>
    </w:rPr>
  </w:style>
  <w:style w:type="paragraph" w:styleId="CommentSubject">
    <w:name w:val="annotation subject"/>
    <w:basedOn w:val="CommentText"/>
    <w:next w:val="CommentText"/>
    <w:semiHidden/>
    <w:rsid w:val="00517FE2"/>
    <w:rPr>
      <w:b/>
      <w:bCs/>
    </w:rPr>
  </w:style>
  <w:style w:type="paragraph" w:customStyle="1" w:styleId="CEALabel">
    <w:name w:val="CEA Label"/>
    <w:basedOn w:val="Normal"/>
    <w:semiHidden/>
    <w:qFormat/>
    <w:rsid w:val="009654A1"/>
    <w:pPr>
      <w:tabs>
        <w:tab w:val="right" w:pos="360"/>
        <w:tab w:val="left" w:pos="540"/>
      </w:tabs>
      <w:autoSpaceDE w:val="0"/>
      <w:autoSpaceDN w:val="0"/>
      <w:adjustRightInd w:val="0"/>
      <w:spacing w:before="30"/>
      <w:jc w:val="right"/>
      <w:textAlignment w:val="center"/>
    </w:pPr>
    <w:rPr>
      <w:rFonts w:cs="Arial"/>
      <w:b/>
      <w:color w:val="034EA2"/>
      <w:spacing w:val="-4"/>
      <w:w w:val="90"/>
      <w:sz w:val="16"/>
      <w:szCs w:val="16"/>
    </w:rPr>
  </w:style>
  <w:style w:type="paragraph" w:customStyle="1" w:styleId="CEAFooterauthorinfo">
    <w:name w:val="CEA Footer (author info)"/>
    <w:basedOn w:val="Normal"/>
    <w:semiHidden/>
    <w:qFormat/>
    <w:rsid w:val="009654A1"/>
    <w:pPr>
      <w:autoSpaceDE w:val="0"/>
      <w:autoSpaceDN w:val="0"/>
      <w:adjustRightInd w:val="0"/>
      <w:ind w:left="546"/>
      <w:textAlignment w:val="center"/>
    </w:pPr>
    <w:rPr>
      <w:rFonts w:cs="Arial"/>
      <w:b/>
      <w:color w:val="034EA2"/>
      <w:sz w:val="16"/>
      <w:szCs w:val="16"/>
      <w:lang w:val="nl-NL"/>
    </w:rPr>
  </w:style>
  <w:style w:type="paragraph" w:customStyle="1" w:styleId="CEADocumentType">
    <w:name w:val="CEA Document Type"/>
    <w:basedOn w:val="Normal"/>
    <w:semiHidden/>
    <w:qFormat/>
    <w:rsid w:val="009654A1"/>
    <w:pPr>
      <w:jc w:val="right"/>
    </w:pPr>
    <w:rPr>
      <w:rFonts w:cs="Arial"/>
      <w:b/>
      <w:color w:val="0032FF"/>
      <w:sz w:val="40"/>
      <w:szCs w:val="40"/>
    </w:rPr>
  </w:style>
  <w:style w:type="paragraph" w:customStyle="1" w:styleId="CEADraft">
    <w:name w:val="CEA Draft"/>
    <w:basedOn w:val="CEADocumentType"/>
    <w:semiHidden/>
    <w:qFormat/>
    <w:rsid w:val="009654A1"/>
    <w:rPr>
      <w:color w:val="034EA2"/>
      <w:sz w:val="32"/>
    </w:rPr>
  </w:style>
  <w:style w:type="paragraph" w:customStyle="1" w:styleId="CEASubjectLine">
    <w:name w:val="CEA Subject Line"/>
    <w:basedOn w:val="Normal"/>
    <w:semiHidden/>
    <w:qFormat/>
    <w:rsid w:val="009654A1"/>
    <w:rPr>
      <w:rFonts w:cs="Arial"/>
      <w:b/>
      <w:szCs w:val="20"/>
    </w:rPr>
  </w:style>
  <w:style w:type="character" w:customStyle="1" w:styleId="CEAGraphX">
    <w:name w:val="CEA Graph X"/>
    <w:basedOn w:val="DefaultParagraphFont"/>
    <w:uiPriority w:val="1"/>
    <w:qFormat/>
    <w:rsid w:val="00534F69"/>
    <w:rPr>
      <w:rFonts w:ascii="Verdana" w:hAnsi="Verdana"/>
      <w:smallCaps/>
      <w:sz w:val="17"/>
    </w:rPr>
  </w:style>
  <w:style w:type="character" w:customStyle="1" w:styleId="CEAGraphTitle">
    <w:name w:val="CEA Graph Title"/>
    <w:basedOn w:val="CEAGraphX"/>
    <w:uiPriority w:val="1"/>
    <w:qFormat/>
    <w:rsid w:val="00534F69"/>
    <w:rPr>
      <w:rFonts w:ascii="Verdana" w:hAnsi="Verdana"/>
      <w:smallCaps w:val="0"/>
      <w:sz w:val="17"/>
    </w:rPr>
  </w:style>
  <w:style w:type="paragraph" w:customStyle="1" w:styleId="CEADirectorGeneral">
    <w:name w:val="CEA Director General"/>
    <w:basedOn w:val="Normal"/>
    <w:semiHidden/>
    <w:qFormat/>
    <w:rsid w:val="009654A1"/>
    <w:pPr>
      <w:tabs>
        <w:tab w:val="right" w:pos="360"/>
        <w:tab w:val="left" w:pos="540"/>
      </w:tabs>
      <w:autoSpaceDE w:val="0"/>
      <w:autoSpaceDN w:val="0"/>
      <w:adjustRightInd w:val="0"/>
      <w:textAlignment w:val="center"/>
    </w:pPr>
    <w:rPr>
      <w:sz w:val="22"/>
      <w:szCs w:val="22"/>
    </w:rPr>
  </w:style>
  <w:style w:type="paragraph" w:customStyle="1" w:styleId="CEAFootnote">
    <w:name w:val="CEA Footnote"/>
    <w:basedOn w:val="Normal"/>
    <w:semiHidden/>
    <w:qFormat/>
    <w:rsid w:val="009654A1"/>
    <w:pPr>
      <w:spacing w:line="240" w:lineRule="auto"/>
    </w:pPr>
    <w:rPr>
      <w:sz w:val="16"/>
    </w:rPr>
  </w:style>
  <w:style w:type="paragraph" w:customStyle="1" w:styleId="CEABullet-Level1">
    <w:name w:val="CEA Bullet - Level 1"/>
    <w:basedOn w:val="Normal"/>
    <w:qFormat/>
    <w:rsid w:val="00BA0174"/>
    <w:pPr>
      <w:numPr>
        <w:numId w:val="14"/>
      </w:numPr>
      <w:autoSpaceDE w:val="0"/>
      <w:autoSpaceDN w:val="0"/>
      <w:adjustRightInd w:val="0"/>
    </w:pPr>
    <w:rPr>
      <w:rFonts w:cs="Arial"/>
      <w:color w:val="000000"/>
      <w:szCs w:val="20"/>
      <w:lang w:val="fr-BE"/>
    </w:rPr>
  </w:style>
  <w:style w:type="paragraph" w:customStyle="1" w:styleId="CEABullet-Level3">
    <w:name w:val="CEA Bullet - Level 3"/>
    <w:basedOn w:val="Normal"/>
    <w:qFormat/>
    <w:rsid w:val="00BA0174"/>
    <w:pPr>
      <w:numPr>
        <w:numId w:val="15"/>
      </w:numPr>
      <w:autoSpaceDE w:val="0"/>
      <w:autoSpaceDN w:val="0"/>
      <w:adjustRightInd w:val="0"/>
    </w:pPr>
    <w:rPr>
      <w:rFonts w:cs="Arial"/>
      <w:color w:val="000000"/>
      <w:szCs w:val="20"/>
      <w:lang w:val="fr-BE"/>
    </w:rPr>
  </w:style>
  <w:style w:type="paragraph" w:customStyle="1" w:styleId="CEABullet-Level2">
    <w:name w:val="CEA Bullet - Level 2"/>
    <w:basedOn w:val="CEABullet-Level1"/>
    <w:next w:val="CEABullet-Level3"/>
    <w:qFormat/>
    <w:rsid w:val="00BA0174"/>
    <w:pPr>
      <w:numPr>
        <w:numId w:val="16"/>
      </w:numPr>
    </w:pPr>
  </w:style>
  <w:style w:type="paragraph" w:styleId="ListParagraph">
    <w:name w:val="List Paragraph"/>
    <w:basedOn w:val="Normal"/>
    <w:uiPriority w:val="34"/>
    <w:rsid w:val="00DA3B3A"/>
    <w:pPr>
      <w:ind w:left="720"/>
      <w:contextualSpacing/>
    </w:pPr>
  </w:style>
  <w:style w:type="character" w:customStyle="1" w:styleId="CommentTextChar">
    <w:name w:val="Comment Text Char"/>
    <w:basedOn w:val="DefaultParagraphFont"/>
    <w:link w:val="CommentText"/>
    <w:semiHidden/>
    <w:rsid w:val="00A06504"/>
    <w:rPr>
      <w:rFonts w:ascii="Verdana" w:hAnsi="Verdana"/>
      <w:sz w:val="17"/>
      <w:lang w:val="en-GB" w:eastAsia="en-US"/>
    </w:rPr>
  </w:style>
  <w:style w:type="paragraph" w:styleId="NoSpacing">
    <w:name w:val="No Spacing"/>
    <w:uiPriority w:val="1"/>
    <w:qFormat/>
    <w:rsid w:val="00FE0CEE"/>
    <w:rPr>
      <w:rFonts w:ascii="Calibri" w:eastAsia="Calibri" w:hAnsi="Calibri"/>
      <w:sz w:val="22"/>
      <w:szCs w:val="22"/>
      <w:lang w:val="en-GB" w:eastAsia="en-US"/>
    </w:rPr>
  </w:style>
  <w:style w:type="paragraph" w:styleId="EndnoteText">
    <w:name w:val="endnote text"/>
    <w:basedOn w:val="Normal"/>
    <w:link w:val="EndnoteTextChar"/>
    <w:semiHidden/>
    <w:rsid w:val="00510951"/>
    <w:pPr>
      <w:spacing w:line="240" w:lineRule="auto"/>
    </w:pPr>
    <w:rPr>
      <w:sz w:val="20"/>
      <w:szCs w:val="20"/>
    </w:rPr>
  </w:style>
  <w:style w:type="character" w:customStyle="1" w:styleId="EndnoteTextChar">
    <w:name w:val="Endnote Text Char"/>
    <w:basedOn w:val="DefaultParagraphFont"/>
    <w:link w:val="EndnoteText"/>
    <w:semiHidden/>
    <w:rsid w:val="00510951"/>
    <w:rPr>
      <w:rFonts w:ascii="Verdana" w:hAnsi="Verdana"/>
      <w:lang w:val="en-GB" w:eastAsia="en-US"/>
    </w:rPr>
  </w:style>
  <w:style w:type="character" w:styleId="EndnoteReference">
    <w:name w:val="endnote reference"/>
    <w:basedOn w:val="DefaultParagraphFont"/>
    <w:semiHidden/>
    <w:rsid w:val="00510951"/>
    <w:rPr>
      <w:vertAlign w:val="superscript"/>
    </w:rPr>
  </w:style>
  <w:style w:type="character" w:customStyle="1" w:styleId="FooterChar">
    <w:name w:val="Footer Char"/>
    <w:basedOn w:val="DefaultParagraphFont"/>
    <w:link w:val="Footer"/>
    <w:uiPriority w:val="99"/>
    <w:rsid w:val="000E763B"/>
    <w:rPr>
      <w:rFonts w:ascii="Verdana" w:hAnsi="Verdana"/>
      <w:sz w:val="17"/>
      <w:szCs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footer" w:uiPriority="99"/>
    <w:lsdException w:name="caption" w:semiHidden="1" w:unhideWhenUsed="1" w:qFormat="1"/>
    <w:lsdException w:name="endnote reference" w:semiHidden="1"/>
    <w:lsdException w:name="endnote text" w:semiHidden="1"/>
    <w:lsdException w:name="Emphasis" w:qFormat="1"/>
    <w:lsdException w:name="Document Map"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4F69"/>
    <w:pPr>
      <w:spacing w:line="288" w:lineRule="auto"/>
      <w:jc w:val="both"/>
    </w:pPr>
    <w:rPr>
      <w:rFonts w:ascii="Verdana" w:hAnsi="Verdana"/>
      <w:sz w:val="17"/>
      <w:szCs w:val="24"/>
      <w:lang w:val="en-GB" w:eastAsia="en-US"/>
    </w:rPr>
  </w:style>
  <w:style w:type="paragraph" w:styleId="Heading1">
    <w:name w:val="heading 1"/>
    <w:basedOn w:val="Noparagraphstyle"/>
    <w:semiHidden/>
    <w:qFormat/>
    <w:rsid w:val="009654A1"/>
    <w:pPr>
      <w:spacing w:before="600" w:after="20" w:line="240" w:lineRule="auto"/>
      <w:outlineLvl w:val="0"/>
    </w:pPr>
    <w:rPr>
      <w:rFonts w:ascii="Frutiger LT Com 45 Light" w:hAnsi="Frutiger LT Com 45 Light" w:cs="Arial"/>
      <w:b/>
      <w:bCs/>
      <w:sz w:val="28"/>
      <w:szCs w:val="36"/>
      <w:lang w:val="en-GB"/>
    </w:rPr>
  </w:style>
  <w:style w:type="paragraph" w:styleId="Heading2">
    <w:name w:val="heading 2"/>
    <w:basedOn w:val="Normal"/>
    <w:next w:val="Normal"/>
    <w:semiHidden/>
    <w:qFormat/>
    <w:rsid w:val="009654A1"/>
    <w:pPr>
      <w:keepNext/>
      <w:spacing w:after="220" w:line="240" w:lineRule="auto"/>
      <w:outlineLvl w:val="1"/>
    </w:pPr>
    <w:rPr>
      <w:rFonts w:cs="Arial"/>
      <w:b/>
      <w:bCs/>
      <w:iCs/>
      <w:sz w:val="22"/>
      <w:szCs w:val="28"/>
    </w:rPr>
  </w:style>
  <w:style w:type="paragraph" w:styleId="Heading3">
    <w:name w:val="heading 3"/>
    <w:basedOn w:val="Normal"/>
    <w:next w:val="Normal"/>
    <w:qFormat/>
    <w:rsid w:val="009654A1"/>
    <w:pPr>
      <w:keepNext/>
      <w:spacing w:line="240" w:lineRule="auto"/>
      <w:outlineLvl w:val="2"/>
    </w:pPr>
    <w:rPr>
      <w:rFonts w:cs="Arial"/>
      <w:b/>
      <w:bCs/>
      <w:szCs w:val="26"/>
    </w:rPr>
  </w:style>
  <w:style w:type="paragraph" w:styleId="Heading4">
    <w:name w:val="heading 4"/>
    <w:basedOn w:val="Normal"/>
    <w:next w:val="Normal"/>
    <w:semiHidden/>
    <w:rsid w:val="00B673B7"/>
    <w:pPr>
      <w:keepNext/>
      <w:spacing w:before="240" w:after="60"/>
      <w:outlineLvl w:val="3"/>
    </w:pPr>
    <w:rPr>
      <w:b/>
      <w:bCs/>
      <w:sz w:val="28"/>
      <w:szCs w:val="28"/>
    </w:rPr>
  </w:style>
  <w:style w:type="paragraph" w:styleId="Heading5">
    <w:name w:val="heading 5"/>
    <w:basedOn w:val="Normal"/>
    <w:next w:val="Normal"/>
    <w:semiHidden/>
    <w:rsid w:val="00B673B7"/>
    <w:pPr>
      <w:spacing w:before="240" w:after="60"/>
      <w:outlineLvl w:val="4"/>
    </w:pPr>
    <w:rPr>
      <w:b/>
      <w:bCs/>
      <w:i/>
      <w:iCs/>
      <w:sz w:val="26"/>
      <w:szCs w:val="26"/>
    </w:rPr>
  </w:style>
  <w:style w:type="paragraph" w:styleId="Heading6">
    <w:name w:val="heading 6"/>
    <w:basedOn w:val="Normal"/>
    <w:next w:val="Normal"/>
    <w:semiHidden/>
    <w:rsid w:val="00B673B7"/>
    <w:pPr>
      <w:spacing w:before="240" w:after="60"/>
      <w:outlineLvl w:val="5"/>
    </w:pPr>
    <w:rPr>
      <w:b/>
      <w:bCs/>
      <w:sz w:val="22"/>
      <w:szCs w:val="22"/>
    </w:rPr>
  </w:style>
  <w:style w:type="paragraph" w:styleId="Heading7">
    <w:name w:val="heading 7"/>
    <w:basedOn w:val="Normal"/>
    <w:next w:val="Normal"/>
    <w:semiHidden/>
    <w:rsid w:val="00B673B7"/>
    <w:pPr>
      <w:spacing w:before="240" w:after="60"/>
      <w:outlineLvl w:val="6"/>
    </w:pPr>
  </w:style>
  <w:style w:type="paragraph" w:styleId="Heading8">
    <w:name w:val="heading 8"/>
    <w:basedOn w:val="Normal"/>
    <w:next w:val="Normal"/>
    <w:semiHidden/>
    <w:rsid w:val="00B673B7"/>
    <w:pPr>
      <w:spacing w:before="240" w:after="60"/>
      <w:outlineLvl w:val="7"/>
    </w:pPr>
    <w:rPr>
      <w:i/>
      <w:iCs/>
    </w:rPr>
  </w:style>
  <w:style w:type="paragraph" w:styleId="Heading9">
    <w:name w:val="heading 9"/>
    <w:basedOn w:val="Normal"/>
    <w:next w:val="Normal"/>
    <w:semiHidden/>
    <w:rsid w:val="00B673B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B316E4"/>
    <w:pPr>
      <w:tabs>
        <w:tab w:val="center" w:pos="4320"/>
        <w:tab w:val="right" w:pos="8640"/>
      </w:tabs>
    </w:pPr>
  </w:style>
  <w:style w:type="paragraph" w:styleId="Footer">
    <w:name w:val="footer"/>
    <w:basedOn w:val="Normal"/>
    <w:link w:val="FooterChar"/>
    <w:uiPriority w:val="99"/>
    <w:rsid w:val="00B316E4"/>
    <w:pPr>
      <w:tabs>
        <w:tab w:val="center" w:pos="4320"/>
        <w:tab w:val="right" w:pos="8640"/>
      </w:tabs>
    </w:pPr>
  </w:style>
  <w:style w:type="paragraph" w:customStyle="1" w:styleId="Noparagraphstyle">
    <w:name w:val="[No paragraph style]"/>
    <w:semiHidden/>
    <w:rsid w:val="007E7781"/>
    <w:pPr>
      <w:autoSpaceDE w:val="0"/>
      <w:autoSpaceDN w:val="0"/>
      <w:adjustRightInd w:val="0"/>
      <w:spacing w:line="288" w:lineRule="auto"/>
      <w:textAlignment w:val="center"/>
    </w:pPr>
    <w:rPr>
      <w:color w:val="000000"/>
      <w:sz w:val="24"/>
      <w:szCs w:val="24"/>
      <w:lang w:val="en-US" w:eastAsia="en-US"/>
    </w:rPr>
  </w:style>
  <w:style w:type="character" w:styleId="Hyperlink">
    <w:name w:val="Hyperlink"/>
    <w:basedOn w:val="DefaultParagraphFont"/>
    <w:semiHidden/>
    <w:rsid w:val="004C7ACC"/>
    <w:rPr>
      <w:color w:val="0000FF"/>
      <w:u w:val="single"/>
    </w:rPr>
  </w:style>
  <w:style w:type="character" w:styleId="PageNumber">
    <w:name w:val="page number"/>
    <w:basedOn w:val="DefaultParagraphFont"/>
    <w:semiHidden/>
    <w:rsid w:val="000846C0"/>
  </w:style>
  <w:style w:type="paragraph" w:styleId="BalloonText">
    <w:name w:val="Balloon Text"/>
    <w:basedOn w:val="Normal"/>
    <w:semiHidden/>
    <w:rsid w:val="00813FF5"/>
    <w:rPr>
      <w:rFonts w:ascii="Tahoma" w:hAnsi="Tahoma" w:cs="Tahoma"/>
      <w:sz w:val="16"/>
      <w:szCs w:val="16"/>
    </w:rPr>
  </w:style>
  <w:style w:type="paragraph" w:styleId="FootnoteText">
    <w:name w:val="footnote text"/>
    <w:basedOn w:val="Normal"/>
    <w:semiHidden/>
    <w:rsid w:val="005D14DF"/>
    <w:rPr>
      <w:szCs w:val="20"/>
      <w:lang w:eastAsia="fr-FR"/>
    </w:rPr>
  </w:style>
  <w:style w:type="numbering" w:styleId="111111">
    <w:name w:val="Outline List 2"/>
    <w:basedOn w:val="NoList"/>
    <w:semiHidden/>
    <w:rsid w:val="00B673B7"/>
    <w:pPr>
      <w:numPr>
        <w:numId w:val="11"/>
      </w:numPr>
    </w:pPr>
  </w:style>
  <w:style w:type="numbering" w:styleId="1ai">
    <w:name w:val="Outline List 1"/>
    <w:basedOn w:val="NoList"/>
    <w:semiHidden/>
    <w:rsid w:val="00B673B7"/>
    <w:pPr>
      <w:numPr>
        <w:numId w:val="12"/>
      </w:numPr>
    </w:pPr>
  </w:style>
  <w:style w:type="numbering" w:styleId="ArticleSection">
    <w:name w:val="Outline List 3"/>
    <w:basedOn w:val="NoList"/>
    <w:semiHidden/>
    <w:rsid w:val="00B673B7"/>
    <w:pPr>
      <w:numPr>
        <w:numId w:val="13"/>
      </w:numPr>
    </w:pPr>
  </w:style>
  <w:style w:type="paragraph" w:styleId="BlockText">
    <w:name w:val="Block Text"/>
    <w:basedOn w:val="Normal"/>
    <w:semiHidden/>
    <w:rsid w:val="00B673B7"/>
    <w:pPr>
      <w:spacing w:after="120"/>
      <w:ind w:left="1440" w:right="1440"/>
    </w:pPr>
  </w:style>
  <w:style w:type="paragraph" w:styleId="BodyText">
    <w:name w:val="Body Text"/>
    <w:basedOn w:val="Normal"/>
    <w:semiHidden/>
    <w:rsid w:val="00B673B7"/>
    <w:pPr>
      <w:spacing w:after="120"/>
    </w:pPr>
  </w:style>
  <w:style w:type="paragraph" w:styleId="BodyText2">
    <w:name w:val="Body Text 2"/>
    <w:basedOn w:val="Normal"/>
    <w:semiHidden/>
    <w:rsid w:val="00B673B7"/>
    <w:pPr>
      <w:spacing w:after="120" w:line="480" w:lineRule="auto"/>
    </w:pPr>
  </w:style>
  <w:style w:type="paragraph" w:styleId="BodyText3">
    <w:name w:val="Body Text 3"/>
    <w:basedOn w:val="Normal"/>
    <w:semiHidden/>
    <w:rsid w:val="00B673B7"/>
    <w:pPr>
      <w:spacing w:after="120"/>
    </w:pPr>
    <w:rPr>
      <w:sz w:val="16"/>
      <w:szCs w:val="16"/>
    </w:rPr>
  </w:style>
  <w:style w:type="paragraph" w:styleId="BodyTextFirstIndent">
    <w:name w:val="Body Text First Indent"/>
    <w:basedOn w:val="BodyText"/>
    <w:semiHidden/>
    <w:rsid w:val="00B673B7"/>
    <w:pPr>
      <w:ind w:firstLine="210"/>
    </w:pPr>
  </w:style>
  <w:style w:type="paragraph" w:styleId="BodyTextIndent">
    <w:name w:val="Body Text Indent"/>
    <w:basedOn w:val="Normal"/>
    <w:semiHidden/>
    <w:rsid w:val="00B673B7"/>
    <w:pPr>
      <w:spacing w:after="120"/>
      <w:ind w:left="283"/>
    </w:pPr>
  </w:style>
  <w:style w:type="paragraph" w:styleId="BodyTextFirstIndent2">
    <w:name w:val="Body Text First Indent 2"/>
    <w:basedOn w:val="BodyTextIndent"/>
    <w:semiHidden/>
    <w:rsid w:val="00B673B7"/>
    <w:pPr>
      <w:ind w:firstLine="210"/>
    </w:pPr>
  </w:style>
  <w:style w:type="paragraph" w:styleId="BodyTextIndent2">
    <w:name w:val="Body Text Indent 2"/>
    <w:basedOn w:val="Normal"/>
    <w:semiHidden/>
    <w:rsid w:val="00B673B7"/>
    <w:pPr>
      <w:spacing w:after="120" w:line="480" w:lineRule="auto"/>
      <w:ind w:left="283"/>
    </w:pPr>
  </w:style>
  <w:style w:type="paragraph" w:styleId="BodyTextIndent3">
    <w:name w:val="Body Text Indent 3"/>
    <w:basedOn w:val="Normal"/>
    <w:semiHidden/>
    <w:rsid w:val="00B673B7"/>
    <w:pPr>
      <w:spacing w:after="120"/>
      <w:ind w:left="283"/>
    </w:pPr>
    <w:rPr>
      <w:sz w:val="16"/>
      <w:szCs w:val="16"/>
    </w:rPr>
  </w:style>
  <w:style w:type="paragraph" w:styleId="Closing">
    <w:name w:val="Closing"/>
    <w:basedOn w:val="Normal"/>
    <w:semiHidden/>
    <w:rsid w:val="00B673B7"/>
    <w:pPr>
      <w:ind w:left="4252"/>
    </w:pPr>
  </w:style>
  <w:style w:type="paragraph" w:styleId="PlainText">
    <w:name w:val="Plain Text"/>
    <w:basedOn w:val="Normal"/>
    <w:semiHidden/>
    <w:rsid w:val="00B673B7"/>
    <w:rPr>
      <w:rFonts w:ascii="Courier New" w:hAnsi="Courier New" w:cs="Courier New"/>
      <w:szCs w:val="20"/>
    </w:rPr>
  </w:style>
  <w:style w:type="paragraph" w:styleId="Salutation">
    <w:name w:val="Salutation"/>
    <w:basedOn w:val="Normal"/>
    <w:next w:val="Normal"/>
    <w:semiHidden/>
    <w:rsid w:val="00B673B7"/>
  </w:style>
  <w:style w:type="paragraph" w:styleId="Signature">
    <w:name w:val="Signature"/>
    <w:basedOn w:val="Normal"/>
    <w:semiHidden/>
    <w:rsid w:val="00B673B7"/>
    <w:pPr>
      <w:ind w:left="4252"/>
    </w:pPr>
  </w:style>
  <w:style w:type="table" w:styleId="Table3Deffects1">
    <w:name w:val="Table 3D effects 1"/>
    <w:basedOn w:val="TableNormal"/>
    <w:semiHidden/>
    <w:rsid w:val="00B673B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673B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673B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673B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673B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673B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673B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673B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673B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673B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673B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673B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673B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673B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673B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673B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673B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B67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673B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673B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673B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673B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673B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673B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673B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673B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673B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673B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673B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673B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673B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673B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673B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673B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67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B673B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673B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673B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Date">
    <w:name w:val="Date"/>
    <w:basedOn w:val="Normal"/>
    <w:next w:val="Normal"/>
    <w:semiHidden/>
    <w:rsid w:val="00B673B7"/>
  </w:style>
  <w:style w:type="paragraph" w:styleId="E-mailSignature">
    <w:name w:val="E-mail Signature"/>
    <w:basedOn w:val="Normal"/>
    <w:semiHidden/>
    <w:rsid w:val="00B673B7"/>
  </w:style>
  <w:style w:type="character" w:styleId="Emphasis">
    <w:name w:val="Emphasis"/>
    <w:basedOn w:val="DefaultParagraphFont"/>
    <w:semiHidden/>
    <w:qFormat/>
    <w:rsid w:val="009654A1"/>
    <w:rPr>
      <w:i/>
      <w:iCs/>
    </w:rPr>
  </w:style>
  <w:style w:type="paragraph" w:styleId="EnvelopeAddress">
    <w:name w:val="envelope address"/>
    <w:basedOn w:val="Normal"/>
    <w:semiHidden/>
    <w:rsid w:val="00B673B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B673B7"/>
    <w:rPr>
      <w:rFonts w:ascii="Arial" w:hAnsi="Arial" w:cs="Arial"/>
      <w:szCs w:val="20"/>
    </w:rPr>
  </w:style>
  <w:style w:type="character" w:styleId="FollowedHyperlink">
    <w:name w:val="FollowedHyperlink"/>
    <w:basedOn w:val="DefaultParagraphFont"/>
    <w:semiHidden/>
    <w:rsid w:val="00B673B7"/>
    <w:rPr>
      <w:color w:val="800080"/>
      <w:u w:val="single"/>
    </w:rPr>
  </w:style>
  <w:style w:type="character" w:styleId="HTMLAcronym">
    <w:name w:val="HTML Acronym"/>
    <w:basedOn w:val="DefaultParagraphFont"/>
    <w:semiHidden/>
    <w:rsid w:val="00B673B7"/>
  </w:style>
  <w:style w:type="paragraph" w:styleId="HTMLAddress">
    <w:name w:val="HTML Address"/>
    <w:basedOn w:val="Normal"/>
    <w:semiHidden/>
    <w:rsid w:val="00B673B7"/>
    <w:rPr>
      <w:i/>
      <w:iCs/>
    </w:rPr>
  </w:style>
  <w:style w:type="character" w:styleId="HTMLCite">
    <w:name w:val="HTML Cite"/>
    <w:basedOn w:val="DefaultParagraphFont"/>
    <w:semiHidden/>
    <w:rsid w:val="00B673B7"/>
    <w:rPr>
      <w:i/>
      <w:iCs/>
    </w:rPr>
  </w:style>
  <w:style w:type="character" w:styleId="HTMLCode">
    <w:name w:val="HTML Code"/>
    <w:basedOn w:val="DefaultParagraphFont"/>
    <w:semiHidden/>
    <w:rsid w:val="00B673B7"/>
    <w:rPr>
      <w:rFonts w:ascii="Courier New" w:hAnsi="Courier New" w:cs="Courier New"/>
      <w:sz w:val="20"/>
      <w:szCs w:val="20"/>
    </w:rPr>
  </w:style>
  <w:style w:type="character" w:styleId="HTMLDefinition">
    <w:name w:val="HTML Definition"/>
    <w:basedOn w:val="DefaultParagraphFont"/>
    <w:semiHidden/>
    <w:rsid w:val="00B673B7"/>
    <w:rPr>
      <w:i/>
      <w:iCs/>
    </w:rPr>
  </w:style>
  <w:style w:type="character" w:styleId="HTMLKeyboard">
    <w:name w:val="HTML Keyboard"/>
    <w:basedOn w:val="DefaultParagraphFont"/>
    <w:semiHidden/>
    <w:rsid w:val="00B673B7"/>
    <w:rPr>
      <w:rFonts w:ascii="Courier New" w:hAnsi="Courier New" w:cs="Courier New"/>
      <w:sz w:val="20"/>
      <w:szCs w:val="20"/>
    </w:rPr>
  </w:style>
  <w:style w:type="paragraph" w:styleId="HTMLPreformatted">
    <w:name w:val="HTML Preformatted"/>
    <w:basedOn w:val="Normal"/>
    <w:semiHidden/>
    <w:rsid w:val="00B673B7"/>
    <w:rPr>
      <w:rFonts w:ascii="Courier New" w:hAnsi="Courier New" w:cs="Courier New"/>
      <w:szCs w:val="20"/>
    </w:rPr>
  </w:style>
  <w:style w:type="character" w:styleId="HTMLSample">
    <w:name w:val="HTML Sample"/>
    <w:basedOn w:val="DefaultParagraphFont"/>
    <w:semiHidden/>
    <w:rsid w:val="00B673B7"/>
    <w:rPr>
      <w:rFonts w:ascii="Courier New" w:hAnsi="Courier New" w:cs="Courier New"/>
    </w:rPr>
  </w:style>
  <w:style w:type="character" w:styleId="HTMLTypewriter">
    <w:name w:val="HTML Typewriter"/>
    <w:basedOn w:val="DefaultParagraphFont"/>
    <w:semiHidden/>
    <w:rsid w:val="00B673B7"/>
    <w:rPr>
      <w:rFonts w:ascii="Courier New" w:hAnsi="Courier New" w:cs="Courier New"/>
      <w:sz w:val="20"/>
      <w:szCs w:val="20"/>
    </w:rPr>
  </w:style>
  <w:style w:type="character" w:styleId="HTMLVariable">
    <w:name w:val="HTML Variable"/>
    <w:basedOn w:val="DefaultParagraphFont"/>
    <w:semiHidden/>
    <w:rsid w:val="00B673B7"/>
    <w:rPr>
      <w:i/>
      <w:iCs/>
    </w:rPr>
  </w:style>
  <w:style w:type="character" w:styleId="LineNumber">
    <w:name w:val="line number"/>
    <w:basedOn w:val="DefaultParagraphFont"/>
    <w:semiHidden/>
    <w:rsid w:val="00B673B7"/>
  </w:style>
  <w:style w:type="paragraph" w:styleId="List">
    <w:name w:val="List"/>
    <w:basedOn w:val="Normal"/>
    <w:semiHidden/>
    <w:rsid w:val="00B673B7"/>
    <w:pPr>
      <w:ind w:left="283" w:hanging="283"/>
    </w:pPr>
  </w:style>
  <w:style w:type="paragraph" w:styleId="List2">
    <w:name w:val="List 2"/>
    <w:basedOn w:val="Normal"/>
    <w:semiHidden/>
    <w:rsid w:val="00B673B7"/>
    <w:pPr>
      <w:ind w:left="566" w:hanging="283"/>
    </w:pPr>
  </w:style>
  <w:style w:type="paragraph" w:styleId="List3">
    <w:name w:val="List 3"/>
    <w:basedOn w:val="Normal"/>
    <w:semiHidden/>
    <w:rsid w:val="00B673B7"/>
    <w:pPr>
      <w:ind w:left="849" w:hanging="283"/>
    </w:pPr>
  </w:style>
  <w:style w:type="paragraph" w:styleId="List4">
    <w:name w:val="List 4"/>
    <w:basedOn w:val="Normal"/>
    <w:semiHidden/>
    <w:rsid w:val="00B673B7"/>
    <w:pPr>
      <w:ind w:left="1132" w:hanging="283"/>
    </w:pPr>
  </w:style>
  <w:style w:type="paragraph" w:styleId="List5">
    <w:name w:val="List 5"/>
    <w:basedOn w:val="Normal"/>
    <w:semiHidden/>
    <w:rsid w:val="00B673B7"/>
    <w:pPr>
      <w:ind w:left="1415" w:hanging="283"/>
    </w:pPr>
  </w:style>
  <w:style w:type="paragraph" w:styleId="ListBullet">
    <w:name w:val="List Bullet"/>
    <w:basedOn w:val="Normal"/>
    <w:semiHidden/>
    <w:rsid w:val="00B673B7"/>
    <w:pPr>
      <w:numPr>
        <w:numId w:val="1"/>
      </w:numPr>
    </w:pPr>
  </w:style>
  <w:style w:type="paragraph" w:styleId="ListBullet2">
    <w:name w:val="List Bullet 2"/>
    <w:basedOn w:val="Normal"/>
    <w:semiHidden/>
    <w:rsid w:val="00B673B7"/>
    <w:pPr>
      <w:numPr>
        <w:numId w:val="2"/>
      </w:numPr>
    </w:pPr>
  </w:style>
  <w:style w:type="paragraph" w:styleId="ListBullet3">
    <w:name w:val="List Bullet 3"/>
    <w:basedOn w:val="Normal"/>
    <w:semiHidden/>
    <w:rsid w:val="00B673B7"/>
    <w:pPr>
      <w:numPr>
        <w:numId w:val="3"/>
      </w:numPr>
    </w:pPr>
  </w:style>
  <w:style w:type="paragraph" w:styleId="ListBullet4">
    <w:name w:val="List Bullet 4"/>
    <w:basedOn w:val="Normal"/>
    <w:semiHidden/>
    <w:rsid w:val="00B673B7"/>
    <w:pPr>
      <w:numPr>
        <w:numId w:val="4"/>
      </w:numPr>
    </w:pPr>
  </w:style>
  <w:style w:type="paragraph" w:styleId="ListBullet5">
    <w:name w:val="List Bullet 5"/>
    <w:basedOn w:val="Normal"/>
    <w:semiHidden/>
    <w:rsid w:val="00B673B7"/>
    <w:pPr>
      <w:numPr>
        <w:numId w:val="5"/>
      </w:numPr>
    </w:pPr>
  </w:style>
  <w:style w:type="paragraph" w:styleId="ListContinue">
    <w:name w:val="List Continue"/>
    <w:basedOn w:val="Normal"/>
    <w:semiHidden/>
    <w:rsid w:val="00B673B7"/>
    <w:pPr>
      <w:spacing w:after="120"/>
      <w:ind w:left="283"/>
    </w:pPr>
  </w:style>
  <w:style w:type="paragraph" w:styleId="ListContinue2">
    <w:name w:val="List Continue 2"/>
    <w:basedOn w:val="Normal"/>
    <w:semiHidden/>
    <w:rsid w:val="00B673B7"/>
    <w:pPr>
      <w:spacing w:after="120"/>
      <w:ind w:left="566"/>
    </w:pPr>
  </w:style>
  <w:style w:type="paragraph" w:styleId="ListContinue3">
    <w:name w:val="List Continue 3"/>
    <w:basedOn w:val="Normal"/>
    <w:semiHidden/>
    <w:rsid w:val="00B673B7"/>
    <w:pPr>
      <w:spacing w:after="120"/>
      <w:ind w:left="849"/>
    </w:pPr>
  </w:style>
  <w:style w:type="paragraph" w:styleId="ListContinue4">
    <w:name w:val="List Continue 4"/>
    <w:basedOn w:val="Normal"/>
    <w:semiHidden/>
    <w:rsid w:val="00B673B7"/>
    <w:pPr>
      <w:spacing w:after="120"/>
      <w:ind w:left="1132"/>
    </w:pPr>
  </w:style>
  <w:style w:type="paragraph" w:styleId="ListContinue5">
    <w:name w:val="List Continue 5"/>
    <w:basedOn w:val="Normal"/>
    <w:semiHidden/>
    <w:rsid w:val="00B673B7"/>
    <w:pPr>
      <w:spacing w:after="120"/>
      <w:ind w:left="1415"/>
    </w:pPr>
  </w:style>
  <w:style w:type="paragraph" w:styleId="ListNumber">
    <w:name w:val="List Number"/>
    <w:basedOn w:val="Normal"/>
    <w:semiHidden/>
    <w:rsid w:val="00B673B7"/>
    <w:pPr>
      <w:numPr>
        <w:numId w:val="6"/>
      </w:numPr>
    </w:pPr>
  </w:style>
  <w:style w:type="paragraph" w:styleId="ListNumber2">
    <w:name w:val="List Number 2"/>
    <w:basedOn w:val="Normal"/>
    <w:semiHidden/>
    <w:rsid w:val="00B673B7"/>
    <w:pPr>
      <w:numPr>
        <w:numId w:val="7"/>
      </w:numPr>
    </w:pPr>
  </w:style>
  <w:style w:type="paragraph" w:styleId="ListNumber3">
    <w:name w:val="List Number 3"/>
    <w:basedOn w:val="Normal"/>
    <w:semiHidden/>
    <w:rsid w:val="00B673B7"/>
    <w:pPr>
      <w:numPr>
        <w:numId w:val="8"/>
      </w:numPr>
    </w:pPr>
  </w:style>
  <w:style w:type="paragraph" w:styleId="ListNumber4">
    <w:name w:val="List Number 4"/>
    <w:basedOn w:val="Normal"/>
    <w:semiHidden/>
    <w:rsid w:val="00B673B7"/>
    <w:pPr>
      <w:numPr>
        <w:numId w:val="9"/>
      </w:numPr>
    </w:pPr>
  </w:style>
  <w:style w:type="paragraph" w:styleId="ListNumber5">
    <w:name w:val="List Number 5"/>
    <w:basedOn w:val="Normal"/>
    <w:semiHidden/>
    <w:rsid w:val="00B673B7"/>
    <w:pPr>
      <w:numPr>
        <w:numId w:val="10"/>
      </w:numPr>
    </w:pPr>
  </w:style>
  <w:style w:type="paragraph" w:styleId="MessageHeader">
    <w:name w:val="Message Header"/>
    <w:basedOn w:val="Normal"/>
    <w:semiHidden/>
    <w:rsid w:val="00B673B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B673B7"/>
  </w:style>
  <w:style w:type="paragraph" w:styleId="NormalIndent">
    <w:name w:val="Normal Indent"/>
    <w:basedOn w:val="Normal"/>
    <w:semiHidden/>
    <w:rsid w:val="00B673B7"/>
    <w:pPr>
      <w:ind w:left="720"/>
    </w:pPr>
  </w:style>
  <w:style w:type="paragraph" w:styleId="NoteHeading">
    <w:name w:val="Note Heading"/>
    <w:basedOn w:val="Normal"/>
    <w:next w:val="Normal"/>
    <w:semiHidden/>
    <w:rsid w:val="00B673B7"/>
  </w:style>
  <w:style w:type="character" w:styleId="FootnoteReference">
    <w:name w:val="footnote reference"/>
    <w:basedOn w:val="DefaultParagraphFont"/>
    <w:semiHidden/>
    <w:rsid w:val="005D14DF"/>
    <w:rPr>
      <w:vertAlign w:val="superscript"/>
    </w:rPr>
  </w:style>
  <w:style w:type="paragraph" w:customStyle="1" w:styleId="Heading1CEA">
    <w:name w:val="Heading 1 (CEA)"/>
    <w:basedOn w:val="Normal"/>
    <w:link w:val="Heading1CEAChar"/>
    <w:semiHidden/>
    <w:rsid w:val="00A9408A"/>
    <w:pPr>
      <w:autoSpaceDE w:val="0"/>
      <w:autoSpaceDN w:val="0"/>
      <w:adjustRightInd w:val="0"/>
    </w:pPr>
    <w:rPr>
      <w:rFonts w:ascii="Arial" w:hAnsi="Arial"/>
      <w:b/>
      <w:color w:val="034EA2"/>
      <w:sz w:val="32"/>
      <w:szCs w:val="32"/>
    </w:rPr>
  </w:style>
  <w:style w:type="character" w:customStyle="1" w:styleId="Heading1CEAChar">
    <w:name w:val="Heading 1 (CEA) Char"/>
    <w:basedOn w:val="DefaultParagraphFont"/>
    <w:link w:val="Heading1CEA"/>
    <w:rsid w:val="00A9408A"/>
    <w:rPr>
      <w:rFonts w:ascii="Arial" w:hAnsi="Arial"/>
      <w:b/>
      <w:color w:val="034EA2"/>
      <w:sz w:val="32"/>
      <w:szCs w:val="32"/>
      <w:lang w:val="en-US" w:eastAsia="en-US" w:bidi="ar-SA"/>
    </w:rPr>
  </w:style>
  <w:style w:type="paragraph" w:customStyle="1" w:styleId="Heading2CEA">
    <w:name w:val="Heading 2 (CEA)"/>
    <w:basedOn w:val="Normal"/>
    <w:semiHidden/>
    <w:rsid w:val="00A9408A"/>
    <w:pPr>
      <w:autoSpaceDE w:val="0"/>
      <w:autoSpaceDN w:val="0"/>
      <w:adjustRightInd w:val="0"/>
    </w:pPr>
    <w:rPr>
      <w:rFonts w:ascii="Arial" w:hAnsi="Arial"/>
      <w:sz w:val="28"/>
      <w:szCs w:val="28"/>
    </w:rPr>
  </w:style>
  <w:style w:type="character" w:styleId="CommentReference">
    <w:name w:val="annotation reference"/>
    <w:basedOn w:val="DefaultParagraphFont"/>
    <w:semiHidden/>
    <w:rsid w:val="00517FE2"/>
    <w:rPr>
      <w:sz w:val="16"/>
      <w:szCs w:val="16"/>
    </w:rPr>
  </w:style>
  <w:style w:type="paragraph" w:styleId="CommentText">
    <w:name w:val="annotation text"/>
    <w:basedOn w:val="Normal"/>
    <w:link w:val="CommentTextChar"/>
    <w:semiHidden/>
    <w:rsid w:val="00517FE2"/>
    <w:rPr>
      <w:szCs w:val="20"/>
    </w:rPr>
  </w:style>
  <w:style w:type="paragraph" w:styleId="CommentSubject">
    <w:name w:val="annotation subject"/>
    <w:basedOn w:val="CommentText"/>
    <w:next w:val="CommentText"/>
    <w:semiHidden/>
    <w:rsid w:val="00517FE2"/>
    <w:rPr>
      <w:b/>
      <w:bCs/>
    </w:rPr>
  </w:style>
  <w:style w:type="paragraph" w:customStyle="1" w:styleId="CEALabel">
    <w:name w:val="CEA Label"/>
    <w:basedOn w:val="Normal"/>
    <w:semiHidden/>
    <w:qFormat/>
    <w:rsid w:val="009654A1"/>
    <w:pPr>
      <w:tabs>
        <w:tab w:val="right" w:pos="360"/>
        <w:tab w:val="left" w:pos="540"/>
      </w:tabs>
      <w:autoSpaceDE w:val="0"/>
      <w:autoSpaceDN w:val="0"/>
      <w:adjustRightInd w:val="0"/>
      <w:spacing w:before="30"/>
      <w:jc w:val="right"/>
      <w:textAlignment w:val="center"/>
    </w:pPr>
    <w:rPr>
      <w:rFonts w:cs="Arial"/>
      <w:b/>
      <w:color w:val="034EA2"/>
      <w:spacing w:val="-4"/>
      <w:w w:val="90"/>
      <w:sz w:val="16"/>
      <w:szCs w:val="16"/>
    </w:rPr>
  </w:style>
  <w:style w:type="paragraph" w:customStyle="1" w:styleId="CEAFooterauthorinfo">
    <w:name w:val="CEA Footer (author info)"/>
    <w:basedOn w:val="Normal"/>
    <w:semiHidden/>
    <w:qFormat/>
    <w:rsid w:val="009654A1"/>
    <w:pPr>
      <w:autoSpaceDE w:val="0"/>
      <w:autoSpaceDN w:val="0"/>
      <w:adjustRightInd w:val="0"/>
      <w:ind w:left="546"/>
      <w:textAlignment w:val="center"/>
    </w:pPr>
    <w:rPr>
      <w:rFonts w:cs="Arial"/>
      <w:b/>
      <w:color w:val="034EA2"/>
      <w:sz w:val="16"/>
      <w:szCs w:val="16"/>
      <w:lang w:val="nl-NL"/>
    </w:rPr>
  </w:style>
  <w:style w:type="paragraph" w:customStyle="1" w:styleId="CEADocumentType">
    <w:name w:val="CEA Document Type"/>
    <w:basedOn w:val="Normal"/>
    <w:semiHidden/>
    <w:qFormat/>
    <w:rsid w:val="009654A1"/>
    <w:pPr>
      <w:jc w:val="right"/>
    </w:pPr>
    <w:rPr>
      <w:rFonts w:cs="Arial"/>
      <w:b/>
      <w:color w:val="0032FF"/>
      <w:sz w:val="40"/>
      <w:szCs w:val="40"/>
    </w:rPr>
  </w:style>
  <w:style w:type="paragraph" w:customStyle="1" w:styleId="CEADraft">
    <w:name w:val="CEA Draft"/>
    <w:basedOn w:val="CEADocumentType"/>
    <w:semiHidden/>
    <w:qFormat/>
    <w:rsid w:val="009654A1"/>
    <w:rPr>
      <w:color w:val="034EA2"/>
      <w:sz w:val="32"/>
    </w:rPr>
  </w:style>
  <w:style w:type="paragraph" w:customStyle="1" w:styleId="CEASubjectLine">
    <w:name w:val="CEA Subject Line"/>
    <w:basedOn w:val="Normal"/>
    <w:semiHidden/>
    <w:qFormat/>
    <w:rsid w:val="009654A1"/>
    <w:rPr>
      <w:rFonts w:cs="Arial"/>
      <w:b/>
      <w:szCs w:val="20"/>
    </w:rPr>
  </w:style>
  <w:style w:type="character" w:customStyle="1" w:styleId="CEAGraphX">
    <w:name w:val="CEA Graph X"/>
    <w:basedOn w:val="DefaultParagraphFont"/>
    <w:uiPriority w:val="1"/>
    <w:qFormat/>
    <w:rsid w:val="00534F69"/>
    <w:rPr>
      <w:rFonts w:ascii="Verdana" w:hAnsi="Verdana"/>
      <w:smallCaps/>
      <w:sz w:val="17"/>
    </w:rPr>
  </w:style>
  <w:style w:type="character" w:customStyle="1" w:styleId="CEAGraphTitle">
    <w:name w:val="CEA Graph Title"/>
    <w:basedOn w:val="CEAGraphX"/>
    <w:uiPriority w:val="1"/>
    <w:qFormat/>
    <w:rsid w:val="00534F69"/>
    <w:rPr>
      <w:rFonts w:ascii="Verdana" w:hAnsi="Verdana"/>
      <w:smallCaps w:val="0"/>
      <w:sz w:val="17"/>
    </w:rPr>
  </w:style>
  <w:style w:type="paragraph" w:customStyle="1" w:styleId="CEADirectorGeneral">
    <w:name w:val="CEA Director General"/>
    <w:basedOn w:val="Normal"/>
    <w:semiHidden/>
    <w:qFormat/>
    <w:rsid w:val="009654A1"/>
    <w:pPr>
      <w:tabs>
        <w:tab w:val="right" w:pos="360"/>
        <w:tab w:val="left" w:pos="540"/>
      </w:tabs>
      <w:autoSpaceDE w:val="0"/>
      <w:autoSpaceDN w:val="0"/>
      <w:adjustRightInd w:val="0"/>
      <w:textAlignment w:val="center"/>
    </w:pPr>
    <w:rPr>
      <w:sz w:val="22"/>
      <w:szCs w:val="22"/>
    </w:rPr>
  </w:style>
  <w:style w:type="paragraph" w:customStyle="1" w:styleId="CEAFootnote">
    <w:name w:val="CEA Footnote"/>
    <w:basedOn w:val="Normal"/>
    <w:semiHidden/>
    <w:qFormat/>
    <w:rsid w:val="009654A1"/>
    <w:pPr>
      <w:spacing w:line="240" w:lineRule="auto"/>
    </w:pPr>
    <w:rPr>
      <w:sz w:val="16"/>
    </w:rPr>
  </w:style>
  <w:style w:type="paragraph" w:customStyle="1" w:styleId="CEABullet-Level1">
    <w:name w:val="CEA Bullet - Level 1"/>
    <w:basedOn w:val="Normal"/>
    <w:qFormat/>
    <w:rsid w:val="00BA0174"/>
    <w:pPr>
      <w:numPr>
        <w:numId w:val="14"/>
      </w:numPr>
      <w:autoSpaceDE w:val="0"/>
      <w:autoSpaceDN w:val="0"/>
      <w:adjustRightInd w:val="0"/>
    </w:pPr>
    <w:rPr>
      <w:rFonts w:cs="Arial"/>
      <w:color w:val="000000"/>
      <w:szCs w:val="20"/>
      <w:lang w:val="fr-BE"/>
    </w:rPr>
  </w:style>
  <w:style w:type="paragraph" w:customStyle="1" w:styleId="CEABullet-Level3">
    <w:name w:val="CEA Bullet - Level 3"/>
    <w:basedOn w:val="Normal"/>
    <w:qFormat/>
    <w:rsid w:val="00BA0174"/>
    <w:pPr>
      <w:numPr>
        <w:numId w:val="15"/>
      </w:numPr>
      <w:autoSpaceDE w:val="0"/>
      <w:autoSpaceDN w:val="0"/>
      <w:adjustRightInd w:val="0"/>
    </w:pPr>
    <w:rPr>
      <w:rFonts w:cs="Arial"/>
      <w:color w:val="000000"/>
      <w:szCs w:val="20"/>
      <w:lang w:val="fr-BE"/>
    </w:rPr>
  </w:style>
  <w:style w:type="paragraph" w:customStyle="1" w:styleId="CEABullet-Level2">
    <w:name w:val="CEA Bullet - Level 2"/>
    <w:basedOn w:val="CEABullet-Level1"/>
    <w:next w:val="CEABullet-Level3"/>
    <w:qFormat/>
    <w:rsid w:val="00BA0174"/>
    <w:pPr>
      <w:numPr>
        <w:numId w:val="16"/>
      </w:numPr>
    </w:pPr>
  </w:style>
  <w:style w:type="paragraph" w:styleId="ListParagraph">
    <w:name w:val="List Paragraph"/>
    <w:basedOn w:val="Normal"/>
    <w:uiPriority w:val="34"/>
    <w:rsid w:val="00DA3B3A"/>
    <w:pPr>
      <w:ind w:left="720"/>
      <w:contextualSpacing/>
    </w:pPr>
  </w:style>
  <w:style w:type="character" w:customStyle="1" w:styleId="CommentTextChar">
    <w:name w:val="Comment Text Char"/>
    <w:basedOn w:val="DefaultParagraphFont"/>
    <w:link w:val="CommentText"/>
    <w:semiHidden/>
    <w:rsid w:val="00A06504"/>
    <w:rPr>
      <w:rFonts w:ascii="Verdana" w:hAnsi="Verdana"/>
      <w:sz w:val="17"/>
      <w:lang w:val="en-GB" w:eastAsia="en-US"/>
    </w:rPr>
  </w:style>
  <w:style w:type="paragraph" w:styleId="NoSpacing">
    <w:name w:val="No Spacing"/>
    <w:uiPriority w:val="1"/>
    <w:qFormat/>
    <w:rsid w:val="00FE0CEE"/>
    <w:rPr>
      <w:rFonts w:ascii="Calibri" w:eastAsia="Calibri" w:hAnsi="Calibri"/>
      <w:sz w:val="22"/>
      <w:szCs w:val="22"/>
      <w:lang w:val="en-GB" w:eastAsia="en-US"/>
    </w:rPr>
  </w:style>
  <w:style w:type="paragraph" w:styleId="EndnoteText">
    <w:name w:val="endnote text"/>
    <w:basedOn w:val="Normal"/>
    <w:link w:val="EndnoteTextChar"/>
    <w:semiHidden/>
    <w:rsid w:val="00510951"/>
    <w:pPr>
      <w:spacing w:line="240" w:lineRule="auto"/>
    </w:pPr>
    <w:rPr>
      <w:sz w:val="20"/>
      <w:szCs w:val="20"/>
    </w:rPr>
  </w:style>
  <w:style w:type="character" w:customStyle="1" w:styleId="EndnoteTextChar">
    <w:name w:val="Endnote Text Char"/>
    <w:basedOn w:val="DefaultParagraphFont"/>
    <w:link w:val="EndnoteText"/>
    <w:semiHidden/>
    <w:rsid w:val="00510951"/>
    <w:rPr>
      <w:rFonts w:ascii="Verdana" w:hAnsi="Verdana"/>
      <w:lang w:val="en-GB" w:eastAsia="en-US"/>
    </w:rPr>
  </w:style>
  <w:style w:type="character" w:styleId="EndnoteReference">
    <w:name w:val="endnote reference"/>
    <w:basedOn w:val="DefaultParagraphFont"/>
    <w:semiHidden/>
    <w:rsid w:val="00510951"/>
    <w:rPr>
      <w:vertAlign w:val="superscript"/>
    </w:rPr>
  </w:style>
  <w:style w:type="character" w:customStyle="1" w:styleId="FooterChar">
    <w:name w:val="Footer Char"/>
    <w:basedOn w:val="DefaultParagraphFont"/>
    <w:link w:val="Footer"/>
    <w:uiPriority w:val="99"/>
    <w:rsid w:val="000E763B"/>
    <w:rPr>
      <w:rFonts w:ascii="Verdana" w:hAnsi="Verdana"/>
      <w:sz w:val="17"/>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406038">
      <w:bodyDiv w:val="1"/>
      <w:marLeft w:val="0"/>
      <w:marRight w:val="0"/>
      <w:marTop w:val="0"/>
      <w:marBottom w:val="0"/>
      <w:divBdr>
        <w:top w:val="none" w:sz="0" w:space="0" w:color="auto"/>
        <w:left w:val="none" w:sz="0" w:space="0" w:color="auto"/>
        <w:bottom w:val="none" w:sz="0" w:space="0" w:color="auto"/>
        <w:right w:val="none" w:sz="0" w:space="0" w:color="auto"/>
      </w:divBdr>
    </w:div>
    <w:div w:id="1034114090">
      <w:bodyDiv w:val="1"/>
      <w:marLeft w:val="0"/>
      <w:marRight w:val="0"/>
      <w:marTop w:val="0"/>
      <w:marBottom w:val="0"/>
      <w:divBdr>
        <w:top w:val="none" w:sz="0" w:space="0" w:color="auto"/>
        <w:left w:val="none" w:sz="0" w:space="0" w:color="auto"/>
        <w:bottom w:val="none" w:sz="0" w:space="0" w:color="auto"/>
        <w:right w:val="none" w:sz="0" w:space="0" w:color="auto"/>
      </w:divBdr>
    </w:div>
    <w:div w:id="1986618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comments" Target="comment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I:\_iDocLogicxConfiguration\Standard%20documents\CEA%20Blan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9F9974-2701-4F9E-8106-D95083B36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CEA Blank</Template>
  <TotalTime>771</TotalTime>
  <Pages>7</Pages>
  <Words>3469</Words>
  <Characters>19775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CEA Insurers of Europe</Company>
  <LinksUpToDate>false</LinksUpToDate>
  <CharactersWithSpaces>23198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Lamprini Gyftokosta</dc:creator>
  <cp:lastModifiedBy>Lamprini Gyftokosta</cp:lastModifiedBy>
  <cp:revision>39</cp:revision>
  <cp:lastPrinted>2012-05-14T14:19:00Z</cp:lastPrinted>
  <dcterms:created xsi:type="dcterms:W3CDTF">2012-05-09T08:51:00Z</dcterms:created>
  <dcterms:modified xsi:type="dcterms:W3CDTF">2012-05-14T14:42:00Z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xAuthor">
    <vt:lpwstr>lamprinig</vt:lpwstr>
  </property>
  <property fmtid="{D5CDD505-2E9C-101B-9397-08002B2CF9AE}" pid="3" name="Language">
    <vt:lpwstr>English (U.K.)</vt:lpwstr>
  </property>
  <property fmtid="{D5CDD505-2E9C-101B-9397-08002B2CF9AE}" pid="4" name="idxObjects">
    <vt:lpwstr>1</vt:lpwstr>
  </property>
  <property fmtid="{D5CDD505-2E9C-101B-9397-08002B2CF9AE}" pid="5" name="idxName1">
    <vt:lpwstr>Blank document</vt:lpwstr>
  </property>
  <property fmtid="{D5CDD505-2E9C-101B-9397-08002B2CF9AE}" pid="6" name="idxProject1">
    <vt:lpwstr>CEA</vt:lpwstr>
  </property>
</Properties>
</file>