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02" w:rsidRDefault="003D4E02" w:rsidP="003D4E0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Dobrý deň, </w:t>
      </w:r>
    </w:p>
    <w:p w:rsidR="003D4E02" w:rsidRDefault="003D4E02" w:rsidP="003D4E02">
      <w:pPr>
        <w:rPr>
          <w:rFonts w:ascii="Arial" w:hAnsi="Arial" w:cs="Arial"/>
          <w:color w:val="000080"/>
          <w:sz w:val="20"/>
          <w:szCs w:val="20"/>
        </w:rPr>
      </w:pPr>
    </w:p>
    <w:p w:rsidR="003D4E02" w:rsidRDefault="003D4E02" w:rsidP="003D4E0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zasielam stručné odpovede na naznačené okruhy: </w:t>
      </w:r>
    </w:p>
    <w:p w:rsidR="003D4E02" w:rsidRDefault="003D4E02" w:rsidP="003D4E02">
      <w:pPr>
        <w:numPr>
          <w:ilvl w:val="0"/>
          <w:numId w:val="1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z pohľadu našej spoločnosti sú problematické najmä ustanovenia v tlačivách bánk, ktoré obsahujú potvrdenie o poistení na novú cenu (bez akýchkoľvek obmedzení) a požiadavky, ktorými banky prenášajú na poisťovne povinnosti podľa opatrenia NBS č. 4/2007, príp. ktorými banky požadujú potvrdiť skutočnosti, ktoré poisťovne nemôžu splniť (napr. že poistenie nezanikne v prípade zmeny vlastníka). V prílohe zasielam tlačivá VOLKSBANK a SLSP, ktoré obsahujú niektoré zo spomínaných bodov. Bolo by dobré, keby sa medzi bankami a poisťovňami ustálilo: </w:t>
      </w:r>
    </w:p>
    <w:p w:rsidR="003D4E02" w:rsidRDefault="003D4E02" w:rsidP="003D4E02">
      <w:pPr>
        <w:ind w:left="360" w:firstLine="348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1. či sa budú používať vinkulácie alebo oznámenia podľa § 151mc (príp. v ktorých prípadoch),</w:t>
      </w:r>
    </w:p>
    <w:p w:rsidR="003D4E02" w:rsidRDefault="003D4E02" w:rsidP="003D4E02">
      <w:pPr>
        <w:ind w:left="360" w:firstLine="348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2. aký bude rozsah potvrdení zo strany poisťovne (čo všetko by mali poisťovne potvrdzovať a čo potvrdzovať nedokážu),</w:t>
      </w:r>
    </w:p>
    <w:p w:rsidR="003D4E02" w:rsidRDefault="003D4E02" w:rsidP="003D4E02">
      <w:pPr>
        <w:ind w:left="360" w:firstLine="348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3. rámcový rozsah informačných povinností (ak to vôbec bude možné)</w:t>
      </w:r>
    </w:p>
    <w:p w:rsidR="003D4E02" w:rsidRDefault="003D4E02" w:rsidP="003D4E02">
      <w:pPr>
        <w:numPr>
          <w:ilvl w:val="0"/>
          <w:numId w:val="1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rozlišovanie medzi vinkuláciou a záložným právom zatiaľ je zatiaľ v podmienkach poisťovne redukované iba na pár prípadov, drvivá väčšina prípadov sa rieši režimom vinkulácií. Podľa našich skúseností sa totiž používajú v súčasnosti cca. tri druhy tlačív: </w:t>
      </w:r>
    </w:p>
    <w:p w:rsidR="003D4E02" w:rsidRDefault="003D4E02" w:rsidP="003D4E02">
      <w:pPr>
        <w:numPr>
          <w:ilvl w:val="2"/>
          <w:numId w:val="1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čisté vinkulačné tlačivá – ide tlačivá, ktoré svojou formuláciou výslovne smerujú k vinkulácii poistného plnenia a neobsahujú zmienku o oznámení podľa § 151mc OZ – s týmito tlačivami pracujeme ako s klasickými vinkuláciami</w:t>
      </w:r>
    </w:p>
    <w:p w:rsidR="003D4E02" w:rsidRDefault="003D4E02" w:rsidP="003D4E02">
      <w:pPr>
        <w:numPr>
          <w:ilvl w:val="2"/>
          <w:numId w:val="1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kombinované vinkulačné tlačivá – ide o tlačivá, ktoré síce obsahujú oznámenie podľa § 151mc OZ, zároveň však obsahujú aj požiadavku na vinkuláciu poistného plnenia – keďže tieto tlačivá obsahujú požiadavku na vinkuláciu, správajú sa v podstate rovnako ako čisté vinkulačné tlačivá (takéto tlačivá používa napr. VÚB alebo SLSP)</w:t>
      </w:r>
    </w:p>
    <w:p w:rsidR="003D4E02" w:rsidRDefault="003D4E02" w:rsidP="003D4E02">
      <w:pPr>
        <w:numPr>
          <w:ilvl w:val="2"/>
          <w:numId w:val="1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čisté oznámenia podľa § 151mc OZ – tieto tlačivá obsahujú iba oznámenie podľa § 151mc OZ, ktoré je doplnené o požiadavky na poskytovanie informácií zo strany poisťovne (neplatenie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postného</w:t>
      </w:r>
      <w:proofErr w:type="spellEnd"/>
      <w:r>
        <w:rPr>
          <w:rFonts w:ascii="Arial" w:hAnsi="Arial" w:cs="Arial"/>
          <w:color w:val="000080"/>
          <w:sz w:val="20"/>
          <w:szCs w:val="20"/>
        </w:rPr>
        <w:t>, zánik poistnej zmluvy a pod.) – tieto tlačivá sa vyskytujú najmenej, používa ich napr. TATRA BANKA</w:t>
      </w:r>
    </w:p>
    <w:p w:rsidR="003D4E02" w:rsidRDefault="003D4E02" w:rsidP="003D4E02">
      <w:pPr>
        <w:numPr>
          <w:ilvl w:val="0"/>
          <w:numId w:val="1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rozdiely medzi aplikáciou vinkulácie a záložného práva vznikajú najmä v prípade škodových udalostí:</w:t>
      </w:r>
    </w:p>
    <w:p w:rsidR="003D4E02" w:rsidRDefault="003D4E02" w:rsidP="003D4E02">
      <w:pPr>
        <w:numPr>
          <w:ilvl w:val="2"/>
          <w:numId w:val="1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vinkulácia sa viaže na akékoľvek plnenia z poistnej zmluvy a povinnosť podľa § 151mc OZ sa viaže iba na záloh (t.j. vo väčšine prípadov na plnenie z poistenia nehnuteľnosti); </w:t>
      </w:r>
    </w:p>
    <w:p w:rsidR="003D4E02" w:rsidRDefault="003D4E02" w:rsidP="003D4E02">
      <w:pPr>
        <w:numPr>
          <w:ilvl w:val="2"/>
          <w:numId w:val="1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vinkulácia sa zriaďuje do výšky poskytnutého úveru, pri záložnom práve má však poisťovňa povinnosť vyplatiť poistné plnenie záložnému veriteľovi bez ohľadu na aktuálnu výšku úveru;</w:t>
      </w:r>
    </w:p>
    <w:p w:rsidR="003D4E02" w:rsidRDefault="003D4E02" w:rsidP="003D4E02">
      <w:pPr>
        <w:numPr>
          <w:ilvl w:val="2"/>
          <w:numId w:val="1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vinkulácia zaniká až jej zrušením, povinnosť podľa § 151mc zaniká aj zánikom záložného práva a pod. </w:t>
      </w:r>
    </w:p>
    <w:p w:rsidR="003D4E02" w:rsidRDefault="003D4E02" w:rsidP="003D4E02">
      <w:pPr>
        <w:ind w:left="708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Podľa našich skúseností však zatiaľ tieto rozdiely nerobia u nás problémy, pretože v drvivej väčšine prípadov sa plnenie aj tak nakoniec so súhlasom banky vyplatí poistenému. Zatiaľ neevidujeme prípad, kedy by nám rozdiely medzi vinkuláciou a záložným právom spôsobili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väžnejší</w:t>
      </w:r>
      <w:proofErr w:type="spellEnd"/>
      <w:r>
        <w:rPr>
          <w:rFonts w:ascii="Arial" w:hAnsi="Arial" w:cs="Arial"/>
          <w:color w:val="000080"/>
          <w:sz w:val="20"/>
          <w:szCs w:val="20"/>
        </w:rPr>
        <w:t xml:space="preserve"> problém.</w:t>
      </w:r>
    </w:p>
    <w:p w:rsidR="003D4E02" w:rsidRDefault="003D4E02" w:rsidP="003D4E02">
      <w:pPr>
        <w:numPr>
          <w:ilvl w:val="0"/>
          <w:numId w:val="1"/>
        </w:num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sú však aj ďalšie prípady, v ktorých môžu vzniknúť problémové okruhy, napr. v súvislosti s potvrdzovaním tlačív pri viacerých </w:t>
      </w:r>
      <w:proofErr w:type="spellStart"/>
      <w:r>
        <w:rPr>
          <w:rFonts w:ascii="Arial" w:hAnsi="Arial" w:cs="Arial"/>
          <w:color w:val="000080"/>
          <w:sz w:val="20"/>
          <w:szCs w:val="20"/>
        </w:rPr>
        <w:t>vinkuláciach</w:t>
      </w:r>
      <w:proofErr w:type="spellEnd"/>
      <w:r>
        <w:rPr>
          <w:rFonts w:ascii="Arial" w:hAnsi="Arial" w:cs="Arial"/>
          <w:color w:val="000080"/>
          <w:sz w:val="20"/>
          <w:szCs w:val="20"/>
        </w:rPr>
        <w:t>/záložných právach, alebo pri riešení situácie, kedy bude doručené oznámenie záložného práva k poistnej zmluve, ku ktorej je už evidovaná vinkulácie pre iný subjekt.</w:t>
      </w:r>
    </w:p>
    <w:p w:rsidR="003D4E02" w:rsidRDefault="003D4E02" w:rsidP="003D4E02">
      <w:pPr>
        <w:rPr>
          <w:rFonts w:ascii="Arial" w:hAnsi="Arial" w:cs="Arial"/>
          <w:color w:val="000080"/>
          <w:sz w:val="20"/>
          <w:szCs w:val="20"/>
        </w:rPr>
      </w:pPr>
    </w:p>
    <w:p w:rsidR="003D4E02" w:rsidRDefault="003D4E02" w:rsidP="003D4E0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S pozdravom</w:t>
      </w:r>
    </w:p>
    <w:p w:rsidR="003D4E02" w:rsidRDefault="003D4E02" w:rsidP="003D4E02">
      <w:pPr>
        <w:rPr>
          <w:rFonts w:ascii="Arial" w:hAnsi="Arial" w:cs="Arial"/>
          <w:color w:val="000080"/>
          <w:sz w:val="20"/>
          <w:szCs w:val="20"/>
        </w:rPr>
      </w:pPr>
    </w:p>
    <w:p w:rsidR="003D4E02" w:rsidRDefault="003D4E02" w:rsidP="003D4E02">
      <w:pPr>
        <w:rPr>
          <w:color w:val="000080"/>
        </w:rPr>
      </w:pPr>
      <w:r>
        <w:rPr>
          <w:rStyle w:val="Siln"/>
          <w:rFonts w:ascii="Arial" w:hAnsi="Arial" w:cs="Arial"/>
          <w:color w:val="000080"/>
          <w:sz w:val="20"/>
          <w:szCs w:val="20"/>
        </w:rPr>
        <w:t>Martin Petruľák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3D4E02" w:rsidRDefault="003D4E02" w:rsidP="003D4E0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právnik</w:t>
      </w:r>
    </w:p>
    <w:p w:rsidR="003D4E02" w:rsidRDefault="003D4E02" w:rsidP="003D4E02">
      <w:pPr>
        <w:rPr>
          <w:color w:val="000080"/>
        </w:rPr>
      </w:pPr>
      <w:r>
        <w:rPr>
          <w:color w:val="000080"/>
        </w:rPr>
        <w:t> </w:t>
      </w:r>
    </w:p>
    <w:p w:rsidR="003D4E02" w:rsidRDefault="003D4E02" w:rsidP="003D4E0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Poisťovňa Poštovej banky, a. s.</w:t>
      </w:r>
    </w:p>
    <w:p w:rsidR="003D4E02" w:rsidRDefault="003D4E02" w:rsidP="003D4E02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Prievozská 2/B</w:t>
      </w:r>
    </w:p>
    <w:p w:rsidR="003D4E02" w:rsidRDefault="003D4E02" w:rsidP="003D4E02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824 64 Bratislava</w:t>
      </w:r>
    </w:p>
    <w:p w:rsidR="003D4E02" w:rsidRDefault="003D4E02" w:rsidP="003D4E02">
      <w:pPr>
        <w:rPr>
          <w:rFonts w:ascii="Times New Roman" w:hAnsi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>Tel: 02/59 60 81 73</w:t>
      </w:r>
    </w:p>
    <w:p w:rsidR="004E1222" w:rsidRDefault="003D4E02"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5" w:history="1">
        <w:r>
          <w:rPr>
            <w:rStyle w:val="Hypertextovprepojenie"/>
            <w:rFonts w:ascii="Arial" w:hAnsi="Arial" w:cs="Arial"/>
            <w:sz w:val="20"/>
            <w:szCs w:val="20"/>
          </w:rPr>
          <w:t>martin.petrulak@ppabk.sk</w:t>
        </w:r>
      </w:hyperlink>
    </w:p>
    <w:sectPr w:rsidR="004E1222" w:rsidSect="004E1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655F1"/>
    <w:multiLevelType w:val="hybridMultilevel"/>
    <w:tmpl w:val="496E673A"/>
    <w:lvl w:ilvl="0" w:tplc="740C61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803C8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E02"/>
    <w:rsid w:val="003D4E02"/>
    <w:rsid w:val="004E1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4E02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D4E02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3D4E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petrulak@ptatr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2011-04-19T11:25:00Z</dcterms:created>
  <dcterms:modified xsi:type="dcterms:W3CDTF">2011-04-19T11:26:00Z</dcterms:modified>
</cp:coreProperties>
</file>