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9" w:rsidRDefault="005C6C3B">
      <w:r>
        <w:rPr>
          <w:rFonts w:ascii="Arial" w:hAnsi="Arial" w:cs="Arial"/>
          <w:sz w:val="20"/>
          <w:szCs w:val="20"/>
        </w:rPr>
        <w:t>Krátke odôvodnenie k úpravám:  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Osobitná formulárová dohoda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Text som upravila tak, aby bol pre bežného človeka ľahšie čitateľný, vyhodila som niektoré odkazy na iné ustanovenia formulárovej dohody.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Rámcová dohoda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Po našom telefonickom rozhovore som zistila , že v článku IV odsek 2 sa nachádza ustanovenie o oznamovaní záložného práva (ďalej ako ZP).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Do článku II upravujúceho účel dohody vložila ustanovenie, že zmluva upravuje aj postup pri oznamovaní ZP, nakoľko som podľa stretnutia na SBA usúdila, že bankám ide hlavne o túto aktivitu.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Konkrétny postup som navrhla do článku III odsek 1 podľa zápisu zo stretnutia na SBA dňa 25.9.2012.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Článok III, odsek 2 (pôvodne článok III, bod a))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Formulácia: "Pre prípad vzniku poistnej udalosti po oznámení vzniku ZP" - ide o úhradu plnenia podľa § 151mc odsek 2 OZ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Článok IV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Úpravy sa týkajú hlavne číslovania, v dokumente bolo zle nastavené číslovanie odsekov, opravy sa mi dali vykonať iba týmto spôsobom. </w:t>
      </w:r>
      <w:r>
        <w:br/>
      </w:r>
      <w:r>
        <w:rPr>
          <w:rFonts w:ascii="Arial" w:hAnsi="Arial" w:cs="Arial"/>
          <w:sz w:val="20"/>
          <w:szCs w:val="20"/>
        </w:rPr>
        <w:t xml:space="preserve">Vyhodila som len niektoré formulácie, ktoré som presunula do článku III odsek 1.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Článok V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Preformulovanie častí, ktoré sa mi zdali menej zrozumiteľné.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Okrem uvedeného je potrebné prediskutovať, či sa Rámcová dohoda bude uzatvárať vo forme 1 banka-1 poisťovňa, 1 banka - viacero poisťovní, 1 poisťovňa - viacero bánk alebo viacero bánk - viacero poisťovní.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Taktiež by bolo vhodné zosúladiť spôsob číslovania (v rámcovej dohode je za článkami  zmixované číslovanie arabskými číslicami s číslovaním podľa písmen.)</w:t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C6C3B"/>
    <w:rsid w:val="001837FA"/>
    <w:rsid w:val="00242AF0"/>
    <w:rsid w:val="00272FAF"/>
    <w:rsid w:val="005C6C3B"/>
    <w:rsid w:val="009425F9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2012-11-19T08:44:00Z</dcterms:created>
  <dcterms:modified xsi:type="dcterms:W3CDTF">2012-11-19T08:44:00Z</dcterms:modified>
</cp:coreProperties>
</file>