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5B" w:rsidRDefault="0044705B" w:rsidP="0044705B">
      <w:pPr>
        <w:pStyle w:val="Odsekzoznamu"/>
        <w:numPr>
          <w:ilvl w:val="0"/>
          <w:numId w:val="1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Dátum podpisu IGA.</w:t>
      </w:r>
    </w:p>
    <w:p w:rsidR="0044705B" w:rsidRDefault="0044705B" w:rsidP="0044705B">
      <w:pPr>
        <w:pStyle w:val="Odsekzoznamu"/>
        <w:numPr>
          <w:ilvl w:val="0"/>
          <w:numId w:val="1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Vyjasnenie, či dôchodkové správcovské spoločnosti a doplnkové dôchodkové spoločnosti podliehajú FATCA. V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Annexe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II sa totiž uvádza, že vyňaté sú dôchodkové fondy. Avšak na Slovensku nemajú fondy dôchodkových správcovských spoločností a doplnkových dôchodkových spoločností právnu subjektivity. Výnimka by sa teda mala vzťahovať na tieto spoločnosti, nie na fondy, ktoré spravujú. </w:t>
      </w:r>
    </w:p>
    <w:p w:rsidR="0044705B" w:rsidRDefault="0044705B" w:rsidP="0044705B">
      <w:pPr>
        <w:pStyle w:val="Odsekzoznamu"/>
        <w:numPr>
          <w:ilvl w:val="0"/>
          <w:numId w:val="1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Zabezpečenie, aby sa poisťovne nedostali do rozporu s (i) ustanovením § 797 ods. 3 Občianskeho zákonníka, pokiaľ poisťovňa zadrží výplatu poistného plnenia, prípadne do omeškania, pokiaľ poisťovňa zadrží výplatu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odkupnej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hodnoty, (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ii</w:t>
      </w:r>
      <w:proofErr w:type="spellEnd"/>
      <w:r>
        <w:rPr>
          <w:rFonts w:ascii="Arial" w:hAnsi="Arial" w:cs="Arial"/>
          <w:color w:val="1F497D"/>
          <w:sz w:val="20"/>
          <w:szCs w:val="20"/>
        </w:rPr>
        <w:t>) ustanovením § 4 ods. 3 zákona o ochrane spotrebiteľa, pokiaľ by poisťovňa v súlade s FATCA nemala uzavrieť s potenciálnym klientom poistnú zmluvu a (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iii</w:t>
      </w:r>
      <w:proofErr w:type="spellEnd"/>
      <w:r>
        <w:rPr>
          <w:rFonts w:ascii="Arial" w:hAnsi="Arial" w:cs="Arial"/>
          <w:color w:val="1F497D"/>
          <w:sz w:val="20"/>
          <w:szCs w:val="20"/>
        </w:rPr>
        <w:t>) ustanovením § 800  ods. 3 Občianskeho zákonníka, pokiaľ by poisťovňa mala v súlade s FATCA vypovedať poistnú zmluvu.</w:t>
      </w:r>
    </w:p>
    <w:p w:rsidR="0044705B" w:rsidRDefault="0044705B" w:rsidP="0044705B">
      <w:pPr>
        <w:pStyle w:val="Odsekzoznamu"/>
        <w:numPr>
          <w:ilvl w:val="0"/>
          <w:numId w:val="1"/>
        </w:num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Potvrdenie informácie, že poisťovne budú reportovať slovenskému orgánu štátnej správy, ktorý bude následne poskytovať dané informácie IRS. Daný postup by totiž značnej zjednodušil prenos osobných údajov.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D3339"/>
    <w:multiLevelType w:val="hybridMultilevel"/>
    <w:tmpl w:val="AEF2EC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2BA"/>
    <w:rsid w:val="001837FA"/>
    <w:rsid w:val="00242AF0"/>
    <w:rsid w:val="0044705B"/>
    <w:rsid w:val="005252BA"/>
    <w:rsid w:val="00827E2A"/>
    <w:rsid w:val="008E6EF9"/>
    <w:rsid w:val="009425F9"/>
    <w:rsid w:val="00A140ED"/>
    <w:rsid w:val="00AA0245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52BA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705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dcterms:created xsi:type="dcterms:W3CDTF">2013-07-01T09:52:00Z</dcterms:created>
  <dcterms:modified xsi:type="dcterms:W3CDTF">2013-07-01T09:52:00Z</dcterms:modified>
</cp:coreProperties>
</file>