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8F9C" w14:textId="0589C66C" w:rsidR="00587FA4" w:rsidRPr="004A0A00" w:rsidRDefault="00B300E5" w:rsidP="00B300E5">
      <w:pPr>
        <w:pStyle w:val="CEABullet-Level1"/>
        <w:rPr>
          <w:b/>
          <w:bCs/>
          <w:sz w:val="20"/>
          <w:szCs w:val="24"/>
        </w:rPr>
      </w:pPr>
      <w:r w:rsidRPr="004A0A00">
        <w:rPr>
          <w:b/>
          <w:bCs/>
          <w:sz w:val="20"/>
          <w:szCs w:val="24"/>
        </w:rPr>
        <w:t xml:space="preserve">Reakcia Insurance Europe na konzultáciu Európskej </w:t>
      </w:r>
      <w:r w:rsidR="004A0A00" w:rsidRPr="004A0A00">
        <w:rPr>
          <w:b/>
          <w:bCs/>
          <w:sz w:val="20"/>
          <w:szCs w:val="24"/>
        </w:rPr>
        <w:t xml:space="preserve">komisie </w:t>
      </w:r>
      <w:proofErr w:type="spellStart"/>
      <w:r w:rsidR="004A0A00" w:rsidRPr="004A0A00">
        <w:rPr>
          <w:b/>
          <w:bCs/>
          <w:sz w:val="20"/>
          <w:szCs w:val="24"/>
        </w:rPr>
        <w:t>Have</w:t>
      </w:r>
      <w:proofErr w:type="spellEnd"/>
      <w:r w:rsidR="004A0A00" w:rsidRPr="004A0A00">
        <w:rPr>
          <w:b/>
          <w:bCs/>
          <w:sz w:val="20"/>
          <w:szCs w:val="24"/>
        </w:rPr>
        <w:t xml:space="preserve"> </w:t>
      </w:r>
      <w:proofErr w:type="spellStart"/>
      <w:r w:rsidR="004A0A00" w:rsidRPr="004A0A00">
        <w:rPr>
          <w:b/>
          <w:bCs/>
          <w:sz w:val="20"/>
          <w:szCs w:val="24"/>
        </w:rPr>
        <w:t>your</w:t>
      </w:r>
      <w:proofErr w:type="spellEnd"/>
      <w:r w:rsidR="004A0A00" w:rsidRPr="004A0A00">
        <w:rPr>
          <w:b/>
          <w:bCs/>
          <w:sz w:val="20"/>
          <w:szCs w:val="24"/>
        </w:rPr>
        <w:t xml:space="preserve"> </w:t>
      </w:r>
      <w:proofErr w:type="spellStart"/>
      <w:r w:rsidR="004A0A00" w:rsidRPr="004A0A00">
        <w:rPr>
          <w:b/>
          <w:bCs/>
          <w:sz w:val="20"/>
          <w:szCs w:val="24"/>
        </w:rPr>
        <w:t>Say</w:t>
      </w:r>
      <w:proofErr w:type="spellEnd"/>
      <w:r w:rsidR="004A0A00" w:rsidRPr="004A0A00">
        <w:rPr>
          <w:b/>
          <w:bCs/>
          <w:sz w:val="20"/>
          <w:szCs w:val="24"/>
        </w:rPr>
        <w:t xml:space="preserve"> „</w:t>
      </w:r>
      <w:proofErr w:type="spellStart"/>
      <w:r w:rsidR="004A0A00" w:rsidRPr="004A0A00">
        <w:rPr>
          <w:b/>
          <w:bCs/>
          <w:sz w:val="20"/>
          <w:szCs w:val="24"/>
        </w:rPr>
        <w:t>Retailové</w:t>
      </w:r>
      <w:proofErr w:type="spellEnd"/>
      <w:r w:rsidR="004A0A00" w:rsidRPr="004A0A00">
        <w:rPr>
          <w:b/>
          <w:bCs/>
          <w:sz w:val="20"/>
          <w:szCs w:val="24"/>
        </w:rPr>
        <w:t xml:space="preserve"> investície – nový balík opatrení na zvýšenie účasti spotrebiteľov na kapitálových trhoch“ </w:t>
      </w:r>
      <w:r w:rsidR="004A0A00" w:rsidRPr="004A0A00">
        <w:rPr>
          <w:sz w:val="20"/>
          <w:szCs w:val="24"/>
        </w:rPr>
        <w:t xml:space="preserve">( </w:t>
      </w:r>
      <w:hyperlink r:id="rId11" w:history="1">
        <w:r w:rsidR="004A0A00" w:rsidRPr="003902A9">
          <w:rPr>
            <w:rStyle w:val="Hypertextovprepojenie"/>
            <w:sz w:val="20"/>
            <w:szCs w:val="24"/>
          </w:rPr>
          <w:t xml:space="preserve">link </w:t>
        </w:r>
      </w:hyperlink>
      <w:r w:rsidR="004A0A00" w:rsidRPr="004A0A00">
        <w:rPr>
          <w:sz w:val="20"/>
          <w:szCs w:val="24"/>
        </w:rPr>
        <w:t>) – termín 28. augusta</w:t>
      </w:r>
    </w:p>
    <w:p w14:paraId="2C15BB57" w14:textId="77777777" w:rsidR="00587FA4" w:rsidRDefault="00587FA4" w:rsidP="00587FA4">
      <w:pPr>
        <w:pStyle w:val="CEABullet-Level1"/>
        <w:jc w:val="center"/>
        <w:rPr>
          <w:b/>
          <w:bCs/>
          <w:sz w:val="20"/>
          <w:szCs w:val="24"/>
          <w:u w:val="single"/>
        </w:rPr>
      </w:pPr>
    </w:p>
    <w:p w14:paraId="79C75240" w14:textId="348582C7" w:rsidR="004A0A00" w:rsidRDefault="004A0A00" w:rsidP="00A618A1">
      <w:pPr>
        <w:pStyle w:val="CEABullet-Level1"/>
        <w:rPr>
          <w:b/>
          <w:bCs/>
          <w:sz w:val="20"/>
          <w:szCs w:val="24"/>
        </w:rPr>
      </w:pPr>
      <w:r w:rsidRPr="004A0A00">
        <w:rPr>
          <w:b/>
          <w:bCs/>
          <w:sz w:val="20"/>
          <w:szCs w:val="24"/>
        </w:rPr>
        <w:t xml:space="preserve">Zhrnutie </w:t>
      </w:r>
      <w:r w:rsidR="00A618A1" w:rsidRPr="00A60785">
        <w:rPr>
          <w:sz w:val="20"/>
          <w:szCs w:val="24"/>
        </w:rPr>
        <w:t>(4 000 znakov vrátane medzier)</w:t>
      </w:r>
    </w:p>
    <w:p w14:paraId="3B0CE91B" w14:textId="77777777" w:rsidR="004A0A00" w:rsidRDefault="004A0A00" w:rsidP="004A0A00">
      <w:pPr>
        <w:pStyle w:val="CEABullet-Level1"/>
        <w:jc w:val="left"/>
        <w:rPr>
          <w:b/>
          <w:bCs/>
          <w:sz w:val="20"/>
          <w:szCs w:val="24"/>
        </w:rPr>
      </w:pPr>
    </w:p>
    <w:p w14:paraId="11B57E13" w14:textId="42F3D5C5" w:rsidR="00B0352C" w:rsidRPr="00D75D90" w:rsidRDefault="00921463" w:rsidP="00B0352C">
      <w:pPr>
        <w:pStyle w:val="CEABullet-Level1"/>
      </w:pPr>
      <w:r w:rsidRPr="00921463">
        <w:t>Insurance Europe podporuje cieľ stratégie retailových investícií (RIS) zvýšiť účasť maloobchodníkov na finančných trhoch a zároveň chrániť investorov pred nekalými praktikami. V dobre navrhnutom legislatívnom rámci sú investičné produkty založené na poistení (IBIP) kľúčové, aby umožnili spotrebiteľom s dôverou investovať na kapitálových trhoch, získať prístup k poistnej ochrane a pripraviť sa na starobu.</w:t>
      </w:r>
    </w:p>
    <w:p w14:paraId="4111909A" w14:textId="7AB24C28" w:rsidR="00921463" w:rsidRPr="00921463" w:rsidRDefault="00921463" w:rsidP="00921463">
      <w:pPr>
        <w:pStyle w:val="CEABullet-Level1"/>
      </w:pPr>
    </w:p>
    <w:p w14:paraId="45C87127" w14:textId="419686C0" w:rsidR="00D86275" w:rsidRDefault="00D529DB" w:rsidP="00921463">
      <w:pPr>
        <w:pStyle w:val="CEABullet-Level1"/>
      </w:pPr>
      <w:r w:rsidRPr="00921463">
        <w:t xml:space="preserve">Insurance Europe víta snahu RIS o digitalizáciu regulačného rámca, zefektívnenie informácií pre spotrebiteľov, podporu finančného vzdelávania, využívanie spotrebiteľského testovania a zachovanie charakteru minimálnej harmonizácie IDD s možnosťami členských štátov zaviesť ďalšie obmedzenia tam, kde je to vhodné pre ich trh (napr. </w:t>
      </w:r>
      <w:r>
        <w:t xml:space="preserve">povinné </w:t>
      </w:r>
      <w:r w:rsidR="00D6476F" w:rsidRPr="00D6476F">
        <w:t>poradenstvo alebo úplný zákaz podnecovania).</w:t>
      </w:r>
    </w:p>
    <w:p w14:paraId="5B229115" w14:textId="77777777" w:rsidR="001C11F6" w:rsidRPr="00921463" w:rsidRDefault="001C11F6" w:rsidP="00921463">
      <w:pPr>
        <w:pStyle w:val="CEABullet-Level1"/>
      </w:pPr>
    </w:p>
    <w:p w14:paraId="385B619F" w14:textId="44462D2D" w:rsidR="00053313" w:rsidRDefault="001C11F6" w:rsidP="00D75D90">
      <w:pPr>
        <w:pStyle w:val="CEABullet-Level1"/>
      </w:pPr>
      <w:r>
        <w:t xml:space="preserve">Priemysel sa však obáva </w:t>
      </w:r>
      <w:r w:rsidR="00AF292C">
        <w:t xml:space="preserve">, že </w:t>
      </w:r>
      <w:r w:rsidR="002D7BB5" w:rsidRPr="00F40531">
        <w:rPr>
          <w:b/>
          <w:bCs/>
        </w:rPr>
        <w:t xml:space="preserve">niektoré návrhy RIS by pre spotrebiteľov podstatne skomplikovali investovanie, odradili by ich od toho alebo by ich nasmerovali k nákupu najlacnejšieho produktu, </w:t>
      </w:r>
      <w:r w:rsidR="00BD0F5C">
        <w:rPr>
          <w:b/>
        </w:rPr>
        <w:t>aj keď nie najlepšieho.</w:t>
      </w:r>
    </w:p>
    <w:p w14:paraId="1B6B76E3" w14:textId="77777777" w:rsidR="00F56C16" w:rsidRDefault="00F56C16" w:rsidP="00D75D90">
      <w:pPr>
        <w:pStyle w:val="CEABullet-Level1"/>
      </w:pPr>
    </w:p>
    <w:p w14:paraId="7D811320" w14:textId="7FF700C7" w:rsidR="00053313" w:rsidRDefault="00F56C16" w:rsidP="00316FA6">
      <w:pPr>
        <w:pStyle w:val="CEABullet-Level1"/>
      </w:pPr>
      <w:r w:rsidRPr="00157929">
        <w:rPr>
          <w:b/>
          <w:bCs/>
        </w:rPr>
        <w:t xml:space="preserve">Insurance Europe v prílohe uvádza zoznam </w:t>
      </w:r>
      <w:r w:rsidRPr="00F40531">
        <w:rPr>
          <w:b/>
          <w:bCs/>
          <w:color w:val="auto"/>
        </w:rPr>
        <w:t xml:space="preserve">odporúčaní </w:t>
      </w:r>
      <w:r w:rsidR="00E25260">
        <w:rPr>
          <w:b/>
          <w:bCs/>
        </w:rPr>
        <w:t xml:space="preserve">na zlepšenie návrhu </w:t>
      </w:r>
      <w:r w:rsidR="00316FA6">
        <w:t>, najmä v týchto otázkach:</w:t>
      </w:r>
    </w:p>
    <w:p w14:paraId="18208B31" w14:textId="77777777" w:rsidR="00994A72" w:rsidRDefault="00994A72" w:rsidP="00316FA6">
      <w:pPr>
        <w:pStyle w:val="CEABullet-Level1"/>
      </w:pPr>
    </w:p>
    <w:p w14:paraId="5E4ACDA8" w14:textId="0C177263" w:rsidR="00BC3378" w:rsidRPr="006F5AA1" w:rsidRDefault="00BC3378" w:rsidP="000D09E5">
      <w:pPr>
        <w:pStyle w:val="CEABullet-Level1"/>
        <w:numPr>
          <w:ilvl w:val="0"/>
          <w:numId w:val="5"/>
        </w:numPr>
      </w:pPr>
      <w:r w:rsidRPr="006F5AA1">
        <w:t xml:space="preserve">Návrhy obsahujú </w:t>
      </w:r>
      <w:r w:rsidR="007A30E6" w:rsidRPr="00447E3D">
        <w:rPr>
          <w:b/>
          <w:bCs/>
        </w:rPr>
        <w:t xml:space="preserve">viaceré zákazy nabádania </w:t>
      </w:r>
      <w:r w:rsidR="00996CDE">
        <w:t>. Zavádzajú sa nové zákazy provízií za predaje len na exekúcie, predaj bez poradenstva a nezávislé poradenstvo, ako aj nové problematické požiadavky na vyplácanie stimulov za iné predaje s poradenstvom. Všetky tieto nové opatrenia sú v rozpore s cieľom RIS, ktorým je urobiť investovanie inkluzívnejším, pretože pre spotrebiteľov bude ťažké, alebo dokonca nemožné, aby zvážili nakupovanie a prijímali investičné rozhodnutia bez toho, aby museli platiť vopred poplatok.</w:t>
      </w:r>
    </w:p>
    <w:p w14:paraId="3EC8772B" w14:textId="36068835" w:rsidR="00134A7B" w:rsidRDefault="004A3EB2" w:rsidP="000D09E5">
      <w:pPr>
        <w:pStyle w:val="Odsekzoznamu"/>
        <w:numPr>
          <w:ilvl w:val="0"/>
          <w:numId w:val="5"/>
        </w:numPr>
      </w:pPr>
      <w:r>
        <w:t xml:space="preserve">Používanie </w:t>
      </w:r>
      <w:r w:rsidR="00901E11" w:rsidRPr="00A83AED">
        <w:rPr>
          <w:b/>
          <w:bCs/>
        </w:rPr>
        <w:t xml:space="preserve">referenčných hodnôt hodnoty za peniaze </w:t>
      </w:r>
      <w:r w:rsidR="00213413" w:rsidRPr="006F5AA1">
        <w:t xml:space="preserve">so zameraním na náklady a výkon by bolo v rozpore so slobodou trhu navrhovať produkty a viedlo by k cenovej regulácii a iným neúmyselným negatívnym dôsledkom. Obavy tohto odvetvia sú rozmanité: </w:t>
      </w:r>
      <w:r w:rsidR="006D1E95">
        <w:t xml:space="preserve">i ) hodnota zahŕňa viac ako len náklady a návratnosť (ochrana, funkcie ESG, servis, pomoc atď.); ii) bude zložité, ak nie nemožné, vypracovať zmysluplné a praktické celoeurópske referenčné hodnoty vzhľadom na rôznorodosť produktov a trhov; iii) referenčné hodnoty nebudú viesť k hospodárskej súťaži a inováciám av konečnom dôsledku obmedzia výber spotrebiteľov; iv) nie je primerané uložiť všetkým účastníkom trhu dodatočnú záťaž na identifikáciu niekoľkých odľahlých hodnôt. Podobne existuje riziko, že </w:t>
      </w:r>
      <w:r w:rsidR="001757E0" w:rsidRPr="00A83AED">
        <w:rPr>
          <w:b/>
          <w:bCs/>
        </w:rPr>
        <w:t xml:space="preserve">kritériá úrovne 2 na určenie, či sú náklady oprávnené a primerané, </w:t>
      </w:r>
      <w:r w:rsidR="00134A7B" w:rsidRPr="009C309D">
        <w:t>by boli ďalšou formou cenovej regulácie.</w:t>
      </w:r>
    </w:p>
    <w:p w14:paraId="64C0382F" w14:textId="33A43378" w:rsidR="00054B48" w:rsidRPr="006F5AA1" w:rsidRDefault="00054B48" w:rsidP="000D09E5">
      <w:pPr>
        <w:pStyle w:val="Odsekzoznamu"/>
        <w:numPr>
          <w:ilvl w:val="0"/>
          <w:numId w:val="5"/>
        </w:numPr>
      </w:pPr>
      <w:r w:rsidRPr="004C54D4">
        <w:rPr>
          <w:b/>
          <w:bCs/>
        </w:rPr>
        <w:t xml:space="preserve">predĺžia a predĺžia investičnú cestu </w:t>
      </w:r>
      <w:r>
        <w:t>spotrebiteľov</w:t>
      </w:r>
      <w:r w:rsidRPr="00994CC9">
        <w:rPr>
          <w:b/>
          <w:bCs/>
          <w:color w:val="FF0000"/>
        </w:rPr>
        <w:t xml:space="preserve"> </w:t>
      </w:r>
      <w:r>
        <w:rPr>
          <w:b/>
          <w:bCs/>
        </w:rPr>
        <w:t xml:space="preserve">zaťažujúce </w:t>
      </w:r>
      <w:r w:rsidRPr="006F5AA1">
        <w:t>. K už dlhým testom „vhodnosti“ a „vhodnosti“ sa pridávajú ďalšie kroky. Zavádzajú sa nové procesy a byrokracia a zvyšujú sa požiadavky na podávanie správ a uchovávanie záznamov. Táto dodatočná byrokracia odradí spotrebiteľov od investovania a spôsobí, že finančné služby budú menej nákladovo efektívne, keďže sa zvýšia náklady na dodržiavanie predpisov.</w:t>
      </w:r>
    </w:p>
    <w:p w14:paraId="4967F28B" w14:textId="333F465D" w:rsidR="00CA460F" w:rsidRPr="00521C53" w:rsidRDefault="00CA460F" w:rsidP="000D09E5">
      <w:pPr>
        <w:pStyle w:val="Odsekzoznamu"/>
        <w:numPr>
          <w:ilvl w:val="0"/>
          <w:numId w:val="5"/>
        </w:numPr>
        <w:rPr>
          <w:rFonts w:asciiTheme="minorHAnsi" w:hAnsiTheme="minorHAnsi"/>
          <w:sz w:val="22"/>
          <w:szCs w:val="22"/>
        </w:rPr>
      </w:pPr>
      <w:r w:rsidRPr="004C54D4">
        <w:rPr>
          <w:rFonts w:cs="Frutiger LT Std 45 Light"/>
          <w:color w:val="000000"/>
          <w:szCs w:val="20"/>
        </w:rPr>
        <w:t xml:space="preserve">Kombinovaný účinok nových požiadaviek na zverejňovanie, testu „najlepšieho záujmu“ a referenčných hodnôt za vynaložené peniaze bude tlačiť </w:t>
      </w:r>
      <w:r w:rsidRPr="004C54D4">
        <w:rPr>
          <w:rFonts w:cs="Frutiger LT Std 45 Light"/>
          <w:b/>
          <w:bCs/>
          <w:color w:val="000000"/>
          <w:szCs w:val="20"/>
        </w:rPr>
        <w:t xml:space="preserve">spotrebiteľov na najlacnejší produkt </w:t>
      </w:r>
      <w:r w:rsidRPr="004C54D4">
        <w:rPr>
          <w:rFonts w:cs="Frutiger LT Std 45 Light"/>
          <w:color w:val="000000"/>
          <w:szCs w:val="20"/>
        </w:rPr>
        <w:t>, aj keď to znamená mať menšie alebo žiadne záruky, nižšie poistné krytie a menšiu flexibilitu,</w:t>
      </w:r>
      <w:r w:rsidR="0025455E" w:rsidRPr="0025455E">
        <w:t xml:space="preserve"> </w:t>
      </w:r>
      <w:r w:rsidR="0025455E" w:rsidRPr="0025455E">
        <w:rPr>
          <w:rFonts w:cs="Frutiger LT Std 45 Light"/>
          <w:color w:val="000000"/>
          <w:szCs w:val="20"/>
        </w:rPr>
        <w:t xml:space="preserve">čo nemusí byť v najlepšom záujme spotrebiteľa. V RIS je potrebné uznať charakteristické výhody IBIP, zatiaľ čo súčasné návrhy často nie sú vhodné pre poistenie, používajú terminológiu veľmi orientovanú na fondy (napr. </w:t>
      </w:r>
      <w:r w:rsidRPr="00521C53">
        <w:rPr>
          <w:rFonts w:cs="Frutiger LT Std 45 Light"/>
          <w:color w:val="000000"/>
          <w:szCs w:val="20"/>
        </w:rPr>
        <w:t xml:space="preserve">trhová hodnota, zloženie/diverzifikácia portfólia) a nezohľadňujú rozmanitosť distribúcie poistenia. systémy </w:t>
      </w:r>
      <w:r w:rsidR="008E3247">
        <w:t>.</w:t>
      </w:r>
    </w:p>
    <w:p w14:paraId="2CA183EA" w14:textId="4C04F6BF" w:rsidR="005115DA" w:rsidRPr="00D06959" w:rsidRDefault="00D06959" w:rsidP="000D09E5">
      <w:pPr>
        <w:pStyle w:val="CEABullet-Level1"/>
        <w:numPr>
          <w:ilvl w:val="0"/>
          <w:numId w:val="5"/>
        </w:numPr>
      </w:pPr>
      <w:r w:rsidRPr="001F20CD">
        <w:rPr>
          <w:b/>
          <w:bCs/>
        </w:rPr>
        <w:t xml:space="preserve">Je možné urobiť viac pre zefektívnenie zverejňovania informácií, ich zjednodušenie pre používateľov </w:t>
      </w:r>
      <w:r w:rsidR="005E621B" w:rsidRPr="005E621B">
        <w:t xml:space="preserve">a riešenie problému </w:t>
      </w:r>
      <w:r w:rsidR="005E621B" w:rsidRPr="008E3D71">
        <w:rPr>
          <w:b/>
          <w:bCs/>
        </w:rPr>
        <w:t xml:space="preserve">preťaženia spotrebiteľmi informáciami </w:t>
      </w:r>
      <w:r w:rsidR="000F2C84" w:rsidRPr="005E621B">
        <w:t>.</w:t>
      </w:r>
    </w:p>
    <w:p w14:paraId="14C49F76" w14:textId="4F81598D" w:rsidR="00096CDA" w:rsidRDefault="00371880" w:rsidP="000D09E5">
      <w:pPr>
        <w:pStyle w:val="CEABullet-Level1"/>
        <w:numPr>
          <w:ilvl w:val="0"/>
          <w:numId w:val="5"/>
        </w:numPr>
      </w:pPr>
      <w:r w:rsidRPr="00096CDA">
        <w:rPr>
          <w:b/>
          <w:bCs/>
        </w:rPr>
        <w:lastRenderedPageBreak/>
        <w:t xml:space="preserve">Na úrovni 2 a 3 by sa vytvorilo príliš veľa požiadaviek </w:t>
      </w:r>
      <w:r w:rsidRPr="00223C81">
        <w:t>a odstránili by sa z politickej diskusie. Na uľahčenie implementácie musí byť úroveň 1 dostatočne jasná a ponechať určitú flexibilitu pre vnútroštátne úpravy.</w:t>
      </w:r>
    </w:p>
    <w:p w14:paraId="55FC9338" w14:textId="3055651E" w:rsidR="00371880" w:rsidRDefault="006562BD" w:rsidP="000D09E5">
      <w:pPr>
        <w:pStyle w:val="CEABullet-Level1"/>
        <w:numPr>
          <w:ilvl w:val="0"/>
          <w:numId w:val="5"/>
        </w:numPr>
      </w:pPr>
      <w:r>
        <w:t xml:space="preserve">Nereálne </w:t>
      </w:r>
      <w:r w:rsidR="00DE105A" w:rsidRPr="00096CDA">
        <w:rPr>
          <w:b/>
          <w:bCs/>
        </w:rPr>
        <w:t>_</w:t>
      </w:r>
      <w:r w:rsidR="00DE105A">
        <w:t xml:space="preserve"> </w:t>
      </w:r>
      <w:r w:rsidR="00BA69D8">
        <w:rPr>
          <w:b/>
          <w:bCs/>
        </w:rPr>
        <w:t xml:space="preserve">dátumy uplatňovania </w:t>
      </w:r>
      <w:r w:rsidR="00477BCF" w:rsidRPr="00A35289">
        <w:t>by vytvorili významné prekážky pre priemysel, aby ich dodržiaval.</w:t>
      </w:r>
    </w:p>
    <w:p w14:paraId="50111B21" w14:textId="77777777" w:rsidR="00B17162" w:rsidRDefault="00B17162" w:rsidP="00B17162">
      <w:pPr>
        <w:pStyle w:val="CEABullet-Level1"/>
      </w:pPr>
    </w:p>
    <w:p w14:paraId="55615BE1" w14:textId="47595456" w:rsidR="00A618A1" w:rsidRDefault="003902A9" w:rsidP="004A0A00">
      <w:pPr>
        <w:pStyle w:val="CEABullet-Level1"/>
        <w:jc w:val="left"/>
        <w:rPr>
          <w:b/>
          <w:bCs/>
          <w:sz w:val="20"/>
          <w:szCs w:val="24"/>
        </w:rPr>
      </w:pPr>
      <w:r>
        <w:rPr>
          <w:b/>
          <w:bCs/>
          <w:sz w:val="20"/>
          <w:szCs w:val="24"/>
        </w:rPr>
        <w:t>príloha</w:t>
      </w:r>
    </w:p>
    <w:p w14:paraId="53386F0D" w14:textId="77777777" w:rsidR="00A618A1" w:rsidRPr="004A0A00" w:rsidRDefault="00A618A1" w:rsidP="004A0A00">
      <w:pPr>
        <w:pStyle w:val="CEABullet-Level1"/>
        <w:jc w:val="left"/>
        <w:rPr>
          <w:b/>
          <w:bCs/>
          <w:sz w:val="20"/>
          <w:szCs w:val="24"/>
        </w:rPr>
      </w:pPr>
    </w:p>
    <w:p w14:paraId="2B6912D3" w14:textId="64524798" w:rsidR="00587FA4" w:rsidRPr="003B19C0" w:rsidRDefault="00587FA4" w:rsidP="00587FA4">
      <w:pPr>
        <w:pStyle w:val="CEABullet-Level1"/>
      </w:pPr>
      <w:r w:rsidRPr="00A96D49">
        <w:t xml:space="preserve">Európska komisia (EK) zverejnila 24. mája 2023 svoj návrh balíka </w:t>
      </w:r>
      <w:hyperlink r:id="rId12" w:tgtFrame="_blank" w:history="1">
        <w:r w:rsidR="00FE6488" w:rsidRPr="007564ED">
          <w:rPr>
            <w:color w:val="0000FF"/>
            <w:u w:val="single"/>
          </w:rPr>
          <w:t xml:space="preserve">Retail Investment Strategy </w:t>
        </w:r>
      </w:hyperlink>
      <w:r w:rsidR="00FE6488" w:rsidRPr="00A96D49">
        <w:t>(RIS), ktorým sa zavedú zmeny v smernici o distribúcii poistenia (IDD), smernici o trhoch s finančnými nástrojmi (MiFID II), smernici o koordinácia zákonov, iných právnych predpisov a správnych opatrení týkajúcich sa podnikov kolektívneho investovania do prevoditeľných cenných papierov (PKIPCP), smernice o správcoch alternatívnych investičných fondov (AIFMD), smernice Solventnosť II a nariadenia o dokumentoch s kľúčovými informáciami pre balíky retailových a poistených investícií produkty (nariadenie PRIIPs).</w:t>
      </w:r>
    </w:p>
    <w:p w14:paraId="260959AD" w14:textId="77777777" w:rsidR="00587FA4" w:rsidRDefault="00587FA4" w:rsidP="00587FA4">
      <w:pPr>
        <w:pStyle w:val="CEABullet-Level1"/>
      </w:pPr>
    </w:p>
    <w:p w14:paraId="6553D29B" w14:textId="57150325" w:rsidR="007561B2" w:rsidRDefault="00094844" w:rsidP="008C71A1">
      <w:pPr>
        <w:pStyle w:val="CEABullet-Level1"/>
      </w:pPr>
      <w:r>
        <w:t>RIS je komplexný balík zameraný na riešenie mnohostranného problému, ktorým je nízka úroveň maloobchodných investícií v EÚ. Mnohé nové opatrenia navrhnuté v RIS však spotrebiteľom investovanie nijako neuľahčia.</w:t>
      </w:r>
    </w:p>
    <w:p w14:paraId="76A8684B" w14:textId="77777777" w:rsidR="007561B2" w:rsidRDefault="007561B2" w:rsidP="008C71A1">
      <w:pPr>
        <w:pStyle w:val="CEABullet-Level1"/>
      </w:pPr>
    </w:p>
    <w:p w14:paraId="587405AC" w14:textId="0C86C92E" w:rsidR="008C71A1" w:rsidRDefault="00B436E6" w:rsidP="008C71A1">
      <w:pPr>
        <w:pStyle w:val="CEABullet-Level1"/>
      </w:pPr>
      <w:r>
        <w:t>Insurance Europe nižšie načrtla niekoľko kľúčových odkazov a odporúčaní na zlepšenie súčasného návrhu.</w:t>
      </w:r>
    </w:p>
    <w:p w14:paraId="6014289C" w14:textId="77777777" w:rsidR="008C71A1" w:rsidRDefault="008C71A1" w:rsidP="008C71A1">
      <w:pPr>
        <w:pStyle w:val="CEABullet-Level1"/>
        <w:ind w:left="66"/>
        <w:rPr>
          <w:color w:val="auto"/>
        </w:rPr>
      </w:pPr>
    </w:p>
    <w:tbl>
      <w:tblPr>
        <w:tblStyle w:val="Mriekatabuky"/>
        <w:tblW w:w="0" w:type="auto"/>
        <w:shd w:val="clear" w:color="auto" w:fill="D9E2F3" w:themeFill="accent1" w:themeFillTint="33"/>
        <w:tblLook w:val="04A0" w:firstRow="1" w:lastRow="0" w:firstColumn="1" w:lastColumn="0" w:noHBand="0" w:noVBand="1"/>
      </w:tblPr>
      <w:tblGrid>
        <w:gridCol w:w="9577"/>
      </w:tblGrid>
      <w:tr w:rsidR="008C71A1" w:rsidRPr="008C71A1" w14:paraId="0143CD23" w14:textId="77777777" w:rsidTr="008C71A1">
        <w:tc>
          <w:tcPr>
            <w:tcW w:w="9803" w:type="dxa"/>
            <w:shd w:val="clear" w:color="auto" w:fill="D9E2F3" w:themeFill="accent1" w:themeFillTint="33"/>
          </w:tcPr>
          <w:p w14:paraId="0066C297" w14:textId="0161E070" w:rsidR="008C71A1" w:rsidRPr="008C71A1" w:rsidRDefault="005B727E" w:rsidP="008C71A1">
            <w:pPr>
              <w:autoSpaceDE w:val="0"/>
              <w:autoSpaceDN w:val="0"/>
              <w:adjustRightInd w:val="0"/>
              <w:jc w:val="center"/>
              <w:rPr>
                <w:b/>
                <w:bCs/>
                <w:iCs/>
              </w:rPr>
            </w:pPr>
            <w:r>
              <w:rPr>
                <w:b/>
                <w:bCs/>
                <w:iCs/>
              </w:rPr>
              <w:t>RIS navrhla zmeny a doplnenia smernice o distribúcii poistenia (IDD)</w:t>
            </w:r>
          </w:p>
        </w:tc>
      </w:tr>
    </w:tbl>
    <w:p w14:paraId="6B83BB38" w14:textId="77777777" w:rsidR="003E437A" w:rsidRDefault="003E437A" w:rsidP="00587FA4"/>
    <w:p w14:paraId="75D10A65" w14:textId="4A5854E4" w:rsidR="00453E79" w:rsidRPr="003E0E34" w:rsidRDefault="00533BF0">
      <w:pPr>
        <w:pStyle w:val="Nadpis1"/>
        <w:numPr>
          <w:ilvl w:val="0"/>
          <w:numId w:val="0"/>
        </w:numPr>
      </w:pPr>
      <w:r>
        <w:t>Viacnásobné zákazy stimulov, nové povinnosti pre test vhodnosti (čl. 30 ods. 1) a problematické požiadavky na vyplácanie stimulov za iné avizované predaje</w:t>
      </w:r>
      <w:r w:rsidR="00ED5BE4" w:rsidRPr="00ED5BE4" w:rsidDel="00ED5BE4">
        <w:t xml:space="preserve"> </w:t>
      </w:r>
      <w:r w:rsidR="0003237A">
        <w:t>(článok 29b)</w:t>
      </w:r>
    </w:p>
    <w:p w14:paraId="122EB9E3" w14:textId="77777777" w:rsidR="005F456E" w:rsidRDefault="005F456E" w:rsidP="005F456E"/>
    <w:p w14:paraId="1E719400" w14:textId="2834E11D" w:rsidR="001C61F7" w:rsidRDefault="001C61F7" w:rsidP="005F456E">
      <w:r w:rsidRPr="001C61F7">
        <w:t xml:space="preserve">Insurance Europe súhlasí s opakovaným vyhlásením Európskej komisie, že celoeurópsky zákaz stimulov by bol príliš rušivý pre kapitálové trhy a tiež sa domnieva, že by výrazne obmedzil prístup spotrebiteľov k poradenstvu a investíciám. Poistný trh je v prvom rade trhom ponuky a nie trhom dopytu a dôkazy ukazujú, </w:t>
      </w:r>
      <w:r w:rsidR="00D24743">
        <w:rPr>
          <w:rStyle w:val="Odkaznapoznmkupodiarou"/>
        </w:rPr>
        <w:footnoteReference w:id="2"/>
      </w:r>
      <w:r w:rsidR="006318FA">
        <w:t>že len veľmi málo spotrebiteľov by bolo ochotných alebo schopných zaplatiť vopred poplatok za prístup k predaju s poradenstvom alebo bez poradenstva. Ak sa poskytuje poradenstvo, ale je zakázaná provízia, zákazník musí za poradenstvo zaplatiť iným spôsobom (zvyčajne špecifickým poplatkom alebo modelom predplatného alebo v splátkach počas určitého obdobia).</w:t>
      </w:r>
    </w:p>
    <w:p w14:paraId="00DD2C9E" w14:textId="77777777" w:rsidR="001C61F7" w:rsidRDefault="001C61F7" w:rsidP="005F456E"/>
    <w:p w14:paraId="4E532CBD" w14:textId="6D7B0D55" w:rsidR="0098251C" w:rsidRDefault="0098251C" w:rsidP="005F456E">
      <w:r>
        <w:t xml:space="preserve">V dôsledku kombinovaného účinku návrhu Komisie nebude umožnené vyplácanie stimulov za predaje len na realizáciu, predaj bez poradenstva s testom vhodnosti a predaj s nezávislým poradenstvom. To znamená, že tento druh transakcií nebude prístupný spotrebiteľom, ktorí nie sú ochotní alebo schopní zaplatiť vopred poplatok na pokrytie nákladov na službu. Napríklad v Spojenom kráľovstve, kde bol zavedený zákaz stimulov, FCA ( </w:t>
      </w:r>
      <w:hyperlink r:id="rId13" w:history="1">
        <w:r w:rsidR="001C312C" w:rsidRPr="00F30A63">
          <w:rPr>
            <w:rStyle w:val="Hypertextovprepojenie"/>
          </w:rPr>
          <w:t xml:space="preserve">Consumer Investments: Strategy and Feedback Statement </w:t>
        </w:r>
      </w:hyperlink>
      <w:r w:rsidR="001C312C" w:rsidRPr="00A3292F">
        <w:t>, 2021) zistil, že polovica dospelých v Spojenom kráľovstve s investovateľným majetkom vo výške 10 000 GBP alebo viac (približne 8,4 milióna ľudí) nedostanú žiadnu formálnu podporu, ktorá by im pomohla pri rozhodovaní o investíciách za posledných 12 mesiacov (hodnotenie RDR / FAMR). Okrem toho len 8 % dospelých v Spojenom kráľovstve dostalo finančné poradenstvo. Tento výsledok bude ešte výraznejší na miestnych trhoch s nízkou úrovňou povedomia spotrebiteľov o investíciách/poistení.</w:t>
      </w:r>
    </w:p>
    <w:p w14:paraId="51B3F92B" w14:textId="77777777" w:rsidR="0098251C" w:rsidRDefault="0098251C" w:rsidP="005F456E"/>
    <w:p w14:paraId="79D6DA44" w14:textId="43E7E0C9" w:rsidR="00A55A22" w:rsidRDefault="00945D25" w:rsidP="00F61885">
      <w:r>
        <w:t>Alternatívnou možnosťou pre spotrebiteľov bude požiadať o odporúčaný predajný proces nesamostatným poradcom, ako je definovaný v IDD, čo si bude vyžadovať absolvovanie dlhšieho testu vhodnosti (čl. 30.1) a bude podliehať novému „najlepšiemu úrokový test“ (článok 29b). Nové kritériá plánované Komisiou pre oba testy sú veľmi problematické z dôvodov vysvetlených nižšie.</w:t>
      </w:r>
    </w:p>
    <w:p w14:paraId="7F0646FC" w14:textId="77777777" w:rsidR="00A55A22" w:rsidRDefault="00A55A22" w:rsidP="00F61885"/>
    <w:p w14:paraId="2D1A17E0" w14:textId="65415AF0" w:rsidR="00FC12EE" w:rsidRPr="008470F6" w:rsidRDefault="00FC12EE" w:rsidP="000D09E5">
      <w:pPr>
        <w:pStyle w:val="Odsekzoznamu"/>
        <w:numPr>
          <w:ilvl w:val="0"/>
          <w:numId w:val="8"/>
        </w:numPr>
        <w:rPr>
          <w:b/>
          <w:bCs/>
        </w:rPr>
      </w:pPr>
      <w:r w:rsidRPr="008470F6">
        <w:rPr>
          <w:b/>
          <w:bCs/>
        </w:rPr>
        <w:t>Dlhší test vhodnosti (čl. 30.1)</w:t>
      </w:r>
    </w:p>
    <w:p w14:paraId="33D3AA90" w14:textId="77777777" w:rsidR="00FC12EE" w:rsidRDefault="00FC12EE" w:rsidP="00F61885"/>
    <w:p w14:paraId="3D53EB2D" w14:textId="31263C0A" w:rsidR="00784A57" w:rsidRDefault="00D60E6B" w:rsidP="00677F4D">
      <w:r>
        <w:t>Nové požiadavky v rámci „testu vhodnosti“ nemôžu splniť všetci distribútori poistenia, pretože distribútori poistenia nemôžu vždy posúdiť „zloženie existujúcich portfólií“ a „potrebu diverzifikácie portfólia“ klienta (čl. 30.1). Distribútori poistenia sú kvalifikovaní a licencovaní len na predaj poistných produktov. Nemajú kvalifikáciu ani licenciu na posudzovanie všetkých druhov investičných nástrojov. Nemohli by teda absolvovať test vhodnosti a pokračovať v predaji podľa navrhnutých požiadaviek.</w:t>
      </w:r>
    </w:p>
    <w:p w14:paraId="1FF9F88B" w14:textId="77777777" w:rsidR="00784A57" w:rsidRDefault="00784A57" w:rsidP="00677F4D"/>
    <w:p w14:paraId="73084C8F" w14:textId="23739F9D" w:rsidR="00677F4D" w:rsidRDefault="000F167C" w:rsidP="005B6C96">
      <w:r w:rsidRPr="000F167C">
        <w:t xml:space="preserve">Na druhej strane si predaj IBIPs vyžaduje špecifické znalosti, kvalifikáciu a odborné požiadavky, ktoré finanční distribútori bez licencie podľa IDD nemajú. Investície založené na poistení slúžia iným požiadavkám a potrebám spotrebiteľov ako čisté investície, </w:t>
      </w:r>
      <w:r w:rsidR="005B6C96">
        <w:t>napr. môžu poskytovať záruky, ochranu a zmluvné možnosti. Nová požiadavka sa preto v prostredí poistenia nezdá byť vhodná.</w:t>
      </w:r>
    </w:p>
    <w:p w14:paraId="0B580D42" w14:textId="77777777" w:rsidR="00741EB0" w:rsidRDefault="00741EB0" w:rsidP="00677F4D"/>
    <w:p w14:paraId="08525890" w14:textId="65BA9BED" w:rsidR="00741EB0" w:rsidRDefault="00C459D5" w:rsidP="00741EB0">
      <w:r>
        <w:t xml:space="preserve">„ </w:t>
      </w:r>
      <w:r w:rsidR="00206A95" w:rsidRPr="000F167C">
        <w:t xml:space="preserve">diverzifikáciu portfólia“ </w:t>
      </w:r>
      <w:r w:rsidR="009449D3" w:rsidRPr="00900303">
        <w:t xml:space="preserve">sa zameriava na investičné formy, ktoré nie sú IBIP. IBIP sa často používajú na zabezpečenie v starobe, ako aj na krytie úmrtia a invalidity av niektorých prípadoch možno dohodnúť zmluvné záruky. Kapitál sa neinvestuje na individuálnej úrovni, ale na kolektívnej úrovni do fondov poistného krytia. Cieľom diverzifikácie portfólia je znížiť investičné riziká alebo zmierniť volatilitu investícií. Ako také to nie je potrebné pre IBIP, ktoré ponúkajú zmluvne garantovanú návratnosť </w:t>
      </w:r>
      <w:r w:rsidR="00741EB0" w:rsidRPr="003E1EF0">
        <w:rPr>
          <w:strike/>
        </w:rPr>
        <w:t xml:space="preserve">sumy </w:t>
      </w:r>
      <w:r w:rsidR="005B434D">
        <w:t>pri splatnosti, vytvárajú dodatočné rezervy z poistného a/alebo z návratnosti investícií ( napr. prebytočný fond) alebo využívajú iné formy techník riadenia rizík, ako je napríklad životný cyklus.</w:t>
      </w:r>
    </w:p>
    <w:p w14:paraId="63E1C3DD" w14:textId="77777777" w:rsidR="005332CC" w:rsidRDefault="005332CC" w:rsidP="00741EB0"/>
    <w:p w14:paraId="65F205A5" w14:textId="033201C9" w:rsidR="00A55A22" w:rsidRDefault="005332CC" w:rsidP="00F61885">
      <w:r w:rsidRPr="00031659">
        <w:t>Preto by sa mala vypustiť požiadavka, že sprostredkovatelia alebo poisťovne musia pri poskytovaní poradenstva o poistných investičných produktoch zohľadňovať zloženie všetkých existujúcich portfólií a potrebu diverzifikácie portfólia.</w:t>
      </w:r>
    </w:p>
    <w:p w14:paraId="74EB827E" w14:textId="77777777" w:rsidR="005332CC" w:rsidRDefault="005332CC" w:rsidP="00F61885"/>
    <w:p w14:paraId="12AD815F" w14:textId="0363B8A5" w:rsidR="00FC12EE" w:rsidRPr="008470F6" w:rsidRDefault="00FC12EE" w:rsidP="000D09E5">
      <w:pPr>
        <w:pStyle w:val="Odsekzoznamu"/>
        <w:numPr>
          <w:ilvl w:val="0"/>
          <w:numId w:val="8"/>
        </w:numPr>
        <w:rPr>
          <w:b/>
          <w:bCs/>
        </w:rPr>
      </w:pPr>
      <w:r w:rsidRPr="008470F6">
        <w:rPr>
          <w:b/>
          <w:bCs/>
        </w:rPr>
        <w:t>Nový „test najlepšieho záujmu“ (článok 29b)</w:t>
      </w:r>
    </w:p>
    <w:p w14:paraId="264FCE15" w14:textId="77777777" w:rsidR="00FC12EE" w:rsidRDefault="00FC12EE" w:rsidP="00F61885"/>
    <w:p w14:paraId="7EC1F34C" w14:textId="566059A0" w:rsidR="00BF6F40" w:rsidRDefault="009E044A" w:rsidP="00051517">
      <w:r>
        <w:t xml:space="preserve">Okrem revidovaného „testu vhodnosti“ by sa pre všetky odporúčané predaje vyžadoval aj nový „test najlepšieho záujmu“. Platba provízií by bola povolená len vtedy, ak sú splnené štyri kumulatívne kritériá nového „ </w:t>
      </w:r>
      <w:bookmarkStart w:id="0" w:name="_Hlk138843873"/>
      <w:r w:rsidR="00FA2B33" w:rsidRPr="00FA2B33">
        <w:t xml:space="preserve">testu najlepšieho záujmu </w:t>
      </w:r>
      <w:bookmarkEnd w:id="0"/>
      <w:r w:rsidR="00FA2B33" w:rsidRPr="00FA2B33">
        <w:t>“: a) posúdiť vhodný rozsah IBIP a prípadne podkladových investičných aktív; b) odporučiť cenovo najefektívnejší produkt zo sortimentu vhodných produktov; c) predstavuje aspoň jednu alternatívnu, lacnejšiu možnosť bez dodatočných funkcií, ktoré nie sú potrebné na dosiahnutie cieľov zákazníka a ktoré spôsobujú dodatočné náklady; d) odporučiť IBIP, ktorý je v súlade s požiadavkami na poistenie a potrebami zákazníka.</w:t>
      </w:r>
    </w:p>
    <w:p w14:paraId="4EAC2B39" w14:textId="77777777" w:rsidR="00BF6F40" w:rsidRDefault="00BF6F40" w:rsidP="00051517"/>
    <w:p w14:paraId="0C51B392" w14:textId="7F03C0DF" w:rsidR="009E5929" w:rsidRDefault="000B4359" w:rsidP="00051517">
      <w:r>
        <w:t>čl. 17 IDD už vyžaduje, aby distribútori poistenia konali vždy v súlade s najlepším záujmom zákazníka. Nové kritériá navrhované Komisiou na definovanie „testu najlepšieho záujmu“ sú však problematické.</w:t>
      </w:r>
    </w:p>
    <w:p w14:paraId="5E346292" w14:textId="77777777" w:rsidR="009E5929" w:rsidRDefault="009E5929" w:rsidP="00051517"/>
    <w:p w14:paraId="214AAA87" w14:textId="422A560F" w:rsidR="0007164B" w:rsidRDefault="009E5929" w:rsidP="00051517">
      <w:r>
        <w:t xml:space="preserve">Po prvé, nové kritériá nemôžu splniť všetci distribútori poistenia. Dôvodom je skutočnosť </w:t>
      </w:r>
      <w:r w:rsidR="004964BB" w:rsidRPr="00F9599D">
        <w:rPr>
          <w:b/>
          <w:bCs/>
        </w:rPr>
        <w:t xml:space="preserve">, </w:t>
      </w:r>
      <w:r>
        <w:t xml:space="preserve">že distribútori poistenia nemusia mať vo svojom produktovom katalógu dostatočne veľký rozsah IBIP, aby splnili „test najlepšieho záujmu“ (článok 29b </w:t>
      </w:r>
      <w:r w:rsidR="007F0E85">
        <w:t xml:space="preserve">ods </w:t>
      </w:r>
      <w:r w:rsidR="00CA7DC3">
        <w:t xml:space="preserve">. </w:t>
      </w:r>
      <w:r w:rsidR="004964BB" w:rsidRPr="00F9599D">
        <w:rPr>
          <w:b/>
          <w:bCs/>
        </w:rPr>
        <w:t xml:space="preserve">IBIP </w:t>
      </w:r>
      <w:r w:rsidR="004964BB">
        <w:t xml:space="preserve">“. To je prípad poisťovacích agentov alebo zamestnancov poisťovateľov, malých poisťovacích spoločností a spoločností pôsobiacich v menších členských štátoch, distribútorov špecializovaných na špecifické typy služieb/cieľových trhov a vo všeobecnosti všetkých tých, ktorí uprednostňujú ponúkanie obmedzeného počtu IBIP za vyššiu cenu. -efektívne (treba vziať do úvahy, že distribútori poistenia bežne ponúkajú produkty životného poistenia, produkty </w:t>
      </w:r>
      <w:r w:rsidR="0025135E">
        <w:t>neživotného poistenia , IBIP a dôchodkové poistenie – nielen IBIP). Ak nespĺňajú kritériá požadované pre test „najlepšieho záujmu“, nebudú môcť získať stimuly.</w:t>
      </w:r>
    </w:p>
    <w:p w14:paraId="4A7A1350" w14:textId="77777777" w:rsidR="006A29B1" w:rsidRDefault="006A29B1" w:rsidP="00051517"/>
    <w:p w14:paraId="041B0528" w14:textId="7B265CA4" w:rsidR="004D3B48" w:rsidRDefault="004D3B48" w:rsidP="004D3B48">
      <w:pPr>
        <w:rPr>
          <w:szCs w:val="17"/>
        </w:rPr>
      </w:pPr>
      <w:r>
        <w:rPr>
          <w:szCs w:val="17"/>
        </w:rPr>
        <w:t xml:space="preserve">V „ </w:t>
      </w:r>
      <w:hyperlink r:id="rId14" w:history="1">
        <w:r w:rsidRPr="00B23937">
          <w:rPr>
            <w:rStyle w:val="Hypertextovprepojenie"/>
            <w:szCs w:val="17"/>
          </w:rPr>
          <w:t xml:space="preserve">Otázky a odpovede </w:t>
        </w:r>
      </w:hyperlink>
      <w:r w:rsidRPr="00B23937">
        <w:rPr>
          <w:szCs w:val="17"/>
        </w:rPr>
        <w:t xml:space="preserve">“ (Q&amp;A) zverejnené Európskou komisiou spolu s návrhom sa uvádza, že podmienku ponuky primeraného sortimentu môžu splniť aj viazaní zástupcovia, ak je poradenstvo o vhodnom sortimente zabezpečené prostredníctvom produktov. od jedného výrobcu a klienti sú informovaní v súlade s platnými požiadavkami. Takéto objasnenie je mimoriadne dôležité a malo by sa vložiť do právneho textu v </w:t>
      </w:r>
      <w:r>
        <w:rPr>
          <w:szCs w:val="17"/>
        </w:rPr>
        <w:t>čl. 29b.</w:t>
      </w:r>
    </w:p>
    <w:p w14:paraId="35E27EEF" w14:textId="77777777" w:rsidR="004D3B48" w:rsidRDefault="004D3B48" w:rsidP="00051517"/>
    <w:p w14:paraId="06D1D1C0" w14:textId="6D3A7126" w:rsidR="008D1181" w:rsidRDefault="00CF5A93" w:rsidP="00051517">
      <w:r>
        <w:t xml:space="preserve">Na strane ponuky by požiadavka „vhodného sortimentu“ mohla predstavovať problém pre rozvoj aktivít v oblasti slobody služieb ( </w:t>
      </w:r>
      <w:proofErr w:type="spellStart"/>
      <w:r w:rsidR="00167678">
        <w:t>FoS</w:t>
      </w:r>
      <w:proofErr w:type="spellEnd"/>
      <w:r w:rsidR="00167678">
        <w:t xml:space="preserve"> ), keďže subjekty vstupujúce na nové trhy často nezačínajú s veľkým sortimentom podobných produktov. Požiadavka „vhodného sortimentu“ by bola tiež prekážkou pri poskytovaní produktov na mieru distribútormi, ktorí sa špecializujú na špecifické typy klientov alebo malé cieľové trhy. Špecializovaní poisťovatelia – často menšie a stredné poisťovne, ktorí poskytujú riešenia na mieru pre spotrebiteľov jedného cieľového trhu – by boli vytlačení z trhu. Požiadavka by v konečnom dôsledku znamenala masívny zásah do obchodnej stratégie poisťovní: buď by poisťovne museli platiť vyššie náklady na dodržiavanie predpisov, aby rozšírili svoj sortiment produktov, alebo by boli obmedzené vo svojich distribučných systémoch, alebo by skončili s obchodom. .</w:t>
      </w:r>
    </w:p>
    <w:p w14:paraId="713F71B5" w14:textId="77777777" w:rsidR="0020146C" w:rsidRDefault="0020146C" w:rsidP="00051517"/>
    <w:p w14:paraId="19F02187" w14:textId="77777777" w:rsidR="00B331CD" w:rsidRDefault="00333462" w:rsidP="00476423">
      <w:r>
        <w:t>Pre Insurance Europe by kritérium „vhodného rozsahu IBIPs“ neprinieslo žiadny skutočný prínos z hľadiska ochrany spotrebiteľa, pretože neexistuje žiadna súvislosť medzi veľkosťou katalógu produktov a kvalitou produktu, ktorý môžu distribútori ponúkať.</w:t>
      </w:r>
    </w:p>
    <w:p w14:paraId="6555D95A" w14:textId="77777777" w:rsidR="00716A7A" w:rsidRDefault="00716A7A" w:rsidP="00716A7A"/>
    <w:p w14:paraId="5BD05357" w14:textId="42FCB388" w:rsidR="004C0901" w:rsidRDefault="00471063" w:rsidP="00051517">
      <w:r>
        <w:t>Nie je tiež jasné, či „test najlepšieho záujmu“ (článok 29b ods. 1) kritériá (b) a (c) – (b) odporúčajú najhospodárnejší produkt z radu vhodných produktov a (c) prezentovať aspoň jednu alternatívu, lacnejšiu možnosť bez dodatočných funkcií, ktoré nie sú potrebné na dosiahnutie cieľov zákazníka a ktoré spôsobujú dodatočné náklady – znamenalo by to, že distribútori vždy potrebujú mať vo svojom portfóliu viac ako jeden vhodný produkt (napr. rôzne verzie s rôznymi úrovňami nákladov alebo bez dodatočných funkcií).</w:t>
      </w:r>
    </w:p>
    <w:p w14:paraId="2EC9B93D" w14:textId="77777777" w:rsidR="00DB7DF8" w:rsidRDefault="00DB7DF8" w:rsidP="00051517"/>
    <w:p w14:paraId="7F0CBBF3" w14:textId="7380397A" w:rsidR="00296A67" w:rsidRDefault="004B02F1" w:rsidP="00E421E8">
      <w:pPr>
        <w:pStyle w:val="CEABullet-Level1"/>
      </w:pPr>
      <w:r>
        <w:t xml:space="preserve">Okrem aspektu odmeňovania sú veľmi problematické testovacie kritériá „najlepší záujem“, pretože by viedli k odporúčaniu najlacnejšieho </w:t>
      </w:r>
      <w:r w:rsidR="00D0486D" w:rsidRPr="008D5B3B">
        <w:rPr>
          <w:b/>
          <w:bCs/>
        </w:rPr>
        <w:t xml:space="preserve">produktu </w:t>
      </w:r>
      <w:r w:rsidR="00D0486D">
        <w:t>namiesto toho, ktorý najlepšie spĺňa požiadavky a potreby zákazníka. Bolo by to v rozpore s najlepším záujmom zákazníkov: najlacnejší IBIP nie je pre spotrebiteľov vždy tou najlepšou voľbou, najmä v kontexte poistenia, pretože ponúka menšiu ochranu, pomoc a výhody (napríklad žiadnu finančnú záruku alebo nižšiu úroveň záruka, obmedzenejšie krytie biometrických rizík, menšia flexibilita atď.). Inými slovami, najlepší záujem zákazníkov je širší ako náklady. Treba poznamenať, že hodnotenie požiadaviek a potrieb a test vhodnosti sa už vykonávajú pre IBIP predávané s poradenstvom, čím sa zabezpečuje vysoká úroveň ochrany spotrebiteľa.</w:t>
      </w:r>
    </w:p>
    <w:p w14:paraId="39BE8263" w14:textId="269342EE" w:rsidR="00D0486D" w:rsidRDefault="00D0486D" w:rsidP="00D0486D">
      <w:pPr>
        <w:pStyle w:val="CEABullet-Level1"/>
      </w:pPr>
    </w:p>
    <w:p w14:paraId="17646ED6" w14:textId="6CF6D1BD" w:rsidR="00131EEA" w:rsidRDefault="00DE7C99" w:rsidP="008C0300">
      <w:pPr>
        <w:pStyle w:val="CEABullet-Level1"/>
      </w:pPr>
      <w:r>
        <w:t xml:space="preserve">Okrem toho testovacie kritériá „najlepšieho záujmu“ nezohľadňujú, že </w:t>
      </w:r>
      <w:r w:rsidR="000F5409" w:rsidRPr="00A861BE">
        <w:rPr>
          <w:b/>
          <w:bCs/>
        </w:rPr>
        <w:t xml:space="preserve">IBIP slúžia iným potrebám ako čisté investičné fondy a predávajú sa prostredníctvom distribučných systémov, ktoré fungujú odlišne od systémov podľa MiFID </w:t>
      </w:r>
      <w:r w:rsidR="00CF5967">
        <w:t>. Mnohí distribútori poistenia sú živnostníci alebo zamestnanci a pracujú na základe zmluvného vzťahu s jednou spoločnosťou, takže môžu predávať len produkty vyrobené touto spoločnosťou. Zdá sa však, že nové požiadavky boli navrhnuté s ohľadom na správcov majetku alebo podobných poskytovateľov služieb, čím sa vytvárajú nerovnaké podmienky medzi rôznymi poskytovateľmi služieb. Nové požiadavky by uprednostnili určité distribučné kanály pred inými a zvýšili by koncentráciu na trhu, čím by obmedzili možnosť spotrebiteľov vybrať si medzi rôznymi typmi distribútorov a poskytovateľov. To by nebolo v súlade s uvedeným cieľom RIS.</w:t>
      </w:r>
    </w:p>
    <w:p w14:paraId="545D9BA4" w14:textId="77777777" w:rsidR="00552CA4" w:rsidRDefault="00552CA4" w:rsidP="008C0300">
      <w:pPr>
        <w:pStyle w:val="CEABullet-Level1"/>
      </w:pPr>
    </w:p>
    <w:p w14:paraId="0EBA7FE7" w14:textId="6D96576E" w:rsidR="002418FE" w:rsidRDefault="00552CA4" w:rsidP="00552CA4">
      <w:pPr>
        <w:pStyle w:val="CEABullet-Level1"/>
      </w:pPr>
      <w:r>
        <w:t xml:space="preserve">Požiadavka testu „najlepšieho záujmu“ tiež nezohľadňuje, že širší katalóg produktov vedie k vyšším </w:t>
      </w:r>
      <w:r w:rsidR="002418FE" w:rsidRPr="00632059">
        <w:rPr>
          <w:b/>
          <w:bCs/>
        </w:rPr>
        <w:t xml:space="preserve">nákladom na dodržiavanie predpisov </w:t>
      </w:r>
      <w:r w:rsidR="009E7290">
        <w:t>, ktoré sa v konečnom dôsledku prenášajú na spotrebiteľov. Nebolo by to v súlade so stanoveným cieľom RIS zjednodušiť a sprístupniť investície.</w:t>
      </w:r>
    </w:p>
    <w:p w14:paraId="74976E65" w14:textId="77777777" w:rsidR="00865120" w:rsidRDefault="00865120" w:rsidP="00051517">
      <w:pPr>
        <w:pStyle w:val="CEABullet-Level1"/>
      </w:pPr>
    </w:p>
    <w:p w14:paraId="26536EEC" w14:textId="7AA7EC25" w:rsidR="00EA0B56" w:rsidRDefault="00755FD2" w:rsidP="00051517">
      <w:pPr>
        <w:pStyle w:val="CEABullet-Level1"/>
      </w:pPr>
      <w:r>
        <w:t>Okrem toho v návrhu nie je jasných niekoľko aspektov:</w:t>
      </w:r>
    </w:p>
    <w:p w14:paraId="65519488" w14:textId="77777777" w:rsidR="00EA0B56" w:rsidRDefault="00EA0B56" w:rsidP="00051517">
      <w:pPr>
        <w:pStyle w:val="CEABullet-Level1"/>
      </w:pPr>
    </w:p>
    <w:p w14:paraId="6211EA7C" w14:textId="55F57E09" w:rsidR="00865120" w:rsidRDefault="00EA0B56" w:rsidP="000D09E5">
      <w:pPr>
        <w:pStyle w:val="CEABullet-Level1"/>
        <w:numPr>
          <w:ilvl w:val="0"/>
          <w:numId w:val="3"/>
        </w:numPr>
      </w:pPr>
      <w:r>
        <w:t>Prepojenie medzi kritériami nákladovej efektívnosti v teste „najlepšieho záujmu“ a požiadavkami na pomer kvality a ceny v rámci dohľadu nad produktmi a riadenia (POG). Požiadavky na pomer kvality a ceny už zabezpečia, že náklady na produkt budú primerané vzhľadom na kvalitatívne a kvantitatívne vlastnosti produktu bez potreby použiť ďalší filter;</w:t>
      </w:r>
    </w:p>
    <w:p w14:paraId="7AF23A68" w14:textId="7843AE34" w:rsidR="00996214" w:rsidRDefault="008237C2" w:rsidP="000D09E5">
      <w:pPr>
        <w:pStyle w:val="CEABullet-Level1"/>
        <w:numPr>
          <w:ilvl w:val="0"/>
          <w:numId w:val="3"/>
        </w:numPr>
      </w:pPr>
      <w:r>
        <w:t xml:space="preserve">Čo sa považuje za </w:t>
      </w:r>
      <w:r w:rsidR="00980B9C">
        <w:t xml:space="preserve">„produkt“ a čo sa považuje za „vlastnosť“. V odôvodnení (6) sa uvádza, že prvky môžu zahŕňať napríklad kapitálovú záruku. Existencia kapitálovej záruky je však základným prvkom </w:t>
      </w:r>
      <w:r w:rsidR="00980B9C">
        <w:lastRenderedPageBreak/>
        <w:t>hodnotovej ponuky produktu, a nie iba doplnkovou vlastnosťou. Je potrebné vziať do úvahy, že IBIP sa líšia od iných finančných produktov;</w:t>
      </w:r>
    </w:p>
    <w:p w14:paraId="2AA65EE9" w14:textId="77777777" w:rsidR="00EC0AD2" w:rsidRDefault="0039306D" w:rsidP="000D09E5">
      <w:pPr>
        <w:pStyle w:val="CEABullet-Level1"/>
        <w:numPr>
          <w:ilvl w:val="0"/>
          <w:numId w:val="3"/>
        </w:numPr>
      </w:pPr>
      <w:r>
        <w:t>Zaobchádzanie s dodatočnými investíciami uskutočnenými spotrebiteľmi po počiatočnom odporúčaní;</w:t>
      </w:r>
    </w:p>
    <w:p w14:paraId="037E2933" w14:textId="3CD8C909" w:rsidR="001F18FB" w:rsidRDefault="00EC0AD2" w:rsidP="000D09E5">
      <w:pPr>
        <w:pStyle w:val="CEABullet-Level1"/>
        <w:numPr>
          <w:ilvl w:val="0"/>
          <w:numId w:val="3"/>
        </w:numPr>
      </w:pPr>
      <w:r>
        <w:t>Pri poskytovaní poradenstva, ktoré zahŕňa prechod medzi podkladovými investičnými aktívami (článok 30 ods. 1), nie je jasné, aký typ hodnotenia by sa mal vykonať vzhľadom na očakávané náklady a prínosy prechodu. Nie je tiež jasné, či sa posúdenie očakávaných nákladov a prínosov vyžaduje aj pre tie produkty, ktoré zahŕňajú automatické prepínanie medzi možnosťami za určitých podmienok;</w:t>
      </w:r>
    </w:p>
    <w:p w14:paraId="3627CAC9" w14:textId="577EF6FA" w:rsidR="00A706EC" w:rsidRDefault="002B285E" w:rsidP="001F18FB">
      <w:pPr>
        <w:pStyle w:val="CEABullet-Level1"/>
        <w:ind w:left="720"/>
      </w:pPr>
      <w:r>
        <w:t>Ako riešiť situácie, keď spotrebitelia nie sú ochotní alebo schopní poskytnúť informácie požadované v rámci testu vhodnosti a nemajú v úmysle zaplatiť vopred poplatok za kúpu produktu bez poradenstva.</w:t>
      </w:r>
    </w:p>
    <w:p w14:paraId="19719317" w14:textId="77777777" w:rsidR="000C3198" w:rsidRPr="000C3198" w:rsidRDefault="000C3198" w:rsidP="00051517">
      <w:pPr>
        <w:rPr>
          <w:b/>
          <w:szCs w:val="17"/>
        </w:rPr>
      </w:pPr>
    </w:p>
    <w:p w14:paraId="612AC5E7" w14:textId="1CDD7F14" w:rsidR="002E72DD" w:rsidRDefault="002E72DD" w:rsidP="00051517">
      <w:r w:rsidRPr="008176F3">
        <w:rPr>
          <w:b/>
          <w:bCs/>
        </w:rPr>
        <w:t xml:space="preserve">Rovnako znepokojujúce je aj splnomocnenie na ďalší rozvoj kritérií testu „najlepšieho záujmu“ na úrovni 2 </w:t>
      </w:r>
      <w:r>
        <w:t>, keďže by sa to mohlo stať čiernou skrinkou na ďalšie obmedzenie vyplácania stimulov na úrovni EÚ. Testovacie kritériá „najlepšieho záujmu“ by museli byť jasne definované na úrovni 1 a nemali by sa vzďaľovať od politickej diskusie.</w:t>
      </w:r>
    </w:p>
    <w:p w14:paraId="02B7522D" w14:textId="01564774" w:rsidR="002E72DD" w:rsidRDefault="002E72DD" w:rsidP="00051517"/>
    <w:p w14:paraId="0F92D787" w14:textId="77777777" w:rsidR="00C35144" w:rsidRDefault="00362013" w:rsidP="00051517">
      <w:r w:rsidRPr="001D0439">
        <w:t>Na záver, kumulatívny vplyv návrhov by viedol k situácii, keď:</w:t>
      </w:r>
    </w:p>
    <w:p w14:paraId="638487F7" w14:textId="77777777" w:rsidR="00C35144" w:rsidRDefault="00C35144" w:rsidP="00051517"/>
    <w:p w14:paraId="6A125188" w14:textId="1FEAB8A1" w:rsidR="00362013" w:rsidRDefault="00C35144" w:rsidP="000D09E5">
      <w:pPr>
        <w:pStyle w:val="Odsekzoznamu"/>
        <w:numPr>
          <w:ilvl w:val="0"/>
          <w:numId w:val="14"/>
        </w:numPr>
      </w:pPr>
      <w:r w:rsidRPr="00473A09">
        <w:rPr>
          <w:b/>
          <w:szCs w:val="17"/>
        </w:rPr>
        <w:t xml:space="preserve">Spotrebitelia, ktorí nie sú ochotní alebo schopní zaplatiť poplatok vopred, by mali obmedzený alebo žiadny prístup k produktom a poradenstvu. </w:t>
      </w:r>
      <w:r w:rsidR="00362013">
        <w:t xml:space="preserve">Celkovo možno povedať, že tí spotrebitelia, ktorí najviac potrebujú finančné poradenstvo a prístup k produktom, sú vo všeobecnosti tí, ktorí si najmenej môžu dovoliť zaplatiť poplatok vopred. Existuje riziko, že spotrebitelia sa budú spoliehať na zavádzajúce informácie dostupné na sociálnych médiách </w:t>
      </w:r>
      <w:r w:rsidR="00FB6EFD" w:rsidRPr="00805EA9">
        <w:rPr>
          <w:lang w:val="en-US"/>
        </w:rPr>
        <w:t xml:space="preserve">a obrátia sa na vysokorizikové neregulované produkty, ako sú kryptoaktíva </w:t>
      </w:r>
      <w:r w:rsidR="00362013" w:rsidRPr="00FB6EFD">
        <w:t xml:space="preserve">, alebo nebudú investovať vôbec a svoje úspory si ponechajú na bankových účtoch </w:t>
      </w:r>
      <w:r w:rsidR="00B82E2A" w:rsidRPr="00805EA9">
        <w:rPr>
          <w:lang w:val="en-US"/>
        </w:rPr>
        <w:t>.</w:t>
      </w:r>
      <w:r w:rsidR="00B82E2A">
        <w:t xml:space="preserve"> </w:t>
      </w:r>
      <w:r w:rsidR="00B82E2A" w:rsidRPr="00805EA9">
        <w:rPr>
          <w:lang w:val="en-US"/>
        </w:rPr>
        <w:t xml:space="preserve">Nedostatočný prístup spotrebiteľov k odbornému poradenstvu zo strany vyškolených sprostredkovateľov by bol v rozpore so stanoveným cieľom RIS a mohol by zvýšiť rozdiely v investíciách, ochrane a dôchodkoch v Európe </w:t>
      </w:r>
      <w:r w:rsidR="00B82E2A" w:rsidRPr="003004ED">
        <w:t>.</w:t>
      </w:r>
    </w:p>
    <w:p w14:paraId="1931C9D3" w14:textId="77777777" w:rsidR="000C3198" w:rsidRPr="000C3198" w:rsidRDefault="000C3198" w:rsidP="00473A09">
      <w:pPr>
        <w:pStyle w:val="Odsekzoznamu"/>
        <w:rPr>
          <w:szCs w:val="17"/>
        </w:rPr>
      </w:pPr>
    </w:p>
    <w:p w14:paraId="3331E35B" w14:textId="72350E2B" w:rsidR="00C35144" w:rsidRDefault="00C35144" w:rsidP="000D09E5">
      <w:pPr>
        <w:pStyle w:val="Odsekzoznamu"/>
        <w:numPr>
          <w:ilvl w:val="0"/>
          <w:numId w:val="14"/>
        </w:numPr>
      </w:pPr>
      <w:r w:rsidRPr="00473A09">
        <w:rPr>
          <w:b/>
          <w:szCs w:val="17"/>
        </w:rPr>
        <w:t xml:space="preserve">Spotrebiteľom sa </w:t>
      </w:r>
      <w:r w:rsidRPr="00473A09">
        <w:rPr>
          <w:b/>
        </w:rPr>
        <w:t xml:space="preserve">odporúča kúpiť najlacnejší investičný produkt, aj keď poskytuje menšiu ochranu, menšiu pomoc a menej výhod. </w:t>
      </w:r>
      <w:r w:rsidR="0099421E">
        <w:t xml:space="preserve">Lacnejšie riešenie nemusí byť pre spotrebiteľov nevyhnutne najlepšie. Oveľa dôležitejšie je, že akékoľvek poradenstvo o IBIP je v súlade s požiadavkami a potrebami zákazníka a že produkt je vhodný a vhodný. Test požiadaviek a potrieb podľa článku 20 ods. 1 </w:t>
      </w:r>
      <w:r w:rsidR="00EF62A4" w:rsidRPr="00EF62A4">
        <w:t>je jedinečný pre sektor poisťovníctva a zabezpečuje, že záujmy zákazníka sú náležite identifikované. Okrem toho test vhodnosti a primeranosti podľa článku 30 ods. 1 zabezpečuje, že odporúčaný produkt spĺňa tieto záujmy, najmä finančnú situáciu zákazníka. IBIP, ktoré spĺňajú tieto požiadavky, sú v najlepšom záujme zákazníka.</w:t>
      </w:r>
    </w:p>
    <w:p w14:paraId="11A05425" w14:textId="77777777" w:rsidR="00362013" w:rsidRDefault="00362013" w:rsidP="005F456E"/>
    <w:p w14:paraId="6065BA1E" w14:textId="7DE1B133" w:rsidR="00035F79" w:rsidRDefault="009F1052" w:rsidP="00035F7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B27328" w:rsidRPr="00923B59">
        <w:rPr>
          <w:rFonts w:cs="Times New Roman"/>
          <w:b/>
          <w:bCs/>
          <w:color w:val="auto"/>
          <w:kern w:val="32"/>
          <w:szCs w:val="17"/>
          <w:lang w:eastAsia="nl-NL"/>
        </w:rPr>
        <w:t>:</w:t>
      </w:r>
    </w:p>
    <w:p w14:paraId="1394A7E3" w14:textId="77777777" w:rsidR="00035F79" w:rsidRDefault="00035F79" w:rsidP="00035F7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5D6C24A8" w14:textId="0734CE9A" w:rsidR="00CD2D79" w:rsidRDefault="00CD2D79" w:rsidP="00CD2D7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CD2D79">
        <w:rPr>
          <w:rFonts w:cs="Times New Roman"/>
          <w:color w:val="auto"/>
          <w:kern w:val="32"/>
          <w:szCs w:val="17"/>
          <w:lang w:eastAsia="nl-NL"/>
        </w:rPr>
        <w:t>IDD už obsahuje všeobecnú zásadu konať v najlepšom záujme klienta, jasné pravidlá upravujúce vyplácanie stimulov a možnosť členského štátu obmedziť alebo zakázať vyplácanie stimulov.</w:t>
      </w:r>
    </w:p>
    <w:p w14:paraId="03606FB4" w14:textId="77777777" w:rsidR="00087BFC" w:rsidRDefault="00087BFC" w:rsidP="00CD2D7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p>
    <w:p w14:paraId="0531602E" w14:textId="65011EFD" w:rsidR="00087BFC" w:rsidRPr="00CD2D79" w:rsidRDefault="00087BFC" w:rsidP="00CD2D7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Pr>
          <w:rFonts w:cs="Times New Roman"/>
          <w:color w:val="auto"/>
          <w:kern w:val="32"/>
          <w:szCs w:val="17"/>
          <w:lang w:eastAsia="nl-NL"/>
        </w:rPr>
        <w:t>Aby návrh Komisie fungoval v praxi, sú potrebné tieto zmeny:</w:t>
      </w:r>
    </w:p>
    <w:p w14:paraId="16FFCB07" w14:textId="77777777" w:rsidR="00CD2D79" w:rsidRDefault="00CD2D79" w:rsidP="00035F7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7D6024E9" w14:textId="4791217E" w:rsidR="006A36CE" w:rsidRDefault="00035F79" w:rsidP="00035F7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ascii="Calibri" w:hAnsi="Calibri" w:cs="Calibri"/>
          <w:b/>
          <w:bCs/>
          <w:color w:val="auto"/>
          <w:kern w:val="32"/>
          <w:szCs w:val="17"/>
          <w:lang w:eastAsia="nl-NL"/>
        </w:rPr>
        <w:t xml:space="preserve">→ </w:t>
      </w:r>
      <w:r w:rsidR="00A373DB" w:rsidRPr="00734EB7">
        <w:rPr>
          <w:rFonts w:cs="Times New Roman"/>
          <w:b/>
          <w:bCs/>
          <w:color w:val="auto"/>
          <w:kern w:val="32"/>
          <w:szCs w:val="17"/>
          <w:lang w:eastAsia="nl-NL"/>
        </w:rPr>
        <w:t xml:space="preserve">Je potrebné odstrániť nové požiadavky „test vhodnosti“ na posúdenie „zloženia existujúcich portfólií“ a „potreby diverzifikácie portfólia“ klienta </w:t>
      </w:r>
      <w:r w:rsidR="00734EB7">
        <w:rPr>
          <w:rFonts w:cs="Times New Roman"/>
          <w:color w:val="auto"/>
          <w:kern w:val="32"/>
          <w:szCs w:val="17"/>
          <w:lang w:eastAsia="nl-NL"/>
        </w:rPr>
        <w:t>.</w:t>
      </w:r>
    </w:p>
    <w:p w14:paraId="59CA22D9" w14:textId="77777777" w:rsidR="006A36CE" w:rsidRDefault="006A36CE" w:rsidP="006A36CE">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b/>
          <w:bCs/>
          <w:color w:val="auto"/>
          <w:kern w:val="32"/>
          <w:szCs w:val="17"/>
          <w:lang w:eastAsia="nl-NL"/>
        </w:rPr>
      </w:pPr>
    </w:p>
    <w:p w14:paraId="372086AC" w14:textId="7B387375" w:rsidR="00E10A62" w:rsidRPr="006A36CE" w:rsidRDefault="006A36CE" w:rsidP="006A36CE">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b/>
          <w:bCs/>
          <w:color w:val="auto"/>
          <w:kern w:val="32"/>
          <w:szCs w:val="17"/>
          <w:lang w:eastAsia="nl-NL"/>
        </w:rPr>
      </w:pPr>
      <w:r>
        <w:rPr>
          <w:rFonts w:ascii="Calibri" w:hAnsi="Calibri" w:cs="Calibri"/>
          <w:b/>
          <w:bCs/>
          <w:color w:val="auto"/>
          <w:kern w:val="32"/>
          <w:szCs w:val="17"/>
          <w:lang w:eastAsia="nl-NL"/>
        </w:rPr>
        <w:t xml:space="preserve">→ </w:t>
      </w:r>
      <w:r>
        <w:rPr>
          <w:rFonts w:cs="Times New Roman"/>
          <w:b/>
          <w:bCs/>
          <w:color w:val="auto"/>
          <w:kern w:val="32"/>
          <w:szCs w:val="17"/>
          <w:lang w:eastAsia="nl-NL"/>
        </w:rPr>
        <w:t xml:space="preserve">Podmienky „testu najlepšieho záujmu“ je potrebné revidovať </w:t>
      </w:r>
      <w:r w:rsidR="005F1411" w:rsidRPr="006A36CE">
        <w:rPr>
          <w:rFonts w:cs="Times New Roman"/>
          <w:color w:val="auto"/>
          <w:kern w:val="32"/>
          <w:szCs w:val="17"/>
          <w:lang w:eastAsia="nl-NL"/>
        </w:rPr>
        <w:t>:</w:t>
      </w:r>
    </w:p>
    <w:p w14:paraId="5A69F05C" w14:textId="7AAA84D2" w:rsidR="00992048" w:rsidRPr="00E41B11" w:rsidRDefault="00644A4B"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rPr>
          <w:rFonts w:cs="Times New Roman"/>
          <w:color w:val="auto"/>
          <w:kern w:val="32"/>
          <w:szCs w:val="17"/>
          <w:lang w:eastAsia="nl-NL"/>
        </w:rPr>
      </w:pPr>
      <w:r w:rsidRPr="00E41B11">
        <w:rPr>
          <w:rFonts w:cs="Times New Roman"/>
          <w:color w:val="auto"/>
          <w:kern w:val="32"/>
          <w:szCs w:val="17"/>
          <w:lang w:eastAsia="nl-NL"/>
        </w:rPr>
        <w:t>Podmienka a) sa musí vypustiť;</w:t>
      </w:r>
    </w:p>
    <w:p w14:paraId="4F0E87D3" w14:textId="00FD25E0" w:rsidR="00992048" w:rsidRPr="00923B59" w:rsidRDefault="00992048"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rPr>
          <w:rFonts w:cs="Times New Roman"/>
          <w:color w:val="auto"/>
          <w:kern w:val="32"/>
          <w:szCs w:val="17"/>
          <w:lang w:eastAsia="nl-NL"/>
        </w:rPr>
      </w:pPr>
      <w:r w:rsidRPr="00992048">
        <w:rPr>
          <w:rFonts w:cs="Times New Roman"/>
          <w:color w:val="auto"/>
          <w:kern w:val="32"/>
          <w:szCs w:val="17"/>
          <w:lang w:eastAsia="nl-NL"/>
        </w:rPr>
        <w:t xml:space="preserve">Podmienku b) je potrebné preformulovať na „odporúčať IBIP, ktorý </w:t>
      </w:r>
      <w:r w:rsidRPr="00B91E9E">
        <w:rPr>
          <w:rFonts w:cs="Times New Roman"/>
          <w:color w:val="auto"/>
          <w:kern w:val="32"/>
          <w:szCs w:val="17"/>
          <w:u w:val="single"/>
          <w:lang w:eastAsia="nl-NL"/>
        </w:rPr>
        <w:t xml:space="preserve">najlepšie spĺňa požiadavky a potreby </w:t>
      </w:r>
      <w:r w:rsidRPr="00992048">
        <w:rPr>
          <w:rFonts w:cs="Times New Roman"/>
          <w:color w:val="auto"/>
          <w:kern w:val="32"/>
          <w:szCs w:val="17"/>
          <w:lang w:eastAsia="nl-NL"/>
        </w:rPr>
        <w:t>“;</w:t>
      </w:r>
    </w:p>
    <w:p w14:paraId="2E5E030D" w14:textId="216EC39E" w:rsidR="00992048" w:rsidRPr="00923B59" w:rsidRDefault="00992048"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rPr>
          <w:rFonts w:cs="Times New Roman"/>
          <w:color w:val="auto"/>
          <w:kern w:val="32"/>
          <w:szCs w:val="17"/>
          <w:lang w:eastAsia="nl-NL"/>
        </w:rPr>
      </w:pPr>
      <w:r w:rsidRPr="00923B59">
        <w:rPr>
          <w:rFonts w:cs="Times New Roman"/>
          <w:color w:val="auto"/>
          <w:kern w:val="32"/>
          <w:szCs w:val="17"/>
          <w:lang w:eastAsia="nl-NL"/>
        </w:rPr>
        <w:t>Podmienku c) je potrebné vypustiť. V centre pozornosti by mala zostať kvalita produktu a či je v súlade s požiadavkami a potrebami zákazníka, čo už zabezpečuje čl. 20 ods. 1 IDD;</w:t>
      </w:r>
    </w:p>
    <w:p w14:paraId="6B593C11" w14:textId="5EC90633" w:rsidR="00992048" w:rsidRPr="00923B59" w:rsidRDefault="00992048"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rPr>
          <w:rFonts w:cs="Times New Roman"/>
          <w:color w:val="auto"/>
          <w:kern w:val="32"/>
          <w:szCs w:val="17"/>
          <w:lang w:eastAsia="nl-NL"/>
        </w:rPr>
      </w:pPr>
      <w:r w:rsidRPr="00923B59">
        <w:rPr>
          <w:rFonts w:cs="Times New Roman"/>
          <w:color w:val="auto"/>
          <w:kern w:val="32"/>
          <w:szCs w:val="17"/>
          <w:lang w:eastAsia="nl-NL"/>
        </w:rPr>
        <w:lastRenderedPageBreak/>
        <w:t>Podmienka d) nie je problematická, ale je nadbytočná vzhľadom na čl. 20 ods. 1 IDD.</w:t>
      </w:r>
    </w:p>
    <w:p w14:paraId="3FA48207" w14:textId="77777777" w:rsidR="00992048" w:rsidRDefault="00992048" w:rsidP="00992048">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color w:val="auto"/>
          <w:kern w:val="32"/>
          <w:szCs w:val="17"/>
          <w:lang w:eastAsia="nl-NL"/>
        </w:rPr>
      </w:pPr>
    </w:p>
    <w:p w14:paraId="4E480257" w14:textId="2B3C72C5" w:rsidR="007942AF" w:rsidRDefault="007942AF" w:rsidP="00035714">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E27D15">
        <w:rPr>
          <w:rFonts w:ascii="Arial" w:hAnsi="Arial" w:cs="Arial"/>
          <w:b/>
          <w:bCs/>
          <w:color w:val="auto"/>
          <w:kern w:val="32"/>
          <w:szCs w:val="17"/>
          <w:lang w:eastAsia="nl-NL"/>
        </w:rPr>
        <w:t xml:space="preserve">→ </w:t>
      </w:r>
      <w:r w:rsidRPr="00E27D15">
        <w:rPr>
          <w:rFonts w:cs="Times New Roman"/>
          <w:b/>
          <w:bCs/>
          <w:color w:val="auto"/>
          <w:kern w:val="32"/>
          <w:szCs w:val="17"/>
          <w:lang w:eastAsia="nl-NL"/>
        </w:rPr>
        <w:t xml:space="preserve">Vymažte splnomocnenie úrovne 2, aby ste špecifikovali „kritériá najlepšieho záujmu“ </w:t>
      </w:r>
      <w:r w:rsidR="005454B7" w:rsidRPr="00475D6A">
        <w:rPr>
          <w:rFonts w:cs="Times New Roman"/>
          <w:color w:val="auto"/>
          <w:kern w:val="32"/>
          <w:szCs w:val="17"/>
          <w:lang w:eastAsia="nl-NL"/>
        </w:rPr>
        <w:t>, pretože podmienky musia byť jasné na úrovni 1.</w:t>
      </w:r>
    </w:p>
    <w:p w14:paraId="7A7DF243" w14:textId="77777777" w:rsidR="007942AF" w:rsidRPr="00923B59" w:rsidRDefault="007942AF" w:rsidP="00992048">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color w:val="auto"/>
          <w:kern w:val="32"/>
          <w:szCs w:val="17"/>
          <w:lang w:eastAsia="nl-NL"/>
        </w:rPr>
      </w:pPr>
    </w:p>
    <w:p w14:paraId="43693680" w14:textId="3E13B60B" w:rsidR="00992048" w:rsidRPr="00992048" w:rsidRDefault="00992048" w:rsidP="00860A1C">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923B59">
        <w:rPr>
          <w:rFonts w:cs="Times New Roman"/>
          <w:color w:val="auto"/>
          <w:kern w:val="32"/>
          <w:szCs w:val="17"/>
          <w:lang w:eastAsia="nl-NL"/>
        </w:rPr>
        <w:t>Tieto zmeny budú dôležité, aby sa zabezpečilo, že spotrebitelia budú mať ľahký prístup k IBIP a budú si môcť vybrať distribučný kanál, ktorý uprednostňujú, a zachovať rovnaké podmienky medzi všetkými typmi distribútorov.</w:t>
      </w:r>
    </w:p>
    <w:p w14:paraId="5BF753A9" w14:textId="77777777" w:rsidR="007A3DF5" w:rsidRDefault="007A3DF5" w:rsidP="000A6346">
      <w:pPr>
        <w:pStyle w:val="CEABullet-Level1"/>
        <w:rPr>
          <w:color w:val="000000" w:themeColor="text1"/>
        </w:rPr>
      </w:pPr>
    </w:p>
    <w:p w14:paraId="450F16B3" w14:textId="77777777" w:rsidR="00F36951" w:rsidRDefault="00F36951" w:rsidP="004B4C2D">
      <w:pPr>
        <w:pStyle w:val="Nadpis1"/>
        <w:numPr>
          <w:ilvl w:val="0"/>
          <w:numId w:val="0"/>
        </w:numPr>
        <w:rPr>
          <w:spacing w:val="-2"/>
        </w:rPr>
      </w:pPr>
    </w:p>
    <w:p w14:paraId="21DF2E3B" w14:textId="1A18D0CD" w:rsidR="00DD7DB8" w:rsidRPr="00E10DB3" w:rsidRDefault="00D55ACA" w:rsidP="004B4C2D">
      <w:pPr>
        <w:pStyle w:val="Nadpis1"/>
        <w:numPr>
          <w:ilvl w:val="0"/>
          <w:numId w:val="0"/>
        </w:numPr>
        <w:rPr>
          <w:spacing w:val="-2"/>
        </w:rPr>
      </w:pPr>
      <w:r w:rsidRPr="00E10DB3">
        <w:rPr>
          <w:spacing w:val="-2"/>
        </w:rPr>
        <w:t>Zákaz stimulov za predaj bez poradenstva (článok 29a) podľa nového testu primeranosti (článok 30 ods. 2)</w:t>
      </w:r>
    </w:p>
    <w:p w14:paraId="5539CA99" w14:textId="1E98BD43" w:rsidR="00DD7DB8" w:rsidRPr="00DD7DB8" w:rsidRDefault="00DD7DB8" w:rsidP="00DD7DB8">
      <w:pPr>
        <w:pStyle w:val="CEABullet-Level1"/>
        <w:ind w:left="1080"/>
        <w:rPr>
          <w:b/>
          <w:bCs/>
          <w:color w:val="000000" w:themeColor="text1"/>
        </w:rPr>
      </w:pPr>
    </w:p>
    <w:p w14:paraId="57E46A9A" w14:textId="3C567790" w:rsidR="002D1653" w:rsidRPr="007F3364" w:rsidRDefault="00021D40" w:rsidP="00925BF1">
      <w:pPr>
        <w:pStyle w:val="CEABullet-Level1"/>
        <w:rPr>
          <w:szCs w:val="17"/>
        </w:rPr>
      </w:pPr>
      <w:r w:rsidRPr="007F3364">
        <w:rPr>
          <w:szCs w:val="17"/>
        </w:rPr>
        <w:t xml:space="preserve">Zatiaľ čo používanie iba exekúcie je v poistení obmedzené, </w:t>
      </w:r>
      <w:bookmarkStart w:id="1" w:name="_Hlk138982915"/>
      <w:r w:rsidRPr="007F3364">
        <w:rPr>
          <w:szCs w:val="17"/>
        </w:rPr>
        <w:t xml:space="preserve">predaj bez poradenstva v rámci testu vhodnosti </w:t>
      </w:r>
      <w:bookmarkEnd w:id="1"/>
      <w:r w:rsidR="002D1653" w:rsidRPr="007F3364">
        <w:rPr>
          <w:szCs w:val="17"/>
        </w:rPr>
        <w:t>sa môže vykonávať v tých krajinách, kde poradenstvo nie je povinné pri predaji IBIP, napríklad keď spotrebiteľ hľadá kratšie a jednoduchšie predajný proces a keď spotrebiteľ nie je schopný alebo ochotný poskytnúť všetky informácie požadované v teste vhodnosti. Neodporúčané predaje v rámci testu vhodnosti sú preto zamerané na to, aby mohli slúžiť čo najväčšiemu počtu investorov.</w:t>
      </w:r>
    </w:p>
    <w:p w14:paraId="07723E86" w14:textId="77777777" w:rsidR="002D1653" w:rsidRPr="007F3364" w:rsidRDefault="002D1653" w:rsidP="00925BF1">
      <w:pPr>
        <w:pStyle w:val="CEABullet-Level1"/>
        <w:rPr>
          <w:szCs w:val="17"/>
        </w:rPr>
      </w:pPr>
    </w:p>
    <w:p w14:paraId="002DC133" w14:textId="53A479D7" w:rsidR="00F93E04" w:rsidRDefault="00047D94" w:rsidP="00925BF1">
      <w:pPr>
        <w:pStyle w:val="CEABullet-Level1"/>
        <w:rPr>
          <w:szCs w:val="17"/>
        </w:rPr>
      </w:pPr>
      <w:r w:rsidRPr="007F3364">
        <w:rPr>
          <w:szCs w:val="17"/>
        </w:rPr>
        <w:t>Neodporúčaný predaj v rámci testu vhodnosti nie je len „transakciou komplexných produktov, ktorá sa vykonáva iba na základe vykonania“ (ako je zhrnuté v často kladených otázkach Komisie priložených k návrhu). Distribútor potrebuje zhromažďovať informácie o znalostiach a skúsenostiach zákazníka</w:t>
      </w:r>
      <w:r w:rsidR="004D0727" w:rsidDel="004D0727">
        <w:rPr>
          <w:szCs w:val="17"/>
        </w:rPr>
        <w:t xml:space="preserve"> </w:t>
      </w:r>
      <w:r w:rsidR="004D0727">
        <w:rPr>
          <w:szCs w:val="17"/>
        </w:rPr>
        <w:t>a posúdiť, či sú IBIP vhodné. Na základe požiadaviek IDD musí distribútor vykonať aj posúdenie požiadaviek a potrieb, poskytnúť spotrebiteľom požadované informácie atď.</w:t>
      </w:r>
    </w:p>
    <w:p w14:paraId="549B40D0" w14:textId="77777777" w:rsidR="00925BF1" w:rsidRPr="007F3364" w:rsidRDefault="00925BF1" w:rsidP="00925BF1">
      <w:pPr>
        <w:pStyle w:val="CEABullet-Level1"/>
        <w:rPr>
          <w:szCs w:val="17"/>
        </w:rPr>
      </w:pPr>
    </w:p>
    <w:p w14:paraId="765965DD" w14:textId="59B457E7" w:rsidR="00F93E04" w:rsidRPr="007F3364" w:rsidRDefault="00F93E04" w:rsidP="005C6DB2">
      <w:pPr>
        <w:pStyle w:val="CEABullet-Level1"/>
        <w:rPr>
          <w:szCs w:val="17"/>
        </w:rPr>
      </w:pPr>
      <w:r w:rsidRPr="007F3364">
        <w:rPr>
          <w:szCs w:val="17"/>
        </w:rPr>
        <w:t>Tento proces by sa podľa návrhov RIS ešte predĺžil, keďže okrem súčasných požiadaviek by distribútor musel zbierať aj informácie o schopnosti zákazníka znášať straty a jeho tolerancii voči riziku. Navrhovaný zaťažujúci proces by firmám skomplikoval ponúkanie digitálneho predaja na základe použitia testu vhodnosti a znamenal by pre distribútora vyššie náklady.</w:t>
      </w:r>
      <w:r w:rsidR="00290592" w:rsidRPr="00691221" w:rsidDel="00290592">
        <w:rPr>
          <w:szCs w:val="17"/>
        </w:rPr>
        <w:t xml:space="preserve"> </w:t>
      </w:r>
    </w:p>
    <w:p w14:paraId="6F3D0697" w14:textId="77777777" w:rsidR="002F1D03" w:rsidRPr="007F3364" w:rsidRDefault="002F1D03" w:rsidP="005C6DB2">
      <w:pPr>
        <w:pStyle w:val="CEABullet-Level1"/>
        <w:rPr>
          <w:szCs w:val="17"/>
        </w:rPr>
      </w:pPr>
    </w:p>
    <w:p w14:paraId="5EA5D329" w14:textId="7A5F0D53" w:rsidR="00F93E04" w:rsidRPr="007F3364" w:rsidRDefault="00912103" w:rsidP="005C6DB2">
      <w:pPr>
        <w:pStyle w:val="CEABullet-Level1"/>
        <w:rPr>
          <w:szCs w:val="17"/>
        </w:rPr>
      </w:pPr>
      <w:r w:rsidRPr="007F3364">
        <w:rPr>
          <w:szCs w:val="17"/>
        </w:rPr>
        <w:t>Zákaz stimulov za nedoporučený predaj by preto spôsobil, že tento typ služby by bol nedostupný alebo cenovo nedostupný, čím by sa spotrebitelia zbavili tejto možnosti.</w:t>
      </w:r>
    </w:p>
    <w:p w14:paraId="186D8616" w14:textId="1FABE8D7" w:rsidR="008B3DD0" w:rsidRDefault="008B3DD0" w:rsidP="008B3DD0"/>
    <w:p w14:paraId="7E44964C" w14:textId="6A800215" w:rsidR="00A04D54" w:rsidRDefault="009F1052" w:rsidP="00A04D54">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A04D54" w:rsidRPr="00923B59">
        <w:rPr>
          <w:rFonts w:cs="Times New Roman"/>
          <w:b/>
          <w:bCs/>
          <w:color w:val="auto"/>
          <w:kern w:val="32"/>
          <w:szCs w:val="17"/>
          <w:lang w:eastAsia="nl-NL"/>
        </w:rPr>
        <w:t>:</w:t>
      </w:r>
    </w:p>
    <w:p w14:paraId="2846D91F" w14:textId="77777777" w:rsidR="00A04D54" w:rsidRDefault="00A04D54" w:rsidP="00A04D54">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0A92433C" w14:textId="17393A4A" w:rsidR="00F53D71" w:rsidRDefault="00D25402" w:rsidP="00A04D54">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F53D71">
        <w:rPr>
          <w:rFonts w:ascii="Calibri" w:hAnsi="Calibri" w:cs="Calibri"/>
          <w:b/>
          <w:bCs/>
          <w:color w:val="auto"/>
          <w:kern w:val="32"/>
          <w:szCs w:val="17"/>
          <w:lang w:eastAsia="nl-NL"/>
        </w:rPr>
        <w:t xml:space="preserve">→ </w:t>
      </w:r>
      <w:r w:rsidR="001B1970" w:rsidRPr="001F66BB">
        <w:rPr>
          <w:rFonts w:cs="Calibri"/>
          <w:b/>
          <w:bCs/>
          <w:color w:val="auto"/>
          <w:kern w:val="32"/>
          <w:szCs w:val="17"/>
          <w:lang w:eastAsia="nl-NL"/>
        </w:rPr>
        <w:t xml:space="preserve">Nezakazujte </w:t>
      </w:r>
      <w:r w:rsidR="006E7C43" w:rsidRPr="001F66BB">
        <w:rPr>
          <w:rFonts w:cs="Times New Roman"/>
          <w:b/>
          <w:bCs/>
          <w:color w:val="auto"/>
          <w:kern w:val="32"/>
          <w:szCs w:val="17"/>
          <w:lang w:eastAsia="nl-NL"/>
        </w:rPr>
        <w:t xml:space="preserve">stimuly za predaj bez poradenstva (článok 29 písm. </w:t>
      </w:r>
      <w:r w:rsidR="00F14CE6" w:rsidRPr="00D25402">
        <w:rPr>
          <w:rFonts w:cs="Times New Roman"/>
          <w:b/>
          <w:bCs/>
          <w:color w:val="auto"/>
          <w:kern w:val="32"/>
          <w:szCs w:val="17"/>
          <w:lang w:eastAsia="nl-NL"/>
        </w:rPr>
        <w:t xml:space="preserve">a) </w:t>
      </w:r>
      <w:r w:rsidR="001B2D1A">
        <w:rPr>
          <w:rFonts w:cs="Times New Roman"/>
          <w:color w:val="auto"/>
          <w:kern w:val="32"/>
          <w:szCs w:val="17"/>
          <w:lang w:eastAsia="nl-NL"/>
        </w:rPr>
        <w:t>s testom primeranosti.</w:t>
      </w:r>
    </w:p>
    <w:p w14:paraId="410454DA" w14:textId="6DC0AA12" w:rsidR="00A04D54" w:rsidRDefault="00F53D71" w:rsidP="00A04D54">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F53D71">
        <w:rPr>
          <w:rFonts w:ascii="Calibri" w:hAnsi="Calibri" w:cs="Calibri"/>
          <w:b/>
          <w:bCs/>
          <w:color w:val="auto"/>
          <w:kern w:val="32"/>
          <w:szCs w:val="17"/>
          <w:lang w:eastAsia="nl-NL"/>
        </w:rPr>
        <w:t xml:space="preserve">→ </w:t>
      </w:r>
      <w:r w:rsidR="007D72FD">
        <w:rPr>
          <w:rFonts w:cs="Times New Roman"/>
          <w:color w:val="auto"/>
          <w:kern w:val="32"/>
          <w:szCs w:val="17"/>
          <w:lang w:eastAsia="nl-NL"/>
        </w:rPr>
        <w:t>Zachovať možnosť členského štátu obmedziť alebo zakázať vyplácanie stimulov.</w:t>
      </w:r>
    </w:p>
    <w:p w14:paraId="0199A466" w14:textId="77777777" w:rsidR="00A04D54" w:rsidRDefault="00A04D54" w:rsidP="00A04D54"/>
    <w:p w14:paraId="0040ECB4" w14:textId="77777777" w:rsidR="005F11FD" w:rsidRDefault="005F11FD" w:rsidP="00A04D54"/>
    <w:p w14:paraId="1BF14D9A" w14:textId="05242F9F" w:rsidR="005545F7" w:rsidRPr="008D5E45" w:rsidRDefault="008F0382" w:rsidP="008D5E45">
      <w:pPr>
        <w:pStyle w:val="Nadpis1"/>
        <w:numPr>
          <w:ilvl w:val="0"/>
          <w:numId w:val="0"/>
        </w:numPr>
        <w:rPr>
          <w:spacing w:val="-2"/>
        </w:rPr>
      </w:pPr>
      <w:r w:rsidRPr="008D5E45">
        <w:rPr>
          <w:spacing w:val="-2"/>
        </w:rPr>
        <w:t>Objasnenie zákazu stimulov za nezávislé poradenstvo (článok 30 ods. 5b)</w:t>
      </w:r>
    </w:p>
    <w:p w14:paraId="6FAC1F50" w14:textId="77777777" w:rsidR="008F0382" w:rsidRDefault="008F0382" w:rsidP="0032089D"/>
    <w:p w14:paraId="470EF175" w14:textId="61141AC8" w:rsidR="0032089D" w:rsidRDefault="0032089D" w:rsidP="0032089D">
      <w:r>
        <w:t>V dôvodovej správe k návrhom RIS (s. 16) Komisia EÚ obsahuje dôležité objasnenie zákazu provízie za nezávislé poradenstvo:</w:t>
      </w:r>
    </w:p>
    <w:p w14:paraId="2351E7ED" w14:textId="77777777" w:rsidR="0032089D" w:rsidRDefault="0032089D" w:rsidP="0032089D"/>
    <w:p w14:paraId="183B4172" w14:textId="70ACC813" w:rsidR="0032089D" w:rsidRPr="008927AA" w:rsidRDefault="0073644E" w:rsidP="0032089D">
      <w:r>
        <w:rPr>
          <w:i/>
          <w:iCs/>
        </w:rPr>
        <w:t xml:space="preserve">„Vzhľadom na rôznorodosť štruktúr distribúcie poistenia v členských štátoch by to nemalo brániť ani sprostredkovateľom poistenia, ktorí nie sú zamestnaní alebo zmluvne viazaní na poisťovňu, ale dostávajú stimuly, aby sa prezentovali ako nezmluvne viazaní na konkrétnu poisťovňu. </w:t>
      </w:r>
      <w:r w:rsidR="0032089D">
        <w:t>.“</w:t>
      </w:r>
    </w:p>
    <w:p w14:paraId="344A7DCB" w14:textId="77777777" w:rsidR="0032089D" w:rsidRDefault="0032089D" w:rsidP="0032089D"/>
    <w:p w14:paraId="5397FACC" w14:textId="2E3DCE19" w:rsidR="000C18AA" w:rsidRDefault="0032089D" w:rsidP="0032089D">
      <w:r>
        <w:t>Táto špecifikácia je dôležitá pre výklad navrhovanej požiadavky a mala by byť zahrnutá do právneho textu IDD alebo aspoň do odôvodnení.</w:t>
      </w:r>
    </w:p>
    <w:p w14:paraId="4887A5F9" w14:textId="084D3030" w:rsidR="0032089D" w:rsidRDefault="0032089D" w:rsidP="0032089D"/>
    <w:p w14:paraId="6425CACF" w14:textId="77777777" w:rsidR="00EC0AD2" w:rsidRDefault="00EC0AD2" w:rsidP="0032089D"/>
    <w:p w14:paraId="6E6B9087" w14:textId="77777777" w:rsidR="00EA3DE6" w:rsidRPr="00A04D54" w:rsidRDefault="00EA3DE6" w:rsidP="0032089D"/>
    <w:p w14:paraId="0AB907C8" w14:textId="77777777" w:rsidR="00883583" w:rsidRDefault="00883583" w:rsidP="00A15399">
      <w:pPr>
        <w:pStyle w:val="Nadpis1"/>
        <w:numPr>
          <w:ilvl w:val="0"/>
          <w:numId w:val="0"/>
        </w:numPr>
        <w:ind w:left="360" w:hanging="360"/>
      </w:pPr>
    </w:p>
    <w:p w14:paraId="1DC13CEF" w14:textId="77777777" w:rsidR="00883583" w:rsidRDefault="00883583" w:rsidP="00A15399">
      <w:pPr>
        <w:pStyle w:val="Nadpis1"/>
        <w:numPr>
          <w:ilvl w:val="0"/>
          <w:numId w:val="0"/>
        </w:numPr>
        <w:ind w:left="360" w:hanging="360"/>
      </w:pPr>
    </w:p>
    <w:p w14:paraId="20919F4D" w14:textId="7F5FEAD7" w:rsidR="00A15399" w:rsidRDefault="00A15399" w:rsidP="00A15399">
      <w:pPr>
        <w:pStyle w:val="Nadpis1"/>
        <w:numPr>
          <w:ilvl w:val="0"/>
          <w:numId w:val="0"/>
        </w:numPr>
        <w:ind w:left="360" w:hanging="360"/>
      </w:pPr>
      <w:r>
        <w:t>Hodnota za peniaze (článok 25)</w:t>
      </w:r>
    </w:p>
    <w:p w14:paraId="39A6665E" w14:textId="77777777" w:rsidR="00BC7850" w:rsidRPr="00BC7850" w:rsidRDefault="00BC7850" w:rsidP="00BC7850"/>
    <w:p w14:paraId="46228AF8" w14:textId="3DBD171D" w:rsidR="00686729" w:rsidRDefault="00A21279" w:rsidP="00974A6D">
      <w:pPr>
        <w:pStyle w:val="CEABullet-Level1"/>
      </w:pPr>
      <w:r w:rsidRPr="00A21279">
        <w:t>Zabezpečenie hodnoty produktov za peniaze je pre priemysel dôležité. Správne hodnotenie pomeru kvality a ceny si vyžaduje holistický prístup, ktorý zohľadňuje všetky kvalitatívne a kvantitatívne vlastnosti, ktoré prinášajú hodnotu spotrebiteľovi, vrátane finančnej stability poskytovateľa produktu, finančných záruk a iných mechanizmov ochrany pred rizikami, poistných krytín, poradenstva, pomoci, prístupu na určité triedy aktív, ako sú alternatívne služby aktív, flexibilita, prvky udržateľnosti atď. V tejto súvislosti sektor poisťovníctva víta špecifikáciu Komisie, že v súvislosti s IBIP by proces tvorby cien musel zohľadňovať charakteristiky, ciele, stratégiu a výkon produktu, ako aj záruky a poistné krytie biometrických a iných rizík. „Hodnota“ zahŕňa viac než len náklady a pre rôznych spotrebiteľov má rôzne významy v závislosti od ich životnej situácie, cieľov a osobných hodnôt.</w:t>
      </w:r>
    </w:p>
    <w:p w14:paraId="0306669B" w14:textId="77777777" w:rsidR="00A22F63" w:rsidRDefault="00A22F63" w:rsidP="00974A6D">
      <w:pPr>
        <w:pStyle w:val="CEABullet-Level1"/>
      </w:pPr>
    </w:p>
    <w:p w14:paraId="656C01D3" w14:textId="1A2C8D74" w:rsidR="00A966AE" w:rsidRDefault="003B304C" w:rsidP="00C03584">
      <w:pPr>
        <w:pStyle w:val="CEABullet-Level1"/>
      </w:pPr>
      <w:r w:rsidRPr="003B304C">
        <w:t>Priemysel sa však obáva, že návrh RIS obsahuje prvky cenovej regulácie, ktoré sú v rozpore so zásadami jednotného trhu EÚ, ktorý je založený na hospodárskej súťaži a slobode stanovovania cien. V trhovom hospodárstve cenu určuje ponuka a dopyt, a nie regulátor.</w:t>
      </w:r>
    </w:p>
    <w:p w14:paraId="35BD251D" w14:textId="77777777" w:rsidR="00A966AE" w:rsidRDefault="00A966AE" w:rsidP="00C03584">
      <w:pPr>
        <w:pStyle w:val="CEABullet-Level1"/>
      </w:pPr>
    </w:p>
    <w:p w14:paraId="3A8DFDFC" w14:textId="123DBE50" w:rsidR="0064659A" w:rsidRDefault="00AF0D14" w:rsidP="00C2045B">
      <w:pPr>
        <w:pStyle w:val="CEABullet-Level1"/>
      </w:pPr>
      <w:r>
        <w:t>Návrhy by namiesto toho zaviedli dôslednú reguláciu cien produktov prostredníctvom „hodnoty za vynaložené peniaze“ a nových kritérií na posúdenie toho, či sú náklady „oprávnené a primerané“, ktoré podrobne definujú EIOPA a Európska komisia na úrovni 2. Komisia EÚ by účinne nahradila diskrečnú právomoc poskytovateľov pri stanovovaní cien produktov. Takýto ďalekosiahly zásah do slobody podnikania (článok 16 Charty základných práv EÚ) nie je opodstatnený. Treba poznamenať, že:</w:t>
      </w:r>
    </w:p>
    <w:p w14:paraId="75F56EE8" w14:textId="77777777" w:rsidR="0064659A" w:rsidRDefault="0064659A" w:rsidP="00C2045B">
      <w:pPr>
        <w:pStyle w:val="CEABullet-Level1"/>
      </w:pPr>
    </w:p>
    <w:p w14:paraId="1D5A5A11" w14:textId="681AFB5A" w:rsidR="00264453" w:rsidRDefault="00EF0ACF" w:rsidP="000D09E5">
      <w:pPr>
        <w:pStyle w:val="CEABullet-Level1"/>
        <w:numPr>
          <w:ilvl w:val="0"/>
          <w:numId w:val="16"/>
        </w:numPr>
      </w:pPr>
      <w:r>
        <w:t>čl. 52 ods. 1 Charty základných práv EÚ sa vyžaduje, aby všetky obmedzenia základných práv boli primerané;</w:t>
      </w:r>
    </w:p>
    <w:p w14:paraId="3E585F01" w14:textId="02D48CE2" w:rsidR="00264453" w:rsidRDefault="00C2045B" w:rsidP="000D09E5">
      <w:pPr>
        <w:pStyle w:val="CEABullet-Level1"/>
        <w:numPr>
          <w:ilvl w:val="0"/>
          <w:numId w:val="16"/>
        </w:numPr>
      </w:pPr>
      <w:r>
        <w:t>čl. 181 a 182 smernice Solventnosť II rešpektuje slobodu poisťovateľov určovať poistné podmienky a sadzby poistného;</w:t>
      </w:r>
    </w:p>
    <w:p w14:paraId="7DA05CE7" w14:textId="40588DE1" w:rsidR="00A92572" w:rsidRDefault="00D42336" w:rsidP="000D09E5">
      <w:pPr>
        <w:pStyle w:val="CEABullet-Level1"/>
        <w:numPr>
          <w:ilvl w:val="0"/>
          <w:numId w:val="16"/>
        </w:numPr>
      </w:pPr>
      <w:r>
        <w:t>V odôvodnení (8) delegovaného nariadenia IDD o POG sa objasňuje, že požiadavka POG by sa nemala chápať ako zásah do slobody výrobcov stanovovať prémie alebo ako cenová kontrola v akejkoľvek forme;</w:t>
      </w:r>
    </w:p>
    <w:p w14:paraId="795569A0" w14:textId="237F5B00" w:rsidR="00855453" w:rsidRDefault="00855453" w:rsidP="000D09E5">
      <w:pPr>
        <w:pStyle w:val="CEABullet-Level1"/>
        <w:numPr>
          <w:ilvl w:val="0"/>
          <w:numId w:val="16"/>
        </w:numPr>
      </w:pPr>
      <w:r>
        <w:t>čl. 5 Zmluvy o Európskej únii (ZEÚ) o zásade subsidiarity špecifikuje, že európske opatrenia by sa nemali vykonávať, pokiaľ nie sú účinnejšie ako opatrenia prijaté na národnej, regionálnej alebo miestnej úrovni.</w:t>
      </w:r>
    </w:p>
    <w:p w14:paraId="065DB77D" w14:textId="77777777" w:rsidR="006A6741" w:rsidRDefault="006A6741" w:rsidP="006A6741">
      <w:pPr>
        <w:pStyle w:val="CEABullet-Level1"/>
        <w:ind w:left="502"/>
      </w:pPr>
    </w:p>
    <w:p w14:paraId="0ACDCCCB" w14:textId="6ACBE336" w:rsidR="003B304C" w:rsidRDefault="003B304C" w:rsidP="00C03584">
      <w:pPr>
        <w:pStyle w:val="CEABullet-Level1"/>
      </w:pPr>
      <w:r w:rsidRPr="003B304C">
        <w:t>Orgány dohľadu už majú podľa súčasného zákona komplexné právomoci identifikovať a riešiť zlé praktiky na trhu. Procesy riadenia produktov by sa mali naďalej zameriavať na zabezpečenie toho, aby produkty – vrátane ich nákladov – boli vhodné pre ich cieľový trh. V tomto rámci by cena mala zostať výhradnou zodpovednosťou výrobcov.</w:t>
      </w:r>
    </w:p>
    <w:p w14:paraId="494B8549" w14:textId="77777777" w:rsidR="00521B7B" w:rsidRDefault="00521B7B" w:rsidP="00974A6D">
      <w:pPr>
        <w:pStyle w:val="CEABullet-Level1"/>
      </w:pPr>
    </w:p>
    <w:p w14:paraId="4D104635" w14:textId="5B9275C7" w:rsidR="003F4FB1" w:rsidRDefault="00446976" w:rsidP="00F933F5">
      <w:pPr>
        <w:pStyle w:val="CEABullet-Level1"/>
      </w:pPr>
      <w:r>
        <w:t>Podrobnejšie, priemysel má vážne obavy z používania „hodnoty za peniaze“, ako to navrhuje Komisia vo svojej súhrnnej smernici a navrhovaných požiadaviek na výrobcov produktov, aby vykonali dodatočné testovanie a poskytli odôvodnenie, ak sa náklady a výkon produktu odchyľujú. z benchmarku, ako predpoklad na predaj produktu. Používanie referenčných hodnôt nákladov a výkonnosti, ako to navrhuje Komisia, je problematické z týchto dôvodov:</w:t>
      </w:r>
    </w:p>
    <w:p w14:paraId="49B062CF" w14:textId="77777777" w:rsidR="003F4FB1" w:rsidRDefault="003F4FB1" w:rsidP="00974A6D">
      <w:pPr>
        <w:pStyle w:val="CEABullet-Level1"/>
      </w:pPr>
    </w:p>
    <w:p w14:paraId="3FA408A1" w14:textId="1EBFE2DC" w:rsidR="0023290E" w:rsidRPr="00721EA6" w:rsidRDefault="00B7636C" w:rsidP="000D09E5">
      <w:pPr>
        <w:pStyle w:val="Odsekzoznamu"/>
        <w:numPr>
          <w:ilvl w:val="0"/>
          <w:numId w:val="4"/>
        </w:numPr>
      </w:pPr>
      <w:r w:rsidRPr="002C73D1">
        <w:rPr>
          <w:rFonts w:cs="Frutiger LT Std 45 Light"/>
          <w:b/>
          <w:bCs/>
          <w:color w:val="000000"/>
          <w:szCs w:val="20"/>
        </w:rPr>
        <w:t xml:space="preserve">Zavedenie referenčnej hodnoty pravdepodobne povedie k určovaniu/regulácii cien </w:t>
      </w:r>
      <w:r w:rsidRPr="00721EA6">
        <w:rPr>
          <w:rFonts w:cs="Frutiger LT Std 45 Light"/>
          <w:color w:val="000000"/>
          <w:szCs w:val="20"/>
        </w:rPr>
        <w:t xml:space="preserve">, keďže akákoľvek odchýlka od nej by sa stala záťažou pre výrobcov aj distribútorov. </w:t>
      </w:r>
      <w:r w:rsidR="0048192F" w:rsidRPr="00721EA6">
        <w:t>Regulácia by nemala viesť k obmedzeniu výberu pre spotrebiteľov, ale namiesto toho by mala podporovať rozvoj konkurencieschopných a inovatívnych produktov a služieb;</w:t>
      </w:r>
    </w:p>
    <w:p w14:paraId="690EBFB2" w14:textId="25D744D6" w:rsidR="006C1BC2" w:rsidRPr="006C1BC2" w:rsidRDefault="006C1BC2" w:rsidP="00473A09">
      <w:pPr>
        <w:pStyle w:val="Odsekzoznamu"/>
        <w:rPr>
          <w:rFonts w:cs="Frutiger LT Std 45 Light"/>
          <w:color w:val="000000"/>
          <w:szCs w:val="20"/>
        </w:rPr>
      </w:pPr>
    </w:p>
    <w:p w14:paraId="77965713" w14:textId="7343E41B" w:rsidR="00761962" w:rsidRDefault="003F4FB1" w:rsidP="000D09E5">
      <w:pPr>
        <w:pStyle w:val="Odsekzoznamu"/>
        <w:numPr>
          <w:ilvl w:val="0"/>
          <w:numId w:val="4"/>
        </w:numPr>
        <w:rPr>
          <w:rFonts w:cs="Frutiger LT Std 45 Light"/>
          <w:color w:val="000000"/>
          <w:szCs w:val="20"/>
        </w:rPr>
      </w:pPr>
      <w:r w:rsidRPr="002C73D1">
        <w:rPr>
          <w:b/>
          <w:bCs/>
        </w:rPr>
        <w:t xml:space="preserve">Bude veľmi ťažké, ak nie nemožné, vytvoriť zmysluplné celoeurópske referenčné hodnoty, ktoré budú praktické na použitie pre účastníkov trhu aj NCA </w:t>
      </w:r>
      <w:r w:rsidR="00ED2F58">
        <w:t xml:space="preserve">. Po prvé, musia brať do úvahy </w:t>
      </w:r>
      <w:r w:rsidR="00ED2F58">
        <w:lastRenderedPageBreak/>
        <w:t xml:space="preserve">rôznorodosť produktov z hľadiska rôznych tried rizika, odporúčaných dôb držby, rôznych úrovní záruk </w:t>
      </w:r>
      <w:r w:rsidR="00396CD3">
        <w:t xml:space="preserve">alebo mechanizmov ochrany kapitálu, biometrického poistenia, poradenstva, prvkov udržateľnosti, existencie anuitnej fázy atď. mali by primerane zohľadňovať rôznorodosť trhov </w:t>
      </w:r>
      <w:r w:rsidR="00520430" w:rsidRPr="00761962">
        <w:rPr>
          <w:color w:val="000000" w:themeColor="text1"/>
        </w:rPr>
        <w:t xml:space="preserve">( napr. rôzne životné náklady, investičné portfóliá, typy klientov, systémy odmeňovania, kapitálové náklady, finančná sila poisťovateľa, kvalita aktív, prístup k špeciálnym investíciám, ako sú alternatívne aktíva, kvalita techniky zmierňovania rizika, regulačné náklady, distribučné kanály, fiškálne výhody atď., ktoré </w:t>
      </w:r>
      <w:r w:rsidR="005A4096">
        <w:rPr>
          <w:color w:val="000000" w:themeColor="text1"/>
        </w:rPr>
        <w:t xml:space="preserve">nie je možné kvantifikovať) </w:t>
      </w:r>
      <w:r w:rsidR="00761962">
        <w:t xml:space="preserve">. To bude obzvlášť náročné pre produkty s viacerými možnosťami (MOP), pretože môžu investovať do rôznych kombinácií fondov. </w:t>
      </w:r>
      <w:r w:rsidR="00761962" w:rsidRPr="00761962">
        <w:rPr>
          <w:rFonts w:cs="Frutiger LT Std 45 Light"/>
          <w:color w:val="000000"/>
          <w:szCs w:val="20"/>
        </w:rPr>
        <w:t>Existuje tiež riziko nerovnakých podmienok založených na veľkosti výrobcu produktov, väčšie firmy môžu ťažiť z vyšších úspor z rozsahu pri investovaní do fondov tretích strán, zatiaľ čo náklady na investovanie by boli vyššie pre malé spoločnosti;</w:t>
      </w:r>
    </w:p>
    <w:p w14:paraId="533CA9DD" w14:textId="1BE001D9" w:rsidR="00D871BF" w:rsidRPr="00D871BF" w:rsidRDefault="00247016" w:rsidP="000D09E5">
      <w:pPr>
        <w:pStyle w:val="Odsekzoznamu"/>
        <w:numPr>
          <w:ilvl w:val="0"/>
          <w:numId w:val="4"/>
        </w:numPr>
        <w:rPr>
          <w:rFonts w:cs="Frutiger LT Std 45 Light"/>
          <w:color w:val="000000"/>
          <w:szCs w:val="20"/>
        </w:rPr>
      </w:pPr>
      <w:r w:rsidRPr="00247016">
        <w:rPr>
          <w:rFonts w:cs="Frutiger LT Std 45 Light"/>
          <w:color w:val="000000"/>
          <w:szCs w:val="20"/>
        </w:rPr>
        <w:t>Keďže je prakticky nemožné definovať benchmarky, ktoré by zohľadňovali všetky vyššie uvedené vlastnosti, výpovedná hodnota benchmarkov bude vždy obmedzená. Mohli by preto slúžiť najmä ako ukazovatele pre orgány dohľadu na identifikáciu produktov, ktoré si vyžadujú bližšie preskúmanie. Toto by sa malo objasniť na úrovni 1;</w:t>
      </w:r>
    </w:p>
    <w:p w14:paraId="0A8CBAC7" w14:textId="18E0D9BA" w:rsidR="003F4FB1" w:rsidRDefault="003F4FB1" w:rsidP="000D09E5">
      <w:pPr>
        <w:pStyle w:val="CEABullet-Level1"/>
        <w:numPr>
          <w:ilvl w:val="0"/>
          <w:numId w:val="4"/>
        </w:numPr>
      </w:pPr>
      <w:r>
        <w:t>Ak je účelom identifikovať niekoľko odľahlých hodnôt na trhu, nie je primerané ukladať všetkým účastníkom trhu dodatočné požiadavky na testovanie, dokumentáciu, podávanie správ a kontrolu. Orgány môžu použiť iné nástroje na monitorovanie trhu a riešenie zistených odľahlých hodnôt;</w:t>
      </w:r>
    </w:p>
    <w:p w14:paraId="655E95E6" w14:textId="00281B80" w:rsidR="00716C5E" w:rsidRDefault="003F4FB1" w:rsidP="000D09E5">
      <w:pPr>
        <w:pStyle w:val="CEABullet-Level1"/>
        <w:numPr>
          <w:ilvl w:val="0"/>
          <w:numId w:val="4"/>
        </w:numPr>
      </w:pPr>
      <w:r>
        <w:t xml:space="preserve">Treba si uvedomiť, že hodnota zahŕňa viac ako len náklady a výnosy ( </w:t>
      </w:r>
      <w:r w:rsidR="00974A6D">
        <w:t xml:space="preserve">napr. biometrické krytie rizík, finančné záruky, preferencie udržateľnosti, poradenstvo, pomoc, služby atď.). Kombinovaný účinok testu „hodnoty za peniaze“ s referenčnými hodnotami zameranými na náklady a výkon, testu „najlepšieho záujmu“ s kritériami „nákladovej efektívnosti“ a znásobením číselných údajov o nákladoch namiesto toho prinúti spotrebiteľov kúpiť si najlacnejší produkt, aj keď tento produkt </w:t>
      </w:r>
      <w:r w:rsidR="00DA6CBF">
        <w:t>nemusí byť tým, ktorý najlepšie spĺňa ich požiadavky a potreby; niektoré produkty by mohli poskytnúť klientom konkrétnu pridanú hodnotu, ktorú by bolo ťažké kvantifikovať iba v číselných hodnotách.</w:t>
      </w:r>
    </w:p>
    <w:p w14:paraId="59DAD3B5" w14:textId="2493AEB2" w:rsidR="00D03C74" w:rsidRDefault="00716C5E" w:rsidP="000D09E5">
      <w:pPr>
        <w:pStyle w:val="CEABullet-Level1"/>
        <w:numPr>
          <w:ilvl w:val="0"/>
          <w:numId w:val="4"/>
        </w:numPr>
      </w:pPr>
      <w:r>
        <w:t>Okrem toho je potrebné poznamenať, že závery odvodené z referenčných hodnôt by mohli byť skreslené v dôsledku mnohých faktorov, napríklad: ak referenčné hodnoty nie sú dostatočne podrobné, v prípade, že nezohľadňujú primerané časové rámce alebo v dôsledku kolísania trhu;</w:t>
      </w:r>
    </w:p>
    <w:p w14:paraId="4F8D9DD7" w14:textId="17FF0133" w:rsidR="00AE1E58" w:rsidRPr="00AE1E58" w:rsidRDefault="002119D5" w:rsidP="000D09E5">
      <w:pPr>
        <w:pStyle w:val="Odsekzoznamu"/>
        <w:numPr>
          <w:ilvl w:val="0"/>
          <w:numId w:val="4"/>
        </w:numPr>
        <w:rPr>
          <w:rFonts w:cs="Frutiger LT Std 45 Light"/>
          <w:color w:val="000000"/>
          <w:szCs w:val="20"/>
        </w:rPr>
      </w:pPr>
      <w:r>
        <w:rPr>
          <w:rFonts w:cs="Frutiger LT Std 45 Light"/>
          <w:color w:val="000000"/>
          <w:szCs w:val="20"/>
        </w:rPr>
        <w:t>Existuje tiež riziko, že sa zníži kvalita a rozmanitosť produktu, aby vyhovoval referenčnej hodnote; brzdí sa aj inovácia, pretože to často stojí náklady;</w:t>
      </w:r>
    </w:p>
    <w:p w14:paraId="519761FD" w14:textId="2CDDCFC1" w:rsidR="00974A6D" w:rsidRDefault="00AB2D3F" w:rsidP="000D09E5">
      <w:pPr>
        <w:pStyle w:val="CEABullet-Level1"/>
        <w:numPr>
          <w:ilvl w:val="0"/>
          <w:numId w:val="4"/>
        </w:numPr>
      </w:pPr>
      <w:r>
        <w:t>Referenčné hodnoty by odrádzali od vývoja nových a inovatívnych produktov z dôvodu nedostatku historických údajov o cenách alebo prílišného spoliehania sa na staré údaje;</w:t>
      </w:r>
    </w:p>
    <w:p w14:paraId="40BAEAAD" w14:textId="58BC3C5F" w:rsidR="0059764B" w:rsidRDefault="005F3572" w:rsidP="000D09E5">
      <w:pPr>
        <w:pStyle w:val="CEABullet-Level1"/>
        <w:numPr>
          <w:ilvl w:val="0"/>
          <w:numId w:val="4"/>
        </w:numPr>
      </w:pPr>
      <w:r w:rsidRPr="005F3572">
        <w:t>Skúsenosti s paneurópskym dôchodkovým produktom (PEPP) už ukazujú, že príliš regulované produkty, ktoré sa vyznačujú nereálnymi očakávaniami výkonnosti a prísnymi stropmi nákladov, v praxi nefungujú. Produkty PEPP mohli byť teoreticky registrované k 22. marcu 2022 po uverejnení nariadenia o PEPP v Úradnom vestníku EÚ. Od dnešného dňa však iba jeden poskytovateľ ponúka PEPP v dvoch verziách v troch krajinách.</w:t>
      </w:r>
    </w:p>
    <w:p w14:paraId="29DB4FFB" w14:textId="77777777" w:rsidR="00B05C85" w:rsidRDefault="00B05C85" w:rsidP="00B05C85">
      <w:pPr>
        <w:pStyle w:val="Default"/>
        <w:jc w:val="both"/>
        <w:rPr>
          <w:sz w:val="20"/>
          <w:szCs w:val="20"/>
        </w:rPr>
      </w:pPr>
    </w:p>
    <w:p w14:paraId="6851A20B" w14:textId="72EC4112" w:rsidR="00435029" w:rsidRDefault="00435029" w:rsidP="00123051">
      <w:pPr>
        <w:pStyle w:val="CEABullet-Level1"/>
      </w:pPr>
      <w:r w:rsidRPr="00435029">
        <w:t xml:space="preserve">Výrobcovia by tiež museli NCA </w:t>
      </w:r>
      <w:r w:rsidR="001E4002" w:rsidRPr="00656783">
        <w:rPr>
          <w:b/>
          <w:bCs/>
        </w:rPr>
        <w:t xml:space="preserve">oznamovať </w:t>
      </w:r>
      <w:r w:rsidRPr="00435029">
        <w:t>podrobné informácie o nákladoch a poplatkoch, distribučných nákladoch a platbách tretích strán, ako aj o ďalších vlastnostiach produktu, ako základ pre prácu orgánu EIOPA na vývoji a zverejnení spoločných referenčných hodnôt nákladov a výkonnosti. V takom prípade bude potrebné využiť údaje, ktoré už má orgán EIOPA k dispozícii, a nezvyšovať záťaž spoločností pri vykazovaní. Údaje možno napríklad extrapolovať z PRIIPs KID zverejnených výrobcami produktov a zo správ Solventnosť II; niektoré orgány už využívajú technológiu na získavanie a agregáciu takýchto údajov efektívnym spôsobom. Okrem toho existuje aj európsky projekt na implementáciu platformy na zdieľanie údajov o produktoch (vrátane údajov KID) s názvom Európsky jednotný prístupový bod (ESAP). Používanie ESAP by orgánom mohlo postačovať na monitorovanie trhu a malo by sa zvážiť ako alternatíva k zberu ďalších údajov od výrobcov produktov. Treba poznamenať, že v marci predsedníčka Európskej komisie Ursula von der Leyenová oznámila, že na jeseň má Európska komisia v úmysle „predložiť konkrétne návrhy na zjednodušenie požiadaviek na podávanie správ a v skutočnosti ich znížiť o 25 %. V tomto duchu by RIS nemalo viesť k zvýšeniu záťaže súvisiacej s vykazovaním.</w:t>
      </w:r>
    </w:p>
    <w:p w14:paraId="487ECB7F" w14:textId="77777777" w:rsidR="004A26C9" w:rsidRDefault="004A26C9" w:rsidP="00435029">
      <w:pPr>
        <w:pStyle w:val="CEABullet-Level1"/>
      </w:pPr>
    </w:p>
    <w:p w14:paraId="407D85D8" w14:textId="624E82CF" w:rsidR="000B3105" w:rsidRDefault="000B3105" w:rsidP="00435029">
      <w:pPr>
        <w:pStyle w:val="CEABullet-Level1"/>
      </w:pPr>
      <w:r>
        <w:t xml:space="preserve">Z hľadiska reputácie </w:t>
      </w:r>
      <w:r w:rsidR="004600CA">
        <w:t xml:space="preserve">budú spoločnosti, ktoré sa odchyľujú od referenčnej hodnoty zverejnenej orgánom EIOPA, automaticky vnímané ako „čierne ovce “, aj keď ich výrobky dokonale vyhovujú, čím sa podkopáva dôvera </w:t>
      </w:r>
      <w:r w:rsidR="004600CA">
        <w:lastRenderedPageBreak/>
        <w:t xml:space="preserve">spotrebiteľov a opäť sa ovplyvní ich preferencia smerom k lacnejším výrobkom. Referenčné hodnoty by preto mali byť určené na použitie odborníkmi a nemali by byť verejne dostupné, pretože by ich </w:t>
      </w:r>
      <w:r w:rsidR="007D4F37">
        <w:t xml:space="preserve">spotrebitelia </w:t>
      </w:r>
      <w:r w:rsidR="007D4F37" w:rsidRPr="0085313D">
        <w:rPr>
          <w:strike/>
        </w:rPr>
        <w:t>mohli nesprávne interpretovať.</w:t>
      </w:r>
    </w:p>
    <w:p w14:paraId="25F97EFF" w14:textId="77777777" w:rsidR="00435029" w:rsidRDefault="00435029" w:rsidP="00435029">
      <w:pPr>
        <w:pStyle w:val="CEABullet-Level1"/>
      </w:pPr>
    </w:p>
    <w:p w14:paraId="71F2DD43" w14:textId="2966A160" w:rsidR="00E7147A" w:rsidRPr="00523B23" w:rsidRDefault="00F95E44" w:rsidP="00523B23">
      <w:pPr>
        <w:pStyle w:val="CEABullet-Level1"/>
      </w:pPr>
      <w:r>
        <w:t xml:space="preserve">Pokiaľ ide o </w:t>
      </w:r>
      <w:r w:rsidRPr="00415BDA">
        <w:rPr>
          <w:b/>
          <w:bCs/>
        </w:rPr>
        <w:t xml:space="preserve">distribútorov </w:t>
      </w:r>
      <w:r>
        <w:t>, museli by posúdiť, či sú „celkové náklady a poplatky oprávnené a primerané“, vrátane porovnania s príslušnou referenčnou hodnotou. Zatiaľ nie je jasné, ako to bude fungovať v praxi. Okrem toho nie je potrebné, aby distribútori opakovali hodnotenie hodnoty za peniaze, ak k celkovým nákladom na produkt nepridajú žiadne dodatočné náklady na distribúciu, pretože by to bolo ekvivalentné požiadavke, aby duplikovali už vykonanú úlohu produktu. výrobca.</w:t>
      </w:r>
    </w:p>
    <w:p w14:paraId="6FA2BF72" w14:textId="77777777" w:rsidR="00974A6D" w:rsidRDefault="00974A6D" w:rsidP="00A15399"/>
    <w:p w14:paraId="6FDEB8F7" w14:textId="6C893BCF" w:rsidR="00E0478E" w:rsidRDefault="00E0478E" w:rsidP="009D55AA">
      <w:r w:rsidRPr="00BD5E9E">
        <w:t xml:space="preserve">Pokiaľ ide o </w:t>
      </w:r>
      <w:r w:rsidR="00E6511A" w:rsidRPr="00415BDA">
        <w:rPr>
          <w:b/>
          <w:bCs/>
        </w:rPr>
        <w:t xml:space="preserve">informácie, ktoré sa majú sprístupniť distribútorom </w:t>
      </w:r>
      <w:r w:rsidR="00A82275" w:rsidRPr="00BD5E9E">
        <w:t>podľa navrhovaného čl. 3, požiadavka nie je jasná. Insurance Europe sa obáva, že môže obsahovať komerčne citlivé informácie v súvislosti s cenovými rozhodnutiami výrobcov určitých produktov. Insurance Europe navrhuje nevypustiť slovo „vhodné“ v pododseku 2, ktoré bolo z návrhu vypustené. To by prinajmenšom ponechalo priestor výrobcovi produktu, aby určil, aké informácie sú pre distribútora užitočné.</w:t>
      </w:r>
    </w:p>
    <w:p w14:paraId="722E4C78" w14:textId="0B55BBA1" w:rsidR="00E0478E" w:rsidRDefault="00E0478E" w:rsidP="00A15399"/>
    <w:p w14:paraId="1D2F48F7" w14:textId="446578C6" w:rsidR="00D11D05" w:rsidRDefault="00D11D05" w:rsidP="00D11D05">
      <w:pPr>
        <w:pStyle w:val="CEABullet-Level1"/>
      </w:pPr>
      <w:r>
        <w:t xml:space="preserve">V prípade Insurance Europe by referenčné hodnoty mali slúžiť na podporu NCA pri identifikácii odľahlých hodnôt na trhu. To znamená, že vnútroštátnym orgánom na ochranu hospodárskej súťaže by mala byť umožnená určitá </w:t>
      </w:r>
      <w:r w:rsidR="005420F8" w:rsidRPr="006B29F5">
        <w:rPr>
          <w:b/>
          <w:bCs/>
        </w:rPr>
        <w:t xml:space="preserve">flexibilita </w:t>
      </w:r>
      <w:r w:rsidR="005420F8">
        <w:t>na prispôsobenie referenčných hodnôt alebo na odchýlenie sa od nich, aby sa zohľadnili špecifiká trhu, skúsenosti a postupy v oblasti dohľadu.</w:t>
      </w:r>
    </w:p>
    <w:p w14:paraId="133FAE36" w14:textId="77777777" w:rsidR="00AA40D5" w:rsidRDefault="00AA40D5" w:rsidP="00A15399"/>
    <w:p w14:paraId="1B3599D0" w14:textId="705971DB" w:rsidR="008E3890" w:rsidRDefault="008E3890" w:rsidP="00A15399">
      <w:r>
        <w:t xml:space="preserve">Okrem nového splnomocnenia na vypracovanie referenčných hodnôt by EIOPA bol poverený aj podľa čl. 25 ods. 9 písm. b) na definovanie </w:t>
      </w:r>
      <w:r w:rsidR="00472ADD" w:rsidRPr="00816AE8">
        <w:rPr>
          <w:b/>
          <w:bCs/>
        </w:rPr>
        <w:t xml:space="preserve">nových kritérií na určenie, či sú náklady a poplatky oprávnené a primerané </w:t>
      </w:r>
      <w:r w:rsidR="00407D20">
        <w:t>. Pre Insurance Europe by zavedenie kritérií, či sú náklady oprávnené a primerané, tvorilo základ pre reguláciu cien na úrovni 2. Pravidlá o POG by sa mali naďalej zameriavať na zabezpečenie vhodnosti produktov pre ich cieľové trhy a nie je potrebné ďalej objasniť kritériá na posúdenie, či sú náklady a poplatky opodstatnené a primerané prostredníctvom podrobnejších opatrení úrovne 2. Úlohou a zodpovednosťou výrobcu produktu by malo byť posúdiť, či sú náklady a poplatky za produkt v súlade s požiadavkami a potrebami cieľového trhu z dôvodov vysvetlených vyššie.</w:t>
      </w:r>
    </w:p>
    <w:p w14:paraId="3CE5A5EC" w14:textId="77777777" w:rsidR="0034587C" w:rsidRDefault="0034587C" w:rsidP="00A15399"/>
    <w:p w14:paraId="2D2A8F7D" w14:textId="641139C0" w:rsidR="00904BFC" w:rsidRDefault="00B878C0" w:rsidP="00904BFC">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bCs/>
          <w:color w:val="auto"/>
          <w:kern w:val="32"/>
          <w:szCs w:val="17"/>
          <w:lang w:eastAsia="nl-NL"/>
        </w:rPr>
        <w:t>Odporúčania:</w:t>
      </w:r>
    </w:p>
    <w:p w14:paraId="54CF7CC9" w14:textId="77777777" w:rsidR="00904BFC" w:rsidRDefault="00904BFC" w:rsidP="00904BFC">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375B11D6" w14:textId="12D5B5F4" w:rsidR="00ED6FFF" w:rsidRDefault="00ED6FFF" w:rsidP="00B842C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ED6FFF">
        <w:rPr>
          <w:rFonts w:ascii="Arial" w:hAnsi="Arial" w:cs="Arial"/>
        </w:rPr>
        <w:t xml:space="preserve">→ </w:t>
      </w:r>
      <w:r w:rsidRPr="00ED6FFF">
        <w:t>POG by sa mala naďalej zameriavať na zabezpečenie vhodnosti produktov pre ciele a potreby príslušného cieľového trhu. To zahŕňa vhodnosť nákladov na produkt. V rámci týchto limitov by však rozhodnutie o cene malo byť ponechané na výrobcov.</w:t>
      </w:r>
    </w:p>
    <w:p w14:paraId="69EFBCCA" w14:textId="22DB3181" w:rsidR="00904BFC" w:rsidRDefault="00A15A5D" w:rsidP="00A81C92">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ED6FFF">
        <w:rPr>
          <w:rFonts w:ascii="Arial" w:hAnsi="Arial" w:cs="Arial"/>
        </w:rPr>
        <w:t>→</w:t>
      </w:r>
      <w:r w:rsidRPr="00ED6FFF">
        <w:t xml:space="preserve"> </w:t>
      </w:r>
      <w:r w:rsidR="00A81C92">
        <w:rPr>
          <w:rFonts w:cs="Times New Roman"/>
          <w:color w:val="auto"/>
          <w:kern w:val="32"/>
          <w:szCs w:val="17"/>
          <w:lang w:eastAsia="nl-NL"/>
        </w:rPr>
        <w:t>Je potrebné prehodnotiť prístup k referenčným hodnotám nákladov a výkonu:</w:t>
      </w:r>
    </w:p>
    <w:p w14:paraId="734C730B" w14:textId="41F6A20A" w:rsidR="00281925" w:rsidRDefault="00281925"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rPr>
          <w:rFonts w:cs="Times New Roman"/>
          <w:color w:val="auto"/>
          <w:kern w:val="32"/>
          <w:szCs w:val="17"/>
          <w:lang w:eastAsia="nl-NL"/>
        </w:rPr>
      </w:pPr>
      <w:r w:rsidRPr="00281925">
        <w:rPr>
          <w:rFonts w:cs="Times New Roman"/>
          <w:color w:val="auto"/>
          <w:kern w:val="32"/>
          <w:szCs w:val="17"/>
          <w:lang w:eastAsia="nl-NL"/>
        </w:rPr>
        <w:t>Odporúča sa prístup založený na riziku, v rámci ktorého sa uprednostňujú produkty, ktoré predstavujú najväčšie riziko poškodenia spotrebiteľa;</w:t>
      </w:r>
    </w:p>
    <w:p w14:paraId="5BD4399E" w14:textId="4902A5E7" w:rsidR="00F66F61" w:rsidRDefault="007C668C"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rPr>
          <w:rFonts w:cs="Times New Roman"/>
          <w:color w:val="auto"/>
          <w:kern w:val="32"/>
          <w:szCs w:val="17"/>
          <w:lang w:eastAsia="nl-NL"/>
        </w:rPr>
      </w:pPr>
      <w:r>
        <w:rPr>
          <w:rFonts w:cs="Times New Roman"/>
          <w:color w:val="auto"/>
          <w:kern w:val="32"/>
          <w:szCs w:val="17"/>
          <w:lang w:eastAsia="nl-NL"/>
        </w:rPr>
        <w:t xml:space="preserve">Na dosiahnutie tohto cieľa je potrebné objasniť, že EIOPA by mal za úlohu vyvinúť „ukazovatele“ ako nástroje dohľadu na podporu NCA pri identifikácii odľahlých hodnôt na trhu, čo znamená produktov, ktorých hodnota za peniaze si vyžaduje ďalšiu analýzu zo strany NCA, v súlade s existujúcimi prístup </w:t>
      </w:r>
      <w:hyperlink r:id="rId15" w:history="1">
        <w:r w:rsidR="009B6965" w:rsidRPr="00EA5CE3">
          <w:rPr>
            <w:rStyle w:val="Hypertextovprepojenie"/>
            <w:rFonts w:cs="Times New Roman"/>
            <w:kern w:val="32"/>
            <w:szCs w:val="17"/>
            <w:lang w:eastAsia="nl-NL"/>
          </w:rPr>
          <w:t xml:space="preserve">metodiky </w:t>
        </w:r>
      </w:hyperlink>
      <w:hyperlink r:id="rId16" w:history="1">
        <w:r w:rsidR="0097542C" w:rsidRPr="00EA5CE3">
          <w:rPr>
            <w:rStyle w:val="Hypertextovprepojenie"/>
            <w:rFonts w:cs="Times New Roman"/>
            <w:kern w:val="32"/>
            <w:szCs w:val="17"/>
            <w:lang w:eastAsia="nl-NL"/>
          </w:rPr>
          <w:t xml:space="preserve">EIOPA </w:t>
        </w:r>
      </w:hyperlink>
      <w:hyperlink r:id="rId17" w:history="1">
        <w:r w:rsidR="0097542C" w:rsidRPr="00EA5CE3">
          <w:rPr>
            <w:rStyle w:val="Hypertextovprepojenie"/>
            <w:rFonts w:cs="Times New Roman"/>
            <w:kern w:val="32"/>
            <w:szCs w:val="17"/>
            <w:lang w:eastAsia="nl-NL"/>
          </w:rPr>
          <w:t xml:space="preserve">o hodnote za peniaze </w:t>
        </w:r>
      </w:hyperlink>
      <w:r w:rsidR="0097542C">
        <w:rPr>
          <w:rFonts w:cs="Times New Roman"/>
          <w:color w:val="auto"/>
          <w:kern w:val="32"/>
          <w:szCs w:val="17"/>
          <w:lang w:eastAsia="nl-NL"/>
        </w:rPr>
        <w:t>(2022). Od výrobcov produktov by sa vyžadovalo, aby riadne zdokumentovali proces tvorby cien, ale bez dodatočnej záťaže na odôvodnenie ex ante akejkoľvek odchýlky od ukazovateľov orgánu EIOPA;</w:t>
      </w:r>
    </w:p>
    <w:p w14:paraId="16AC0B30" w14:textId="43ACEA92" w:rsidR="008870DF" w:rsidRDefault="002A409A"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rPr>
          <w:rFonts w:cs="Times New Roman"/>
          <w:color w:val="auto"/>
          <w:kern w:val="32"/>
          <w:szCs w:val="17"/>
          <w:lang w:eastAsia="nl-NL"/>
        </w:rPr>
      </w:pPr>
      <w:r>
        <w:rPr>
          <w:rFonts w:cs="Times New Roman"/>
          <w:color w:val="auto"/>
          <w:kern w:val="32"/>
          <w:szCs w:val="17"/>
          <w:lang w:eastAsia="nl-NL"/>
        </w:rPr>
        <w:t xml:space="preserve">Ukazovatele EIOPA by museli zohľadňovať kvalitatívne aj kvantitatívne aspekty produktov, mali by byť flexibilné a prispôsobiteľné vnútroštátnymi orgánmi pre hospodársku súťaž, aby sa </w:t>
      </w:r>
      <w:r w:rsidR="00281454">
        <w:rPr>
          <w:rFonts w:cs="Times New Roman"/>
          <w:color w:val="auto"/>
          <w:kern w:val="32"/>
          <w:szCs w:val="17"/>
          <w:lang w:eastAsia="nl-NL"/>
        </w:rPr>
        <w:t xml:space="preserve">prispôsobili </w:t>
      </w:r>
      <w:r w:rsidR="006163C3">
        <w:rPr>
          <w:rFonts w:cs="Times New Roman"/>
          <w:color w:val="auto"/>
          <w:kern w:val="32"/>
          <w:szCs w:val="17"/>
          <w:lang w:eastAsia="nl-NL"/>
        </w:rPr>
        <w:t>rozmanitosti produktov a trhov v celej Európe;</w:t>
      </w:r>
    </w:p>
    <w:p w14:paraId="31A47D8E" w14:textId="085033D4" w:rsidR="00FC74E3" w:rsidRDefault="008F0212"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rPr>
          <w:rFonts w:cs="Times New Roman"/>
          <w:color w:val="auto"/>
          <w:kern w:val="32"/>
          <w:szCs w:val="17"/>
          <w:lang w:eastAsia="nl-NL"/>
        </w:rPr>
      </w:pPr>
      <w:r w:rsidRPr="008F0212">
        <w:rPr>
          <w:rFonts w:cs="Times New Roman"/>
          <w:color w:val="auto"/>
          <w:kern w:val="32"/>
          <w:szCs w:val="17"/>
          <w:lang w:eastAsia="nl-NL"/>
        </w:rPr>
        <w:t>Je potrebné objasniť, že EIOPA a NCA by mali čo najviac využívať existujúce údaje, aby sa predišlo zvyšovaniu nákladov poisťovateľov na vykazovanie.</w:t>
      </w:r>
    </w:p>
    <w:p w14:paraId="2808ECE5" w14:textId="77777777" w:rsidR="00F570FA" w:rsidRDefault="00F570FA" w:rsidP="00F570F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p>
    <w:p w14:paraId="5EECBBA2" w14:textId="70A912D0" w:rsidR="00137FAE" w:rsidRDefault="00137FAE" w:rsidP="00F570F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F53D71">
        <w:rPr>
          <w:rFonts w:ascii="Calibri" w:hAnsi="Calibri" w:cs="Calibri"/>
          <w:b/>
          <w:bCs/>
          <w:color w:val="auto"/>
          <w:kern w:val="32"/>
          <w:szCs w:val="17"/>
          <w:lang w:eastAsia="nl-NL"/>
        </w:rPr>
        <w:t xml:space="preserve">→ </w:t>
      </w:r>
      <w:r>
        <w:rPr>
          <w:rFonts w:cs="Times New Roman"/>
          <w:color w:val="auto"/>
          <w:kern w:val="32"/>
          <w:szCs w:val="17"/>
          <w:lang w:eastAsia="nl-NL"/>
        </w:rPr>
        <w:t xml:space="preserve">Je potrebné špecifikovať v </w:t>
      </w:r>
      <w:r w:rsidRPr="00137FAE">
        <w:t>čl. 3, že výrobcovia produktov sprístupnia distribútorom „vhodné“ informácie v súlade so súčasnými ustanoveniami IDD.</w:t>
      </w:r>
    </w:p>
    <w:p w14:paraId="3743D1E0" w14:textId="42B58DD0" w:rsidR="00052EA9" w:rsidRDefault="00F570FA" w:rsidP="00F570F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lastRenderedPageBreak/>
        <w:t>→</w:t>
      </w:r>
      <w:r w:rsidR="006046C2">
        <w:rPr>
          <w:rFonts w:ascii="Calibri" w:hAnsi="Calibri" w:cs="Calibri"/>
          <w:b/>
          <w:bCs/>
          <w:color w:val="auto"/>
          <w:kern w:val="32"/>
          <w:szCs w:val="17"/>
          <w:lang w:eastAsia="nl-NL"/>
        </w:rPr>
        <w:t xml:space="preserve"> </w:t>
      </w:r>
      <w:r w:rsidR="006046C2" w:rsidRPr="00D701BA">
        <w:rPr>
          <w:rFonts w:cs="Calibri"/>
          <w:b/>
          <w:bCs/>
          <w:color w:val="auto"/>
          <w:kern w:val="32"/>
          <w:szCs w:val="17"/>
          <w:lang w:eastAsia="nl-NL"/>
        </w:rPr>
        <w:t xml:space="preserve">Splnomocnenie orgánu EIOPA na vypracovanie referenčnej hodnoty by sa malo zodpovedajúcim spôsobom preskúmať, zatiaľ čo splnomocnenie orgánu EIOPA na vypracovanie kritérií úrovne 2 o tom, ako posúdiť, či sú náklady a poplatky odôvodnené a primerané, nie je potrebné a malo by sa vypustiť </w:t>
      </w:r>
      <w:r w:rsidR="00B878C0">
        <w:rPr>
          <w:rFonts w:cs="Calibri"/>
          <w:color w:val="auto"/>
          <w:kern w:val="32"/>
          <w:szCs w:val="17"/>
          <w:lang w:eastAsia="nl-NL"/>
        </w:rPr>
        <w:t>.</w:t>
      </w:r>
    </w:p>
    <w:p w14:paraId="5868ABB7" w14:textId="77777777" w:rsidR="00052EA9" w:rsidRDefault="00052EA9" w:rsidP="00F570F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Calibri"/>
          <w:color w:val="auto"/>
          <w:kern w:val="32"/>
          <w:szCs w:val="17"/>
          <w:lang w:eastAsia="nl-NL"/>
        </w:rPr>
      </w:pPr>
    </w:p>
    <w:p w14:paraId="50FE63AA" w14:textId="4882AFF3" w:rsidR="00B00F99" w:rsidRDefault="00B00F99" w:rsidP="00F570F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Calibri"/>
          <w:color w:val="auto"/>
          <w:kern w:val="32"/>
          <w:szCs w:val="17"/>
          <w:lang w:eastAsia="nl-NL"/>
        </w:rPr>
      </w:pPr>
      <w:r w:rsidRPr="00B00F99">
        <w:rPr>
          <w:rFonts w:cs="Calibri"/>
          <w:strike/>
          <w:color w:val="auto"/>
          <w:kern w:val="32"/>
          <w:szCs w:val="17"/>
          <w:lang w:eastAsia="nl-NL"/>
        </w:rPr>
        <w:t>Navyše by to bol hlboký zásah do základných práv. Článok 16 charty základných práv poskytuje slobodu podnikania. Možnosť určiť poplatky za ponúkané služby je základným prvkom slobody podnikania, ktorá je zakotvená v čl. 16 Charty základných práv EÚ. Nové požiadavky by na druhej strane hlboko zasiahli do procesu tvorby cien.</w:t>
      </w:r>
    </w:p>
    <w:p w14:paraId="1104B368" w14:textId="76DC7A48" w:rsidR="00A15399" w:rsidRDefault="00A15399" w:rsidP="00A15399">
      <w:pPr>
        <w:rPr>
          <w:color w:val="000000" w:themeColor="text1"/>
        </w:rPr>
      </w:pPr>
    </w:p>
    <w:p w14:paraId="7C634743" w14:textId="77777777" w:rsidR="00A15399" w:rsidRDefault="00A15399" w:rsidP="00A15399">
      <w:pPr>
        <w:rPr>
          <w:color w:val="000000" w:themeColor="text1"/>
        </w:rPr>
      </w:pPr>
    </w:p>
    <w:p w14:paraId="50B2F750" w14:textId="4F6B7CFE" w:rsidR="00C653F4" w:rsidRDefault="00C653F4" w:rsidP="00A15399">
      <w:pPr>
        <w:rPr>
          <w:color w:val="000000" w:themeColor="text1"/>
        </w:rPr>
      </w:pPr>
      <w:r>
        <w:rPr>
          <w:rFonts w:cs="Frutiger LT Std 45 Light"/>
          <w:b/>
          <w:bCs/>
          <w:color w:val="4472C4" w:themeColor="accent1"/>
          <w:szCs w:val="20"/>
        </w:rPr>
        <w:t>Dlhšia a náročnejšia cesta spotrebiteľského investovania</w:t>
      </w:r>
    </w:p>
    <w:p w14:paraId="5A8DC0B6" w14:textId="77777777" w:rsidR="00C653F4" w:rsidRDefault="00C653F4" w:rsidP="004C596C">
      <w:pPr>
        <w:pStyle w:val="Nadpis1"/>
        <w:numPr>
          <w:ilvl w:val="0"/>
          <w:numId w:val="0"/>
        </w:numPr>
        <w:ind w:left="360" w:hanging="360"/>
      </w:pPr>
    </w:p>
    <w:p w14:paraId="550FA494" w14:textId="4A0E4EF6" w:rsidR="00D67843" w:rsidRDefault="00B537C2" w:rsidP="00D67843">
      <w:r w:rsidRPr="00E378DC">
        <w:t>Predaj IBIP je už v IDD prísne regulovaný s požiadavkou získať a posúdiť dlhý zoznam informácií v rámci testu vhodnosti a hodnotenia preferencií udržateľnosti, ktoré sa vzťahujú na avizované predaje všetkých typov IBIP. Okrem toho sa vždy vyžaduje test požiadaviek a potrieb pre všetky typy predaja v rámci IDD. Dokončenie odporúčaného procesu predaja pre zelený IBIP už vyžaduje približne 1:30/2:00 času spotrebiteľov na základe súčasných pravidiel IDD.</w:t>
      </w:r>
    </w:p>
    <w:p w14:paraId="5D09868C" w14:textId="77777777" w:rsidR="00D67843" w:rsidRDefault="00D67843" w:rsidP="00D67843"/>
    <w:p w14:paraId="1302BA1B" w14:textId="72B65FC0" w:rsidR="0028415C" w:rsidRDefault="00700490" w:rsidP="00700490">
      <w:r w:rsidRPr="00700490">
        <w:t>Návrh zavádza dodatočné požiadavky ku skúške vhodnosti pre poradenský predaj (článok 30 ods. 1): posúdenie „zloženia existujúcich portfólií“ zákazníka a potreby „diverzifikácie portfólia“. Zjednodušený, ale stále dlhý test vhodnosti by bol za určitých podmienok dostupný len pre „nezávislé poradenstvo“. Zatiaľ čo IDD zostáva neutrálny a uplatňuje rovnaké pravidlá na rôzne distribučné kanály, „zjednodušený test vhodnosti“ pre nezávislých poradcov vytvorí nerovnaké podmienky.</w:t>
      </w:r>
    </w:p>
    <w:p w14:paraId="228A345E" w14:textId="77777777" w:rsidR="0028415C" w:rsidRDefault="0028415C" w:rsidP="00700490"/>
    <w:p w14:paraId="147FA97E" w14:textId="21F80A83" w:rsidR="00450E02" w:rsidRDefault="00BE2D8F" w:rsidP="00700490">
      <w:r>
        <w:t>Okrem toho by bolo potrebné vykonať „test najlepšieho záujmu“ pre všetky avizované predaje. Insurance Europe sa obáva, že obrovský objem požiadaviek zvyšuje zložitosť, ktorá môže odradiť spotrebiteľa od zapojenia sa do investičného procesu, pretože test vhodnosti by sa stal zdĺhavejším (približne 3 hodiny s novými požiadavkami), zložitejším a zaťažujúcim, čím by bol v rozpore s jedným z kľúčových ciele RIS, ktorým je stimulovať účasť drobných investorov na kapitálových trhoch. Prax ukazuje, že zdĺhavé predajné a poradenské procesy môžu predstavovať prekážku pre spotrebiteľov, aby vôbec investovali.</w:t>
      </w:r>
    </w:p>
    <w:p w14:paraId="7381E095" w14:textId="77777777" w:rsidR="00450E02" w:rsidRDefault="00450E02" w:rsidP="00700490"/>
    <w:p w14:paraId="6608F3FD" w14:textId="77777777" w:rsidR="00A944A9" w:rsidRDefault="00DF2486" w:rsidP="00A944A9">
      <w:r>
        <w:t>Návrh zároveň zavádza dodatočné požiadavky aj na test vhodnosti pre predaj bez poradenstva (článok 30 ods. 2): zhromažďovanie informácií o schopnosti zákazníka „znášať úplné alebo čiastočné straty“ a „tolerancii rizika“. Neavízovaný predaj uprednostňujú spotrebitelia, ktorí hľadajú krátky a jednoduchší predajný proces. Podľa nových požiadaviek to už tak nebude.</w:t>
      </w:r>
    </w:p>
    <w:p w14:paraId="4F74ADE6" w14:textId="77777777" w:rsidR="00A944A9" w:rsidRDefault="00A944A9" w:rsidP="00A944A9"/>
    <w:p w14:paraId="5907115C" w14:textId="4550C742" w:rsidR="00A944A9" w:rsidRDefault="00335509" w:rsidP="00A944A9">
      <w:r>
        <w:t>Pri distribúcii produktov s testom vhodnosti sa klientovi nedáva žiadne personalizované odporúčanie, čo znamená, že podľa definície IDD sa neposkytuje žiadne poradenstvo. V praxi k tomu dochádza, keď spotrebitelia nepotrebujú radu alebo nie sú ochotní poskytnúť všetky informácie potrebné na (dlhé) posúdenie vhodnosti. V tomto prípade môžu distribútori pristúpiť k testu vhodnosti na identifikáciu vhodného produktu alebo vhodných produktov pre spotrebiteľa. V dôsledku toho má viac spotrebiteľov možnosť investovať a nakupovať vhodné produkty na zabezpečenie v starobe.</w:t>
      </w:r>
    </w:p>
    <w:p w14:paraId="50791265" w14:textId="77777777" w:rsidR="00AF61B7" w:rsidRDefault="00AF61B7" w:rsidP="00700490"/>
    <w:p w14:paraId="4D0F158F" w14:textId="77777777" w:rsidR="00A95D8C" w:rsidRDefault="00775D24" w:rsidP="00700490">
      <w:r w:rsidRPr="00775D24">
        <w:t>Nie je zrejmé, prečo by tieto dva základné prvky poradenstva mali byť teraz zahrnuté aj ako povinné komponenty pri predaji s testom vhodnosti bez poradenstva. Spotrebitelia, ktorí chcú komplexne preskúmať, či produkt zodpovedá ich finančným možnostiam a očakávaniam rizika, majú možnosť získať poradenstvo.</w:t>
      </w:r>
    </w:p>
    <w:p w14:paraId="3BA947AD" w14:textId="77777777" w:rsidR="00A95D8C" w:rsidRDefault="00A95D8C" w:rsidP="00700490"/>
    <w:p w14:paraId="1A230274" w14:textId="17B952C7" w:rsidR="00DF2486" w:rsidRDefault="00775D24" w:rsidP="00700490">
      <w:r w:rsidRPr="00775D24">
        <w:t xml:space="preserve">Navyše nie je jasné, ako sa úsilie o nové posúdenie primeranosti podľa čl. 30 ods. 2 IDD má byť v budúcnosti odmeňovaný, keďže vyplácanie provízie je prípustné len za prísnych podmienok pri predaji s poradenstvom. Jediným spôsobom sa zdá byť odmena založená na poplatkoch, ktorú spotrebiteľ zaplatí vopred. Z nášho pohľadu je viac ako nepravdepodobné, že by spotrebiteľ, ktorý sa vyjadril, že nepotrebuje radu, bol ochotný zaplatiť </w:t>
      </w:r>
      <w:r w:rsidRPr="00775D24">
        <w:lastRenderedPageBreak/>
        <w:t xml:space="preserve">vopred z vlastného vrecka za </w:t>
      </w:r>
      <w:r w:rsidR="00D14D00" w:rsidRPr="00775D24">
        <w:t>test vhodnosti bez poradenstva. Posúdenie vhodnosti by sa malo obmedziť na súčasný rozsah pôsobnosti.</w:t>
      </w:r>
    </w:p>
    <w:p w14:paraId="4B542D78" w14:textId="77777777" w:rsidR="00DF2486" w:rsidRDefault="00DF2486" w:rsidP="00700490"/>
    <w:p w14:paraId="06E1063D" w14:textId="22F99528" w:rsidR="00E740CB" w:rsidRDefault="00F41290" w:rsidP="00E07650">
      <w:r>
        <w:t>Pre testy vhodnosti a primeranosti by bolo potrebné poskytnúť zákazníkom štandardizované vysvetlenia, varovania a (na požiadanie) správu o zhromaždených informáciách. Ak spotrebitelia nechcú dostať úplné poradenstvo, napríklad preto, že nemôžu alebo nie sú ochotní poskytnúť všetky informácie, musia byť splnené minimálne zákonné požiadavky. Medzi ne patrí okrem iného zisťovanie požiadaviek a potrieb, poskytovanie a vysvetľovanie predzmluvných informácií alebo upozornení a poskytovanie správ. Úsilie o splnenie týchto zákonných požiadaviek musí byť odmenené a nemožno ho robiť zadarmo. Obmedzenie možných spôsobov platieb v konečnom dôsledku prinesie menej investícií, čo je v rozpore so zámerom retailovej investičnej stratégie.</w:t>
      </w:r>
    </w:p>
    <w:p w14:paraId="1481F39B" w14:textId="77777777" w:rsidR="00FA3EEF" w:rsidRDefault="00FA3EEF" w:rsidP="00E07650"/>
    <w:p w14:paraId="5443A98B" w14:textId="3C1A038B" w:rsidR="00FA3EEF" w:rsidRPr="00FA3EEF" w:rsidRDefault="003767C6" w:rsidP="00FA3EEF">
      <w:pPr>
        <w:tabs>
          <w:tab w:val="num" w:pos="720"/>
        </w:tabs>
      </w:pPr>
      <w:r>
        <w:t>Vo všeobecnosti nové požiadavky ešte viac predĺžia a sťažia proces predaja, zvýšia náklady na dodržiavanie predpisov a odradia mnohých spotrebiteľov, čo je opäť v rozpore s cieľom RIS zjednodušiť investície.</w:t>
      </w:r>
    </w:p>
    <w:p w14:paraId="2A0FD269" w14:textId="77777777" w:rsidR="00E07650" w:rsidRDefault="00E07650" w:rsidP="00E07650"/>
    <w:p w14:paraId="13346EB9" w14:textId="59094630" w:rsidR="00E07650" w:rsidRDefault="00E07650" w:rsidP="00BB55B7">
      <w:r>
        <w:t xml:space="preserve">Úroveň byrokracie sa bude zvyšovať v celom hodnotovom reťazci s dodatočnými testami (napr. „proces tvorby cien vrátane benchmarkingu“ s dodatočným testovaním, hodnotením a odôvodnením v prípade odchýlky od referenčnej hodnoty), väčším množstvom podávania správ (napr. podrobné informácie o nákladoch a poplatkoch , distribučné náklady a platby tretím stranám, ako aj ďalšie vlastnosti produktu, ako základ pre prácu orgánu EIOPA na vývoji a zverejňovaní spoločných referenčných hodnôt nákladov a výkonnosti, cezhraničných aktivít) a vedenia záznamov (napr. o marketingovej komunikácii v súvislosti s IBIP, vrátane marketingovej komunikácie uskutočnenej akoukoľvek treťou stranou odmeňovanou alebo motivovanou prostredníctvom nepeňažnej kompenzácie). Táto zvýšená byrokracia neprispeje k tomu, že finančné služby budú nákladovo efektívnejšie, ale namiesto toho bude mať výrazné dôsledky pre spotrebiteľov v podobe zvýšených nákladov. Existuje tiež riziko, že menšie spoločnosti a sprostredkovatelia nemusia </w:t>
      </w:r>
      <w:r w:rsidR="008521A1">
        <w:rPr>
          <w:rStyle w:val="ui-provider"/>
        </w:rPr>
        <w:t xml:space="preserve">zvládnuť túto záťaž a možno budú musieť znížiť kvalitu služieb, ktoré poskytujú, alebo dokonca zmiznúť z trhu. Táto obmedzená hospodárska súťaž a výber by neboli prospešné pre spotrebiteľov </w:t>
      </w:r>
      <w:r w:rsidR="00A965EB">
        <w:t>. Treba tiež poznamenať, že v marci predsedníčka Európskej komisie Ursula von der Leyen oznámila, že na jeseň má Európska komisia v úmysle „predložiť konkrétne návrhy na zjednodušenie požiadaviek na podávanie správ a v skutočnosti ich znížiť o 25 %. V tomto duchu by RIS nemalo viesť k zvýšeniu záťaže súvisiacej s vykazovaním.</w:t>
      </w:r>
    </w:p>
    <w:p w14:paraId="2177BD96" w14:textId="77777777" w:rsidR="00D1782B" w:rsidRDefault="00D1782B" w:rsidP="00700490"/>
    <w:p w14:paraId="21FF31FC" w14:textId="7863F4DD" w:rsidR="00AA601A" w:rsidRDefault="009F1052" w:rsidP="00AA601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AA601A" w:rsidRPr="00923B59">
        <w:rPr>
          <w:rFonts w:cs="Times New Roman"/>
          <w:b/>
          <w:bCs/>
          <w:color w:val="auto"/>
          <w:kern w:val="32"/>
          <w:szCs w:val="17"/>
          <w:lang w:eastAsia="nl-NL"/>
        </w:rPr>
        <w:t>:</w:t>
      </w:r>
    </w:p>
    <w:p w14:paraId="562D46F2" w14:textId="77777777" w:rsidR="00AA601A" w:rsidRDefault="00AA601A" w:rsidP="00AA601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220786CF" w14:textId="5E2C7E15" w:rsidR="00AA601A" w:rsidRDefault="00AA601A" w:rsidP="00AA601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B842CA">
        <w:t>Je potrebné zabezpečiť štíhlejšie, efektívnejšie a nákladovo efektívnejšie predajné procesy a zároveň zachovať záujmy retailových investorov a zabezpečiť, aby poskytované informácie boli pre spotrebiteľov jasnejšie a zrozumiteľnejšie.</w:t>
      </w:r>
    </w:p>
    <w:p w14:paraId="68716B08" w14:textId="17FC6136" w:rsidR="002047F8" w:rsidRDefault="00993CA2" w:rsidP="00993CA2">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color w:val="auto"/>
          <w:kern w:val="32"/>
          <w:szCs w:val="17"/>
          <w:lang w:eastAsia="nl-NL"/>
        </w:rPr>
      </w:pPr>
      <w:r w:rsidRPr="004537C0">
        <w:rPr>
          <w:rFonts w:ascii="Calibri" w:hAnsi="Calibri" w:cs="Calibri"/>
          <w:b/>
          <w:bCs/>
          <w:color w:val="auto"/>
          <w:kern w:val="32"/>
          <w:szCs w:val="17"/>
          <w:lang w:eastAsia="nl-NL"/>
        </w:rPr>
        <w:t xml:space="preserve">→ Nie </w:t>
      </w:r>
      <w:r w:rsidR="002047F8" w:rsidRPr="001236B8">
        <w:rPr>
          <w:rFonts w:cs="Times New Roman"/>
          <w:color w:val="auto"/>
          <w:kern w:val="32"/>
          <w:szCs w:val="17"/>
          <w:lang w:eastAsia="nl-NL"/>
        </w:rPr>
        <w:t xml:space="preserve">je </w:t>
      </w:r>
      <w:r w:rsidR="005F266D">
        <w:rPr>
          <w:rFonts w:cs="Times New Roman"/>
          <w:color w:val="auto"/>
          <w:kern w:val="32"/>
          <w:szCs w:val="17"/>
          <w:lang w:eastAsia="nl-NL"/>
        </w:rPr>
        <w:t>potrebné meniť požiadavky na test vhodnosti.</w:t>
      </w:r>
    </w:p>
    <w:p w14:paraId="20E53A04" w14:textId="112E4591" w:rsidR="00993CA2" w:rsidRPr="00993CA2" w:rsidRDefault="005F266D" w:rsidP="00993CA2">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color w:val="auto"/>
          <w:kern w:val="32"/>
          <w:szCs w:val="17"/>
          <w:lang w:eastAsia="nl-NL"/>
        </w:rPr>
      </w:pPr>
      <w:r w:rsidRPr="00773005">
        <w:rPr>
          <w:rFonts w:ascii="Calibri" w:hAnsi="Calibri" w:cs="Calibri"/>
          <w:b/>
          <w:bCs/>
          <w:color w:val="auto"/>
          <w:kern w:val="32"/>
          <w:szCs w:val="17"/>
          <w:lang w:eastAsia="nl-NL"/>
        </w:rPr>
        <w:t xml:space="preserve">→ </w:t>
      </w:r>
      <w:r>
        <w:rPr>
          <w:rFonts w:cs="Times New Roman"/>
          <w:color w:val="auto"/>
          <w:kern w:val="32"/>
          <w:szCs w:val="17"/>
          <w:lang w:eastAsia="nl-NL"/>
        </w:rPr>
        <w:t>Podmienky „skúšky vhodnosti“ je potrebné revidovať podľa vyššie uvedeného.</w:t>
      </w:r>
    </w:p>
    <w:p w14:paraId="2CE087E9" w14:textId="53C121A4" w:rsidR="00AA601A" w:rsidRPr="008870DF" w:rsidRDefault="00993CA2" w:rsidP="00030CD4">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4537C0">
        <w:rPr>
          <w:rFonts w:ascii="Calibri" w:hAnsi="Calibri" w:cs="Calibri"/>
          <w:b/>
          <w:bCs/>
          <w:color w:val="auto"/>
          <w:kern w:val="32"/>
          <w:szCs w:val="17"/>
          <w:lang w:eastAsia="nl-NL"/>
        </w:rPr>
        <w:t xml:space="preserve">→ </w:t>
      </w:r>
      <w:r w:rsidRPr="00993CA2">
        <w:rPr>
          <w:rFonts w:cs="Times New Roman"/>
          <w:color w:val="auto"/>
          <w:kern w:val="32"/>
          <w:szCs w:val="17"/>
          <w:lang w:eastAsia="nl-NL"/>
        </w:rPr>
        <w:t>Podmienky „testu najlepšieho záujmu“ je potrebné revidovať podľa vyššie uvedeného.</w:t>
      </w:r>
    </w:p>
    <w:p w14:paraId="32E67962" w14:textId="52EC8C0B" w:rsidR="001236B8" w:rsidRPr="007E39B0" w:rsidRDefault="001236B8" w:rsidP="001236B8">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strike/>
          <w:color w:val="auto"/>
          <w:kern w:val="32"/>
          <w:szCs w:val="17"/>
          <w:lang w:eastAsia="nl-NL"/>
        </w:rPr>
      </w:pPr>
    </w:p>
    <w:p w14:paraId="0C8CB86F" w14:textId="77777777" w:rsidR="00AA601A" w:rsidRDefault="00AA601A" w:rsidP="00700490"/>
    <w:p w14:paraId="53E8B89D" w14:textId="77777777" w:rsidR="00AA601A" w:rsidRPr="00700490" w:rsidRDefault="00AA601A" w:rsidP="00700490"/>
    <w:p w14:paraId="31316F1A" w14:textId="3B7CAC6F" w:rsidR="000914DA" w:rsidRDefault="000914DA" w:rsidP="004C596C">
      <w:pPr>
        <w:pStyle w:val="Nadpis1"/>
        <w:numPr>
          <w:ilvl w:val="0"/>
          <w:numId w:val="0"/>
        </w:numPr>
        <w:ind w:left="360" w:hanging="360"/>
      </w:pPr>
      <w:r>
        <w:t>Zverejnenia v IDD</w:t>
      </w:r>
    </w:p>
    <w:p w14:paraId="3445D6FC" w14:textId="77777777" w:rsidR="00BE1790" w:rsidRDefault="00BE1790" w:rsidP="00BE1790"/>
    <w:p w14:paraId="45CBB7D6" w14:textId="77777777" w:rsidR="004D2EA2" w:rsidRDefault="006F1071" w:rsidP="00813EA4">
      <w:r w:rsidRPr="006F1071">
        <w:t>Insurance Europe podporuje a oceňuje prácu, ktorú vykonala Európska komisia s cieľom posunúť sa smerom k „digitálnej štandardnej“ komunikácii, ako aj snahu zefektívniť zverejňovanie informácií pomocou Solventnosti II a novozavedených povinností členských štátov týkajúcich sa finančnej gramotnosti, aby vzdelanejší spotrebitelia mohli lepšie porozumieť prijatým informáciám a klásť správne otázky, čím sa zníži údajná informačná asymetria.</w:t>
      </w:r>
    </w:p>
    <w:p w14:paraId="1246C6C2" w14:textId="77777777" w:rsidR="004D2EA2" w:rsidRDefault="004D2EA2" w:rsidP="00813EA4"/>
    <w:p w14:paraId="427B407F" w14:textId="1F56731A" w:rsidR="00BD6651" w:rsidRDefault="006C5808" w:rsidP="00C74CB2">
      <w:pPr>
        <w:rPr>
          <w:color w:val="333333"/>
        </w:rPr>
      </w:pPr>
      <w:r>
        <w:t xml:space="preserve">Okrem toho je dôležité, aby členské štáty </w:t>
      </w:r>
      <w:r w:rsidRPr="00504421">
        <w:rPr>
          <w:b/>
          <w:bCs/>
        </w:rPr>
        <w:t xml:space="preserve">podporovali vzdelávanie spotrebiteľov v oblasti financií a poisťovníctva s </w:t>
      </w:r>
      <w:r w:rsidR="00CB2D44">
        <w:rPr>
          <w:b/>
          <w:bCs/>
        </w:rPr>
        <w:t xml:space="preserve">iniciatívami prispôsobenými rôznym potrebám a veku </w:t>
      </w:r>
      <w:r w:rsidR="00A9798F" w:rsidRPr="00C74CB2">
        <w:t xml:space="preserve">, ktoré spotrebiteľom pomôžu pochopiť informácie, ktoré dostávajú, a klásť správne otázky. V tejto súvislosti Insurance Europe víta návrh RIS o </w:t>
      </w:r>
      <w:r w:rsidR="00A858CF">
        <w:t xml:space="preserve">finančnom vzdelávaní. </w:t>
      </w:r>
      <w:r w:rsidR="00863436">
        <w:t xml:space="preserve">Mohlo by to vychádzať z rámca finančných kompetencií, ktorý vytvorila Únia spolu s </w:t>
      </w:r>
      <w:r w:rsidR="00863436">
        <w:lastRenderedPageBreak/>
        <w:t xml:space="preserve">Organizáciou pre hospodársku spoluprácu a rozvoj (OECD). Podobne ako požiadavka smernice o hypotekárnych úveroch (MCD) podľa čl. 6, od </w:t>
      </w:r>
      <w:r w:rsidR="00BD6651" w:rsidRPr="00C74CB2">
        <w:rPr>
          <w:color w:val="333333"/>
        </w:rPr>
        <w:t>Komisie a/alebo ESA by sa tiež mohlo vyžadovať, aby zbierali a zverejňovali informácie o iniciatívach finančného a poisťovníckeho vzdelávania, ktoré majú spotrebitelia v členských štátoch k dispozícii, aby ich zviditeľnili a sprístupnili.</w:t>
      </w:r>
    </w:p>
    <w:p w14:paraId="40AB6630" w14:textId="77777777" w:rsidR="00BD6651" w:rsidRDefault="00BD6651" w:rsidP="00813EA4"/>
    <w:p w14:paraId="3595918E" w14:textId="43B80095" w:rsidR="006F1071" w:rsidRDefault="006F1071" w:rsidP="00813EA4">
      <w:r w:rsidRPr="006F1071">
        <w:t>RIS však zavádza aj opatrenia týkajúce sa zverejňovania informácií, ktoré by spôsobili, že cesta spotrebiteľa by bola únavnejšia bez hmatateľných výhod, a pridáva k už existujúcim 339 kusom predzmluvných informácií získaných pre zelené IBIP podľa rôznych platných nariadení EÚ.</w:t>
      </w:r>
    </w:p>
    <w:p w14:paraId="07A644CD" w14:textId="77777777" w:rsidR="00DF1D99" w:rsidRDefault="00DF1D99" w:rsidP="00813EA4"/>
    <w:p w14:paraId="6A15D028" w14:textId="47FE44CD" w:rsidR="009216F9" w:rsidRDefault="00DF1D99" w:rsidP="009216F9">
      <w:r>
        <w:t>Zvyšujúci sa počet technických zverejnení a upozornení sa odchyľuje od stanovených cieľov znížiť preťaženie informáciami a povzbudiť spotrebiteľov k investíciám. Okrem toho môžu navrhované nové varovania znížiť príťažlivosť investovania a pravdepodobne odradia retailových investorov od účasti na kapitálových trhoch.</w:t>
      </w:r>
    </w:p>
    <w:p w14:paraId="580EFBC6" w14:textId="77777777" w:rsidR="00157F4C" w:rsidRDefault="00157F4C" w:rsidP="00DF1D99"/>
    <w:p w14:paraId="30517630" w14:textId="30053FE5" w:rsidR="00C41695" w:rsidRDefault="00774121" w:rsidP="00B611FB">
      <w:r>
        <w:t>Navrhuje sa niekoľko nových informačných vzorov EÚ (informačný dokument o poistnom produkte (IPID) pre životné produkty mimo IBIPs, štandardizovaný formát pre predzmluvné informácie IBIP a nový ročný výkaz pre IBIP), aj keď skúsenosti z KID PRIIPs ukázal, že štandardizované šablóny, štandardizovaný obsah a terminológia v praxi nefungujú dobre – čo dokazuje potreba 12 sérií zmien, nepretržité otázky a odpovede atď. – a na vnútroštátnej úrovni už boli vyvinuté vhodné riešenia pre produkty Life mimo IBIP. Štandardizovaný dokument IDD nie je potrebný ani realizovateľný, pretože informácie musia byť prispôsobené rôznym typom produktov.</w:t>
      </w:r>
    </w:p>
    <w:p w14:paraId="7446A49C" w14:textId="77777777" w:rsidR="00D316F6" w:rsidRDefault="00D316F6" w:rsidP="00D316F6"/>
    <w:p w14:paraId="4F44BDE0" w14:textId="50A69E5A" w:rsidR="00C41695" w:rsidRDefault="009F44D6" w:rsidP="00F717C8">
      <w:r>
        <w:t>Nové vzory by bolo potrebné vytvoriť a dodať pre množstvo produktov, čím by sa zvýšila prevádzková záťaž poisťovní a sprostredkovateľov. Nie je jasné, ako by sa predzmluvné informácie IBIP doručovali v „personalizovanej forme“ (článok 29 ods. 1), ale v „štandardizovanej terminológii a formáte“ (článok 29 ods. 4).</w:t>
      </w:r>
    </w:p>
    <w:p w14:paraId="5F9FE4C7" w14:textId="77777777" w:rsidR="00C41695" w:rsidRDefault="00C41695" w:rsidP="00F717C8"/>
    <w:p w14:paraId="44BBF828" w14:textId="57719141" w:rsidR="00A3025C" w:rsidRDefault="00660F79" w:rsidP="00F717C8">
      <w:r>
        <w:t>Rozdelenie úloh a zodpovedností medzi výrobcov produktov a distribútorov musí zostať jasné: napríklad podľa čl. 6 je potrebné špecifikovať, že za vypracovanie IPID pre produkty Life, ktoré nie sú IBIPs, zodpovedá výrobca produktu.</w:t>
      </w:r>
    </w:p>
    <w:p w14:paraId="03FBCF51" w14:textId="77777777" w:rsidR="00A3025C" w:rsidRDefault="00A3025C" w:rsidP="00F717C8"/>
    <w:p w14:paraId="79450FB7" w14:textId="04FB286D" w:rsidR="00554803" w:rsidRDefault="008C04A7" w:rsidP="00F717C8">
      <w:r>
        <w:t>Niektoré návrhy predzmluvných a ročných informácií sa musia zjednodušiť, aby boli užívateľsky prívetivejšie, so zameraním na to, čo je pre spotrebiteľov najdôležitejšie:</w:t>
      </w:r>
    </w:p>
    <w:p w14:paraId="5A1A7CB9" w14:textId="77777777" w:rsidR="00554803" w:rsidRDefault="00554803" w:rsidP="00F717C8"/>
    <w:p w14:paraId="305BFC0D" w14:textId="5D5F2AE4" w:rsidR="00554803" w:rsidRDefault="00554803" w:rsidP="000D09E5">
      <w:pPr>
        <w:pStyle w:val="Odsekzoznamu"/>
        <w:numPr>
          <w:ilvl w:val="0"/>
          <w:numId w:val="9"/>
        </w:numPr>
      </w:pPr>
      <w:r>
        <w:t>Zverejnenie nákladov:</w:t>
      </w:r>
    </w:p>
    <w:p w14:paraId="3C4AA96D" w14:textId="77777777" w:rsidR="00245653" w:rsidRDefault="00245653" w:rsidP="00F717C8"/>
    <w:p w14:paraId="48936D91" w14:textId="08AEC97B" w:rsidR="00245653" w:rsidRDefault="00245653" w:rsidP="00F717C8">
      <w:r w:rsidRPr="00245653">
        <w:t>Spotrebitelia by mali dostávať vyvážené informácie o produktoch. Transparentnosť nákladov je dôležitá, nemala by však odvádzať pozornosť spotrebiteľov od iných dôležitých informácií. Spotrebitelia musia dostávať zmysluplné a podstatné informácie o nákladoch a nenechať sa zmiasť prílišnými podrobnosťami.</w:t>
      </w:r>
    </w:p>
    <w:p w14:paraId="2DE2E8BA" w14:textId="77777777" w:rsidR="00245653" w:rsidRDefault="00245653" w:rsidP="00F717C8"/>
    <w:p w14:paraId="44E38563" w14:textId="1EFA7168" w:rsidR="006E04F9" w:rsidRDefault="006E04F9" w:rsidP="00F717C8">
      <w:r>
        <w:t xml:space="preserve">Toto je obzvlášť dôležité pri zverejňovaní nákladov a stimulov, aby sa zabezpečilo, že informácie sú zmysluplné a zrozumiteľné (pozri rámček odporúčaní). Spotrebitelia už dostávajú až 30 číselných údajov o nákladoch v dokumente s kľúčovými informáciami o PRIIPs (KID). Podľa návrhov RIS dostanú spotrebitelia ešte viac údajov o nákladoch s novými požiadavkami na zverejňovanie v IDD aj PRIIP. To – spolu s prílišným zameraním na náklady v teste „najlepšieho záujmu“ a referenčnými hodnotami za vynaložené peniaze – bude pre spotrebiteľov mätúce a prinúti ich to, aby sa rozhodovali na základe najnižších nákladov (bez ohľadu na kvalitu produkt), čím sa vyberú suboptimálne možnosti. V dôsledku toho budú spotrebitelia v pokušení kúpiť si lacnejšiu možnosť, ktorá pre nich nemusí byť najlepšou voľbou ( </w:t>
      </w:r>
      <w:r w:rsidR="003859AE" w:rsidRPr="003859AE">
        <w:t>t . j. menšie krytie, menšia ochrana atď.).</w:t>
      </w:r>
    </w:p>
    <w:p w14:paraId="5D6FD4D5" w14:textId="77777777" w:rsidR="006E04F9" w:rsidRDefault="006E04F9" w:rsidP="00F717C8"/>
    <w:p w14:paraId="5F0DF6CB" w14:textId="50954096" w:rsidR="006449D0" w:rsidRDefault="006449D0" w:rsidP="000D09E5">
      <w:pPr>
        <w:pStyle w:val="Odsekzoznamu"/>
        <w:numPr>
          <w:ilvl w:val="0"/>
          <w:numId w:val="9"/>
        </w:numPr>
      </w:pPr>
      <w:r>
        <w:t>Dokument pre produkty životného poistenia iné ako IBIP:</w:t>
      </w:r>
    </w:p>
    <w:p w14:paraId="322A3B4E" w14:textId="77777777" w:rsidR="00185C6E" w:rsidRDefault="00185C6E" w:rsidP="00185C6E">
      <w:pPr>
        <w:pStyle w:val="Odsekzoznamu"/>
      </w:pPr>
    </w:p>
    <w:p w14:paraId="2025698D" w14:textId="0AD779B6" w:rsidR="004453E1" w:rsidRDefault="004453E1" w:rsidP="00A158ED">
      <w:r>
        <w:t>Podporujeme zavedenie dokumentu IPID pre produkty Life mimo IBIPs. Non-Life IPID je pozitívnym príkladom stručných kľúčových informácií.</w:t>
      </w:r>
    </w:p>
    <w:p w14:paraId="564F0888" w14:textId="77777777" w:rsidR="004453E1" w:rsidRDefault="004453E1" w:rsidP="004453E1"/>
    <w:p w14:paraId="31074018" w14:textId="35C4D5AF" w:rsidR="004453E1" w:rsidRDefault="004453E1" w:rsidP="004453E1">
      <w:r>
        <w:lastRenderedPageBreak/>
        <w:t>Avšak vymedzenie pôsobnosti čl. 20 ods. 5 a čl. 20 ods. 8a IDD je príliš široký, a preto by mohol zahŕňať aj produkty, pre ktoré IPID nie je vhodný. IPID je navrhnutý tak, aby poskytoval stručné informácie o čisto rizikových produktoch životného poistenia (biometrické poistné produkty). Zvolený rozsah „poistných produktov, ktoré nie sú investičnými produktmi založenými na poistení“ by mohol neúmyselne zahŕňať iné produkty, ako napríklad dôchodkové produkty.</w:t>
      </w:r>
    </w:p>
    <w:p w14:paraId="558BC20B" w14:textId="77777777" w:rsidR="004453E1" w:rsidRDefault="004453E1" w:rsidP="004453E1">
      <w:pPr>
        <w:ind w:left="720"/>
      </w:pPr>
    </w:p>
    <w:p w14:paraId="6DA01302" w14:textId="34E0A468" w:rsidR="004453E1" w:rsidRDefault="004453E1" w:rsidP="004453E1">
      <w:r>
        <w:t xml:space="preserve">Pokiaľ ide o dôchodkové produkty, na vnútroštátnej úrovni sa definovali prispôsobené požiadavky na informácie, aby sa zohľadnili </w:t>
      </w:r>
      <w:r w:rsidR="006B7B26">
        <w:t xml:space="preserve">špecifické </w:t>
      </w:r>
      <w:r w:rsidRPr="00253DCC">
        <w:t>vlastnosti týchto produktov. V prípade IZDZ sú predzmluvné informácie zahrnuté v čl. 41 smernice IZDZ II.</w:t>
      </w:r>
      <w:r w:rsidRPr="00253DCC" w:rsidDel="009239A8">
        <w:t xml:space="preserve"> </w:t>
      </w:r>
      <w:r w:rsidR="00A03707">
        <w:t>Spotrebitelia by mali naďalej dostávať vhodné informácie v súlade s platnými právnymi predpismi. Z týchto dôvodov už boli dôchodkové produkty vyňaté z nariadenia o PRIIPs (článok 2 ods. 2 nariadenia o PRIIP) a pravidiel IDD pre IBIP (článok 2 ods. 1 bod 17 IDD).</w:t>
      </w:r>
    </w:p>
    <w:p w14:paraId="05AEBC7D" w14:textId="77777777" w:rsidR="004453E1" w:rsidRDefault="004453E1" w:rsidP="00F02922"/>
    <w:p w14:paraId="19DCC16E" w14:textId="2DD5B890" w:rsidR="00F02922" w:rsidRPr="00F02922" w:rsidRDefault="00F02922" w:rsidP="00F02922">
      <w:r w:rsidRPr="00F02922">
        <w:t>Pokiaľ ide o obsah IPID pre čisto rizikové životné produkty, písmeno d) odkazujúce na poistné za každú dávku by sa malo odstrániť, pretože ide o personalizované informácie, ktoré nie sú kompatibilné so štandardizovanou povahou tohto dokumentu; v skutočnosti neexistuje žiadna podobná požiadavka ani v KID pre PRIIP, ani v IPID pre neživotné poistenie. Zavádzajúce môžu byť aj všeobecné informácie o dani podľa písmena l).</w:t>
      </w:r>
    </w:p>
    <w:p w14:paraId="44F56889" w14:textId="77777777" w:rsidR="00F02922" w:rsidRPr="00F02922" w:rsidRDefault="00F02922" w:rsidP="00F02922"/>
    <w:p w14:paraId="6200B3E7" w14:textId="6364C626" w:rsidR="006449D0" w:rsidRPr="00F02922" w:rsidRDefault="00F02922" w:rsidP="00F02922">
      <w:r w:rsidRPr="00F02922">
        <w:t>Pri navrhovaní tohto nového štandardizovaného dokumentu je nevyhnutné, aby sa zohľadnil pohľad zákazníka, ktorý ponúka relevantné informácie pre rozhodovanie atraktívnym spôsobom. Je nevyhnutné, aby sa vykonalo rozsiahle „spotrebiteľské testovanie“, v rámci ktorého sa testujú rôzne možnosti formátu a obsahu pre túto novú IPID so spotrebiteľmi z rôznych krajín EÚ, v rôznych vekových skupinách as rôznymi sociálno-ekonomickými profilmi. Aby sa toto cvičenie vykonalo efektívne, mal by sa poskytnúť realistický časový plán.</w:t>
      </w:r>
    </w:p>
    <w:p w14:paraId="1ECDA641" w14:textId="77777777" w:rsidR="00E678A1" w:rsidRDefault="00E678A1" w:rsidP="006449D0"/>
    <w:p w14:paraId="0C919576" w14:textId="55E7DB43" w:rsidR="006449D0" w:rsidRDefault="00C05A1C" w:rsidP="000D09E5">
      <w:pPr>
        <w:pStyle w:val="Odsekzoznamu"/>
        <w:numPr>
          <w:ilvl w:val="0"/>
          <w:numId w:val="10"/>
        </w:numPr>
      </w:pPr>
      <w:r>
        <w:t>Predzmluvné informácie o IBIP (článok 29):</w:t>
      </w:r>
    </w:p>
    <w:p w14:paraId="373210AD" w14:textId="77777777" w:rsidR="00922FE4" w:rsidRDefault="00922FE4" w:rsidP="00922FE4">
      <w:pPr>
        <w:pStyle w:val="Odsekzoznamu"/>
      </w:pPr>
    </w:p>
    <w:p w14:paraId="0CF9F9B5" w14:textId="30BA63AC" w:rsidR="00076DF3" w:rsidRDefault="006449D0" w:rsidP="00922FE4">
      <w:r>
        <w:t>Je dôležité, aby zákazníci dostávali personalizované predzmluvné informácie. Účelom štandardizovaného informačného dokumentu je však poskytnúť spotrebiteľom kľúčové informácie o produkte v porovnateľnej forme a pomôcť im tak porovnať rôzne produkty. Tento účel už spĺňa PRIIPs KID, ktoré je štandardizované. V PRIIPs KID bol zámerne urobený kompromis medzi porovnateľnosťou a zrozumiteľnosťou s cieľom pomôcť spotrebiteľom porovnávať produkty. Cena za tento kompromis bola obrovská: 12 dávok zmien vrátane nedávnej revízie úrovne 2, dlhých technických noriem, nepretržitých otázok a odpovedí, niekoľkých oneskorení atď. Personalizované informácie v IDD musia byť presné a zrozumiteľné. Preto nie je potrebné opakovať skúsenosti s PRIIPs.</w:t>
      </w:r>
    </w:p>
    <w:p w14:paraId="6CED4C93" w14:textId="77777777" w:rsidR="00076DF3" w:rsidRDefault="00076DF3" w:rsidP="00076DF3">
      <w:pPr>
        <w:jc w:val="left"/>
      </w:pPr>
    </w:p>
    <w:p w14:paraId="01247420" w14:textId="0F8E4C45" w:rsidR="006449D0" w:rsidRDefault="00076DF3" w:rsidP="006449D0">
      <w:r>
        <w:t>Okrem toho sú trhy IBIP v EÚ veľmi heterogénne. Preto je nevyhnutné zachovať v IDD zásadu minimálnej harmonizácie. Informácie by mali zodpovedať vnútroštátnym trhom a konkrétnym produktom, aby boli pre zákazníkov zrozumiteľné. Preto okrem PRIIPs KID nie je potrebný samostatný štandardizovaný dokument EÚ v rámci IDD.</w:t>
      </w:r>
    </w:p>
    <w:p w14:paraId="1C8ABDA6" w14:textId="77777777" w:rsidR="00BC29E0" w:rsidRDefault="00BC29E0" w:rsidP="006449D0"/>
    <w:p w14:paraId="6E8797B6" w14:textId="1972F89C" w:rsidR="006449D0" w:rsidRDefault="006449D0" w:rsidP="006449D0">
      <w:r>
        <w:t>Ak sa okrem PRIIPs KID vyžadujú ďalšie personalizované informácie, stačí uviesť príslušné informácie na úrovni 1. Podobne ako v IDD a smernici Solventnosť II nie je potrebná ďalšia špecifikácia na úrovni 2. Namiesto toho konkretizácia by malo prebiehať na národnej úrovni ako doteraz.</w:t>
      </w:r>
    </w:p>
    <w:p w14:paraId="62D401C6" w14:textId="77777777" w:rsidR="006449D0" w:rsidRDefault="006449D0" w:rsidP="006449D0"/>
    <w:p w14:paraId="7A54FA71" w14:textId="751237FA" w:rsidR="006449D0" w:rsidRDefault="006449D0" w:rsidP="006449D0">
      <w:r>
        <w:t xml:space="preserve">Okrem toho by terminológia nemala byť štandardizovaná na európskej úrovni. Najlepším príkladom je PRIIPs KID. V nemeckej verzii PRIIPs KID sa používa niekoľko výrazov, ktoré nie sú bežné a dokonca mätúce. Termín PRIIP „Anlage“ by mal byť „ </w:t>
      </w:r>
      <w:proofErr w:type="spellStart"/>
      <w:r w:rsidRPr="00F533FB">
        <w:t>Gesamtprämie</w:t>
      </w:r>
      <w:proofErr w:type="spellEnd"/>
      <w:r w:rsidRPr="00F533FB">
        <w:t xml:space="preserve"> </w:t>
      </w:r>
      <w:r w:rsidR="00483A82" w:rsidRPr="00F533FB">
        <w:t xml:space="preserve">“, termín </w:t>
      </w:r>
      <w:proofErr w:type="spellStart"/>
      <w:r w:rsidR="00483A82" w:rsidRPr="00F533FB">
        <w:t>PRIIPs</w:t>
      </w:r>
      <w:proofErr w:type="spellEnd"/>
      <w:r w:rsidR="00483A82" w:rsidRPr="00F533FB">
        <w:t xml:space="preserve"> „ </w:t>
      </w:r>
      <w:proofErr w:type="spellStart"/>
      <w:r w:rsidRPr="00F533FB">
        <w:t>Ziele</w:t>
      </w:r>
      <w:proofErr w:type="spellEnd"/>
      <w:r w:rsidRPr="00F533FB">
        <w:t xml:space="preserve"> </w:t>
      </w:r>
      <w:r w:rsidR="00483A82" w:rsidRPr="00F533FB">
        <w:t xml:space="preserve">“, mal by byť „ </w:t>
      </w:r>
      <w:proofErr w:type="spellStart"/>
      <w:r w:rsidRPr="00F533FB">
        <w:t>Kapitalanlageziele</w:t>
      </w:r>
      <w:proofErr w:type="spellEnd"/>
      <w:r w:rsidRPr="00F533FB">
        <w:t xml:space="preserve"> </w:t>
      </w:r>
      <w:r w:rsidR="00483A82" w:rsidRPr="00F533FB">
        <w:t xml:space="preserve">“, termín PRIIP „ </w:t>
      </w:r>
      <w:proofErr w:type="spellStart"/>
      <w:r w:rsidRPr="00F533FB">
        <w:t>Versicherungsprämie</w:t>
      </w:r>
      <w:proofErr w:type="spellEnd"/>
      <w:r w:rsidRPr="00F533FB">
        <w:t xml:space="preserve"> </w:t>
      </w:r>
      <w:r w:rsidR="00483A82" w:rsidRPr="00F533FB">
        <w:t xml:space="preserve">“ by mal byť „ </w:t>
      </w:r>
      <w:proofErr w:type="spellStart"/>
      <w:r w:rsidRPr="00F533FB">
        <w:t>biometrische</w:t>
      </w:r>
      <w:proofErr w:type="spellEnd"/>
      <w:r w:rsidRPr="00F533FB">
        <w:t xml:space="preserve"> </w:t>
      </w:r>
      <w:proofErr w:type="spellStart"/>
      <w:r w:rsidRPr="00F533FB">
        <w:t>Risikoprämie</w:t>
      </w:r>
      <w:proofErr w:type="spellEnd"/>
      <w:r w:rsidRPr="00F533FB">
        <w:t xml:space="preserve"> </w:t>
      </w:r>
      <w:r w:rsidR="00483A82" w:rsidRPr="00F533FB">
        <w:t>“.</w:t>
      </w:r>
    </w:p>
    <w:p w14:paraId="2918C85F" w14:textId="77777777" w:rsidR="006449D0" w:rsidRDefault="006449D0" w:rsidP="006449D0"/>
    <w:p w14:paraId="36CBC026" w14:textId="28F46485" w:rsidR="006449D0" w:rsidRPr="0071131D" w:rsidRDefault="00BC29E0" w:rsidP="000D09E5">
      <w:pPr>
        <w:pStyle w:val="Odsekzoznamu"/>
        <w:numPr>
          <w:ilvl w:val="0"/>
          <w:numId w:val="11"/>
        </w:numPr>
      </w:pPr>
      <w:r w:rsidRPr="0071131D">
        <w:t>Ročný výkaz pre IBIPs (článok 29):</w:t>
      </w:r>
    </w:p>
    <w:p w14:paraId="05A086C2" w14:textId="77777777" w:rsidR="007A4505" w:rsidRDefault="007A4505" w:rsidP="007A4505">
      <w:pPr>
        <w:pStyle w:val="Odsekzoznamu"/>
      </w:pPr>
    </w:p>
    <w:p w14:paraId="5681CAFD" w14:textId="26320E92" w:rsidR="001B638A" w:rsidRDefault="00BC29E0" w:rsidP="001B638A">
      <w:r>
        <w:t xml:space="preserve">Splnomocnenie úrovne 2 by sa malo vypustiť z rovnakých dôvodov, aké sú vysvetlené vyššie pre predzmluvné informácie. Ročné vyhlásenie by malo spotrebiteľom predovšetkým poskytnúť informácie o tom, ako sa ich produkt </w:t>
      </w:r>
      <w:r w:rsidR="00AF644A" w:rsidRPr="00AF644A">
        <w:t xml:space="preserve">vyvíjal, bez toho, aby bolo potrebné porovnávať jednotlivé produkty medzi krajinami. Heterogénne IBIP </w:t>
      </w:r>
      <w:r w:rsidR="00AF644A" w:rsidRPr="00AF644A">
        <w:lastRenderedPageBreak/>
        <w:t xml:space="preserve">sú formované vnútroštátnym občianskym právom (napríklad v Nemecku investičné produkty poistenia výrazne orientované na starobné poistenie) a jazykom príslušných trhov. </w:t>
      </w:r>
      <w:r w:rsidR="001B638A">
        <w:t>Namiesto poskytovania nových, dodatočných vzorov sa domnievame, že by bolo vhodnejšie poskytovať informácie prostredníctvom dokumentov, ktoré už podniky používajú, napríklad dokumentov, ktoré už vyžadujú vnútroštátne právne predpisy.</w:t>
      </w:r>
    </w:p>
    <w:p w14:paraId="68D287EC" w14:textId="77777777" w:rsidR="008A1B8B" w:rsidRDefault="008A1B8B" w:rsidP="006449D0"/>
    <w:p w14:paraId="044484EB" w14:textId="7B1648D8" w:rsidR="008002E0" w:rsidRDefault="00FD789B" w:rsidP="006449D0">
      <w:r>
        <w:t xml:space="preserve">Pokiaľ ide o podrobný obsah, v písmene a) by sa mala vypustiť požiadavka zverejňovať náklady na „zloženom základe“. Ročný výkaz ukazuje, ako sa produkt vyvíjal za posledných 12 mesiacov. Preto je potrebné poskytnúť spotrebiteľom príslušné informácie o nákladoch za posledných 12 mesiacov </w:t>
      </w:r>
      <w:r w:rsidR="000A245A">
        <w:t>alebo .</w:t>
      </w:r>
    </w:p>
    <w:p w14:paraId="20C943FE" w14:textId="77777777" w:rsidR="008002E0" w:rsidRDefault="008002E0" w:rsidP="006449D0"/>
    <w:p w14:paraId="4DA5529B" w14:textId="77777777" w:rsidR="00742255" w:rsidRDefault="00742255" w:rsidP="00742255">
      <w:r>
        <w:t xml:space="preserve">V písmene b) by sa nemala zahŕňať minulá výkonnosť podkladových investičných aktív a produktu za niekoľko rokov. Ročný výkaz by mal zobrazovať len 1 ročný </w:t>
      </w:r>
      <w:r w:rsidRPr="007A4505">
        <w:rPr>
          <w:strike/>
        </w:rPr>
        <w:t xml:space="preserve">vývoj </w:t>
      </w:r>
      <w:r>
        <w:t>zmluvy.</w:t>
      </w:r>
    </w:p>
    <w:p w14:paraId="50B1F4D7" w14:textId="77777777" w:rsidR="00742255" w:rsidRDefault="00742255" w:rsidP="006449D0"/>
    <w:p w14:paraId="651560E9" w14:textId="20F59330" w:rsidR="006449D0" w:rsidRDefault="00DB2A7E" w:rsidP="006449D0">
      <w:r>
        <w:t xml:space="preserve">V písmene c) je podrobnosť zverejňovania daní príliš </w:t>
      </w:r>
      <w:r w:rsidR="006449D0">
        <w:t>vysoká, zákazníci budú zahltení zbytočnými informáciami. Namiesto toho by sa mali zverejňovať dane naakumulované poisťovňou za posledných 12 mesiacov, ktoré sú účtované zákazníkovi v súvislosti s investičným produktom založeným na poistení. Odkaz na „celkové“ dane by sa mal vypustiť.</w:t>
      </w:r>
    </w:p>
    <w:p w14:paraId="455EE994" w14:textId="77777777" w:rsidR="00FF55EE" w:rsidRDefault="00FF55EE" w:rsidP="006449D0"/>
    <w:p w14:paraId="0033C83B" w14:textId="081C50B6" w:rsidR="006449D0" w:rsidRDefault="00DB2A7E" w:rsidP="006449D0">
      <w:r>
        <w:t>V písmene f) nie je potrebné na úrovni 1 objasniť, že výkonnostné scenáre by mali byť prepojené s metodikou PRIIP, pretože je to príliš technické s rizikom nevhodných informácií. ESA alebo národné regulačné orgány by mali rozhodnúť o spôsobe výpočtu výkonnostných scenárov.</w:t>
      </w:r>
    </w:p>
    <w:p w14:paraId="23BF0EAA" w14:textId="77777777" w:rsidR="00FB52E0" w:rsidRDefault="00FB52E0" w:rsidP="006449D0"/>
    <w:p w14:paraId="509A1C9C" w14:textId="3A9B6AA5" w:rsidR="007269AC" w:rsidRDefault="007269AC" w:rsidP="00B87071">
      <w:r>
        <w:t>Okrem toho by bolo mimoriadne ťažké alebo nemožné vybudovať systémy a zbierať údaje tak, aby boli v súlade s nasledujúcimi požiadavkami na MOP s mnohými základnými investičnými možnosťami:</w:t>
      </w:r>
    </w:p>
    <w:p w14:paraId="118AC779" w14:textId="77777777" w:rsidR="00110DA6" w:rsidRDefault="00110DA6" w:rsidP="00B87071"/>
    <w:p w14:paraId="04A71170" w14:textId="460E606C" w:rsidR="00B87071" w:rsidRDefault="00B87071" w:rsidP="00B87071">
      <w:r>
        <w:t>b) ročnú výkonnosť každého z podkladových investičných aktív investičného produktu založeného na poistení a ročnú globálnu výkonnosť portfólia v porovnaní s minulou výkonnosťou za predchádzajúce roky;</w:t>
      </w:r>
    </w:p>
    <w:p w14:paraId="18549B61" w14:textId="5F48629A" w:rsidR="00B87071" w:rsidRDefault="00B87071" w:rsidP="00B87071">
      <w:r>
        <w:t>f) upravené individuálne projekcie očakávaného výsledku na konci zmluvného alebo odporúčaného obdobia držby na základe aktuálnej hodnoty investície a jej doterajšieho vývoja výkonnosti a prepojené s predzmluvnými výkonnostnými scenármi v DKD, ktoré sú uvedené v nariadenie PRIIPs a vyhlásenie, že tieto prognózy sa môžu líšiť od skutočnej konečnej hodnoty investície;</w:t>
      </w:r>
    </w:p>
    <w:p w14:paraId="00D999BB" w14:textId="030FB668" w:rsidR="00B87071" w:rsidRDefault="00B87071" w:rsidP="00B87071">
      <w:r>
        <w:t>g) informácie o podmienkach a finančných dôsledkoch predčasného ukončenia investície alebo zmeny poskytovateľa vrátane odkupnej hodnoty a podmienok odstúpenia od poistnej zmluvy.</w:t>
      </w:r>
    </w:p>
    <w:p w14:paraId="7AA46A5E" w14:textId="77777777" w:rsidR="00B87071" w:rsidRDefault="00B87071" w:rsidP="00F717C8"/>
    <w:p w14:paraId="243B01B5" w14:textId="76FB9425" w:rsidR="00813EA4" w:rsidRDefault="00807543" w:rsidP="00F717C8">
      <w:r>
        <w:t>Je tiež potrebné objasniť, že ročné zúčtovanie by sa malo doručovať len novým klientom, zatiaľ čo regulácia pravidelných informácií pre existujúcich klientov by sa mala ponechať na členské štáty. Je to preto, že určité historické údaje nebudú k dispozícii pre zmluvy uzavreté pred nadobudnutím účinnosti nových požiadaviek. Nový ročný výkaz pre IBIP navyše zmätie existujúcich klientov, ktorí už dostali predzmluvné alebo ročné informácie na základe iných ukazovateľov, inej terminológie a inej metodiky výpočtu nákladov a výkonov.</w:t>
      </w:r>
    </w:p>
    <w:p w14:paraId="2097A166" w14:textId="77777777" w:rsidR="009F16AC" w:rsidRDefault="009F16AC" w:rsidP="00D52F4B">
      <w:pPr>
        <w:pStyle w:val="CEABullet-Level1"/>
        <w:rPr>
          <w:color w:val="000000" w:themeColor="text1"/>
        </w:rPr>
      </w:pPr>
    </w:p>
    <w:p w14:paraId="4EF623E9" w14:textId="671DC7A3" w:rsidR="0043046F" w:rsidRDefault="0043046F" w:rsidP="00D52F4B">
      <w:pPr>
        <w:pStyle w:val="CEABullet-Level1"/>
        <w:rPr>
          <w:color w:val="000000" w:themeColor="text1"/>
        </w:rPr>
      </w:pPr>
      <w:r>
        <w:t>Minimálne na úrovni 1 by sa malo objasniť, ako musia poisťovatelia postupovať, ak im chýbajú historické údaje. Pre existujúce zmluvy je potrebný dlhší prechod v trvaní najmenej 36 mesiacov.</w:t>
      </w:r>
    </w:p>
    <w:p w14:paraId="3FC7EFA7" w14:textId="77777777" w:rsidR="0043046F" w:rsidRPr="00D52F4B" w:rsidRDefault="0043046F" w:rsidP="00D52F4B">
      <w:pPr>
        <w:pStyle w:val="CEABullet-Level1"/>
        <w:rPr>
          <w:color w:val="000000" w:themeColor="text1"/>
        </w:rPr>
      </w:pPr>
    </w:p>
    <w:p w14:paraId="7B5A22E8" w14:textId="6DB19642" w:rsidR="00F717C8" w:rsidRDefault="007A74BD" w:rsidP="00F717C8">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F717C8" w:rsidRPr="00923B59">
        <w:rPr>
          <w:rFonts w:cs="Times New Roman"/>
          <w:b/>
          <w:bCs/>
          <w:color w:val="auto"/>
          <w:kern w:val="32"/>
          <w:szCs w:val="17"/>
          <w:lang w:eastAsia="nl-NL"/>
        </w:rPr>
        <w:t>:</w:t>
      </w:r>
    </w:p>
    <w:p w14:paraId="4BFA07A1" w14:textId="77777777" w:rsidR="00F717C8" w:rsidRDefault="00F717C8" w:rsidP="00F717C8">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76B0B853" w14:textId="41295C6A" w:rsidR="004E23DF" w:rsidRDefault="004E23DF" w:rsidP="004E23DF">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jc w:val="left"/>
      </w:pPr>
      <w:r w:rsidRPr="00F53D71">
        <w:rPr>
          <w:rFonts w:ascii="Calibri" w:hAnsi="Calibri" w:cs="Calibri"/>
          <w:b/>
          <w:bCs/>
          <w:color w:val="auto"/>
          <w:kern w:val="32"/>
          <w:szCs w:val="17"/>
          <w:lang w:eastAsia="nl-NL"/>
        </w:rPr>
        <w:t xml:space="preserve">→ </w:t>
      </w:r>
      <w:r>
        <w:t>Vzhľadom na dôležitosť ochrany spotrebiteľa by každá nová požiadavka na zverejnenie musela byť pred zavedením podrobená primeranému a rozsiahlemu spotrebiteľskému testovaniu, aby sa zabezpečilo, že poskytované informácie sú pre spotrebiteľov zrozumiteľné a užitočné.</w:t>
      </w:r>
    </w:p>
    <w:p w14:paraId="704AA5B2" w14:textId="77777777" w:rsidR="004E23DF" w:rsidRDefault="004E23DF" w:rsidP="00F717C8">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77823AB7" w14:textId="2C6F465B" w:rsidR="00914480" w:rsidRDefault="00F717C8" w:rsidP="009144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CC03FD">
        <w:rPr>
          <w:rFonts w:ascii="Calibri" w:hAnsi="Calibri" w:cs="Calibri"/>
          <w:b/>
          <w:bCs/>
          <w:color w:val="auto"/>
          <w:kern w:val="32"/>
          <w:szCs w:val="17"/>
          <w:lang w:eastAsia="nl-NL"/>
        </w:rPr>
        <w:t xml:space="preserve">→ </w:t>
      </w:r>
      <w:r w:rsidRPr="00CC03FD">
        <w:t xml:space="preserve">Požiadavky na transparentnosť by sa mali zjednodušiť a mali by mať vysokú kvalitu, aby sa predišlo preťaženiu spotrebiteľov informáciami. V prípade retailových investičných produktov by provízia, ktorú sprostredkovateľ dostane, mala byť na požiadanie oznámená zákazníkovi ako peňažná hodnota alebo percento. </w:t>
      </w:r>
      <w:r w:rsidRPr="00CC03FD">
        <w:lastRenderedPageBreak/>
        <w:t>V súlade s prístupom minimálnej harmonizácie IDD môžu členské štáty zachovať prísnejšie ustanovenia vrátane dodatočných obmedzení, ako sa uvádza v čl. 22 a 29 IDD, ak to umožňujú miestne podmienky.</w:t>
      </w:r>
    </w:p>
    <w:p w14:paraId="46AC24FF" w14:textId="77777777" w:rsidR="00120534" w:rsidRDefault="00120534" w:rsidP="009144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p>
    <w:p w14:paraId="52039450" w14:textId="14D72ED4" w:rsidR="00F717C8" w:rsidRDefault="005953E7" w:rsidP="009144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5953E7">
        <w:t>V súlade s návrhom MiFID, ak nie je možné zistiť zverejnenie akýchkoľvek nákladov, súvisiacich poplatkov alebo platieb tretích strán pred poskytnutím príslušnej investičnej alebo doplnkovej služby, spôsob výpočtu sumy bude klientovi jasne oznámený spôsobom, ktorý je pre bežného retailového klienta zrozumiteľný, presný a zrozumiteľný. Nie je vždy možné zverejniť presnú výšku provízie v eurách alebo v percentách na mieste predaja. Úroveň provízie, ktorá sa má zaplatiť, sa môže líšiť v závislosti od rôznych faktorov a zatiaľ čo aspekty, ako je suma, ktorá sa má investovať, alebo vybraný produkt sú známe, ostatné faktory súvisiace s distribúciou nie sú známe. Napríklad v určitých prípadoch nie je možné pri distribúcii investičného poistenia vopred poskytnúť úplné informácie o stimuloch (v eurách), pretože náhrada závisí od výšky vkladu poistného, výšky kapitálu a od toho, aké finančné prostriedky si zákazník v konečnom dôsledku vyberie. poistenie.</w:t>
      </w:r>
    </w:p>
    <w:p w14:paraId="00F34C0E" w14:textId="77777777" w:rsidR="00120534" w:rsidRDefault="00120534" w:rsidP="009144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p>
    <w:p w14:paraId="1522C6BC" w14:textId="211C75A7" w:rsidR="00DA4130" w:rsidRDefault="00F94BE0" w:rsidP="00DA413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BA0EE7">
        <w:t>Je potrebné objasniť, že dokument IPID pre produkty životného poistenia bez IBIP by sa mal vzťahovať na produkty životného poistenia iné ako IBIP a iné ako produkty životného poistenia v zmysle čl. 1 bod 17 písm. c) až e). Obsahovo: písm. d) a l) čl. 8a by sa mal odstrániť.</w:t>
      </w:r>
    </w:p>
    <w:p w14:paraId="6886D674" w14:textId="77777777" w:rsidR="00F94BE0" w:rsidRDefault="00F94BE0" w:rsidP="009144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p>
    <w:p w14:paraId="18552881" w14:textId="43EACEBA" w:rsidR="00396968" w:rsidRDefault="00A42CB8" w:rsidP="00554747">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00CC1114" w:rsidRPr="00CC1114">
        <w:t xml:space="preserve">Vývoj štandardizovaného formátu so štandardizovaným obsahom a štandardizovaným znením v delegovaných aktoch pre požiadavky na predzmluvné informácie (článok 29 ods. 1) sa musí odmietnuť. Z dôvodu rôznorodosti produktov a rôznych národných informačných povinností by mal byť na úrovni EÚ regulovaný iba minimálny obsah na úrovni </w:t>
      </w:r>
      <w:r w:rsidR="001C227C" w:rsidRPr="001C227C">
        <w:t xml:space="preserve">1. </w:t>
      </w:r>
      <w:r w:rsidR="00847DDA">
        <w:t>Pokiaľ ide o minimálny obsah: v súlade s vyššie uvedenými pripomienkami o „diverzifikácii portfólia“ návrh podľa čl. 29 ods. 1 písm. a) bod v) informovať spotrebiteľov o tom, „ako je potrebné vypustiť odporúčané IBIPs zohľadňujúce diverzifikáciu portfólia zákazníka“;</w:t>
      </w:r>
    </w:p>
    <w:p w14:paraId="43BC463E" w14:textId="22097BDB" w:rsidR="00DB17C2" w:rsidRDefault="00DB17C2" w:rsidP="00396968">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p>
    <w:p w14:paraId="4D2A63D0" w14:textId="291F9DE9" w:rsidR="00334519" w:rsidRDefault="00334519" w:rsidP="009144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00E805CC" w:rsidRPr="00E805CC">
        <w:t xml:space="preserve">Vývoj štandardizovaného formátu so štandardizovaným obsahom a štandardizovaným znením v delegovaných aktoch pre ročné výkazy (článok 29 ods. 2 a článok 29 ods. 3) sa musí odmietnuť. V dôsledku rôznorodosti produktov a rôznych vnútroštátnych informačných povinností by sa na úrovni EÚ na úrovni </w:t>
      </w:r>
      <w:r w:rsidR="00046098" w:rsidRPr="001C227C">
        <w:t xml:space="preserve">1 mal regulovať len minimálny obsah </w:t>
      </w:r>
      <w:r w:rsidRPr="00334519">
        <w:t>. Nové ročné zúčtovanie pre IBIP by sa malo vzťahovať len na zmluvy predané po nadobudnutí účinnosti nových požiadaviek, zatiaľ čo regulácia pravidelných informácií pre existujúcich klientov by sa mala ponechať na členské štáty. Pokiaľ ide o minimálny obsah: v písmene a) by sa mala vypustiť požiadavka zverejňovať náklady na "zloženom základe"; v písmene b) by sa nemala zahŕňať minulá výkonnosť podkladových investičných aktív a produktu za niekoľko rokov. Ročný výkaz by mal uvádzať len 1 rok vývoja zmluvy.; v písmene c) by sa mali uvádzať len dane, ktoré poisťovňa naakumulovala za posledných 12 mesiacov a ktoré sú účtované zákazníkovi v súvislosti s investičným produktom založeným na poistení. Odkaz na „celkové“ dane by sa mal vypustiť; v písmene f) by sa mal vypustiť odkaz na metodiku scenára výkonnosti PRIIP. Najmä pri MOPS by sa malo prehodnotiť písmeno b), f) ag).</w:t>
      </w:r>
    </w:p>
    <w:p w14:paraId="0A274F51" w14:textId="77777777" w:rsidR="002562D7" w:rsidRDefault="002562D7" w:rsidP="009144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p>
    <w:p w14:paraId="039FE636" w14:textId="208B08C7" w:rsidR="007F172C" w:rsidRDefault="007F172C" w:rsidP="009144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t>Rozdelenie úloh a zodpovedností medzi výrobcov produktov a distribútorov musí zostať jasné: napríklad podľa čl. 6 je potrebné špecifikovať, že za vypracovanie IPID pre produkty Life, ktoré nie sú IBIPs, zodpovedá výrobca produktu.</w:t>
      </w:r>
    </w:p>
    <w:p w14:paraId="7B7D14A1" w14:textId="77777777" w:rsidR="00E37D90" w:rsidRDefault="00E37D90" w:rsidP="00F717C8">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p>
    <w:p w14:paraId="2F74F2EA" w14:textId="7BC35E3C" w:rsidR="001200BB" w:rsidRDefault="00E37D90" w:rsidP="00030CD4">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E37D90">
        <w:t>Podobne ako v prípade navrhovaných zmien a doplnení nariadenia o PRIIPs by aj v IDD mala byť povolená možnosť využívať vrstvenie informácií.</w:t>
      </w:r>
    </w:p>
    <w:p w14:paraId="101089FA" w14:textId="77777777" w:rsidR="003047CD" w:rsidRDefault="003047CD" w:rsidP="003047CD">
      <w:pPr>
        <w:rPr>
          <w:b/>
          <w:bCs/>
          <w:color w:val="FF0000"/>
        </w:rPr>
      </w:pPr>
    </w:p>
    <w:p w14:paraId="4F2D4693" w14:textId="77777777" w:rsidR="003047CD" w:rsidRDefault="003047CD" w:rsidP="003047CD">
      <w:pPr>
        <w:rPr>
          <w:b/>
          <w:bCs/>
          <w:color w:val="FF0000"/>
        </w:rPr>
      </w:pPr>
    </w:p>
    <w:p w14:paraId="316CF07A" w14:textId="77777777" w:rsidR="0086171B" w:rsidRDefault="0086171B" w:rsidP="003047CD">
      <w:pPr>
        <w:rPr>
          <w:b/>
          <w:bCs/>
          <w:color w:val="FF0000"/>
        </w:rPr>
      </w:pPr>
    </w:p>
    <w:p w14:paraId="1558177D" w14:textId="77777777" w:rsidR="0086171B" w:rsidRDefault="0086171B" w:rsidP="003047CD">
      <w:pPr>
        <w:rPr>
          <w:b/>
          <w:bCs/>
          <w:color w:val="FF0000"/>
        </w:rPr>
      </w:pPr>
    </w:p>
    <w:p w14:paraId="1F3CD1CF" w14:textId="77777777" w:rsidR="0086171B" w:rsidRDefault="0086171B" w:rsidP="003047CD">
      <w:pPr>
        <w:rPr>
          <w:b/>
          <w:bCs/>
          <w:color w:val="FF0000"/>
        </w:rPr>
      </w:pPr>
    </w:p>
    <w:p w14:paraId="3413BF58" w14:textId="4A7F4480" w:rsidR="00585E8E" w:rsidRDefault="00585E8E" w:rsidP="003A38B2">
      <w:pPr>
        <w:pStyle w:val="Nadpis1"/>
        <w:numPr>
          <w:ilvl w:val="0"/>
          <w:numId w:val="0"/>
        </w:numPr>
        <w:ind w:left="360" w:hanging="360"/>
      </w:pPr>
      <w:r>
        <w:t>Časová os</w:t>
      </w:r>
      <w:r w:rsidR="003170A0">
        <w:t xml:space="preserve"> </w:t>
      </w:r>
    </w:p>
    <w:p w14:paraId="56123356" w14:textId="77777777" w:rsidR="00620E3A" w:rsidRDefault="00620E3A" w:rsidP="00585E8E"/>
    <w:p w14:paraId="29C116DE" w14:textId="16AAE254" w:rsidR="00260317" w:rsidRDefault="00585E8E" w:rsidP="003967F2">
      <w:r>
        <w:t xml:space="preserve">Členské štáty by museli prijať vnútroštátne transpozičné opatrenia do 12 mesiacov od nadobudnutia účinnosti RIS úrovne 1, v prípade žiadosti do 18 mesiacov od nadobudnutia účinnosti, ak neexistujú potrebné opatrenia </w:t>
      </w:r>
      <w:r>
        <w:lastRenderedPageBreak/>
        <w:t>úrovne 2. Je dôležité poznamenať, že časový plán je nereálny a znemožní orgánom aj účastníkom trhu riadne implementovať nové pravidlá a požiadavky.</w:t>
      </w:r>
    </w:p>
    <w:p w14:paraId="569FE74B" w14:textId="77777777" w:rsidR="00260317" w:rsidRDefault="00260317" w:rsidP="003967F2"/>
    <w:p w14:paraId="1053C313" w14:textId="379510DD" w:rsidR="002F2A81" w:rsidRDefault="00A42A89" w:rsidP="00260317">
      <w:r>
        <w:t>Poisťovne, najmä tie malé a stredné, potrebujú primeraný čas a dostatočnú právnu jasnosť na implementáciu nových požiadaviek a prispôsobenie IT procesov.</w:t>
      </w:r>
    </w:p>
    <w:p w14:paraId="2ED727BE" w14:textId="77777777" w:rsidR="00260317" w:rsidRDefault="00260317" w:rsidP="003967F2"/>
    <w:p w14:paraId="625E6F14" w14:textId="3D83F0D0" w:rsidR="00052316" w:rsidRPr="00AC436D" w:rsidRDefault="00890DCF" w:rsidP="003967F2">
      <w:r w:rsidRPr="00D949EE">
        <w:t xml:space="preserve">Okrem toho návrh obsahuje doložku o preskúmaní po 3 rokoch od nadobudnutia účinnosti (článok 29a </w:t>
      </w:r>
      <w:r>
        <w:t>ods. 6), aby sa posúdilo, či navrhované opatrenia riešia konflikty záujmov alebo či je potrebné zaviesť celoeurópsky zákaz stimuly. To by bolo príliš skoro na riadne posúdenie účinku navrhovaných opatrení, ako aj príliš zamerané na jeden prvok návrhov, pričom by sa stratil zo zreteľa celkový cieľ RIS.</w:t>
      </w:r>
    </w:p>
    <w:p w14:paraId="2000B0DE" w14:textId="3DE75EE4" w:rsidR="0077561D" w:rsidRPr="00D949EE" w:rsidRDefault="0077561D" w:rsidP="00585E8E"/>
    <w:p w14:paraId="08AE3505" w14:textId="241A0B25" w:rsidR="00F41506" w:rsidRDefault="007A74BD" w:rsidP="00F4150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F41506" w:rsidRPr="00923B59">
        <w:rPr>
          <w:rFonts w:cs="Times New Roman"/>
          <w:b/>
          <w:bCs/>
          <w:color w:val="auto"/>
          <w:kern w:val="32"/>
          <w:szCs w:val="17"/>
          <w:lang w:eastAsia="nl-NL"/>
        </w:rPr>
        <w:t>:</w:t>
      </w:r>
    </w:p>
    <w:p w14:paraId="1E34C5C1" w14:textId="77777777" w:rsidR="00F41506" w:rsidRDefault="00F41506" w:rsidP="00F4150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3C211C3D" w14:textId="4291265A" w:rsidR="00B06346" w:rsidRDefault="00F41506" w:rsidP="00B0634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B842CA">
        <w:t>Výrobcovia potrebujú aspoň 12 mesiacov od uverejnenia všetkých opatrení na úrovni 1 a 2 v Úradnom vestníku EÚ, aby mohli zaviesť akékoľvek požadované zmeny vzhľadom na značné súlad a prevádzkové úsilie, ktoré sa od priemyslu vyžaduje.</w:t>
      </w:r>
    </w:p>
    <w:p w14:paraId="3F05061D" w14:textId="164C0C2D" w:rsidR="00F41506" w:rsidRDefault="00B06346" w:rsidP="00B0634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t>Keďže opatrenia úrovne 3 slúžia na správnu implementáciu návrhov, musia byť k dispozícii rok pred konečným termínom implementácie rámca.</w:t>
      </w:r>
    </w:p>
    <w:p w14:paraId="65E972FB" w14:textId="2C924943" w:rsidR="00B06346" w:rsidRPr="00B06346" w:rsidRDefault="00B06346" w:rsidP="00B0634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F53D71">
        <w:rPr>
          <w:rFonts w:ascii="Calibri" w:hAnsi="Calibri" w:cs="Calibri"/>
          <w:b/>
          <w:bCs/>
          <w:color w:val="auto"/>
          <w:kern w:val="32"/>
          <w:szCs w:val="17"/>
          <w:lang w:eastAsia="nl-NL"/>
        </w:rPr>
        <w:t xml:space="preserve">→ </w:t>
      </w:r>
      <w:r w:rsidR="006320FC" w:rsidRPr="006320FC">
        <w:rPr>
          <w:rFonts w:cs="Times New Roman"/>
          <w:color w:val="auto"/>
          <w:kern w:val="32"/>
          <w:szCs w:val="17"/>
          <w:lang w:eastAsia="nl-NL"/>
        </w:rPr>
        <w:t>Dynamický termín v legislatívnom texte úrovne 1 by bol praktickým riešením na zabezpečenie toho, aby časový plán fungoval pre členské štáty a účastníkov trhu.</w:t>
      </w:r>
    </w:p>
    <w:p w14:paraId="47ECFE52" w14:textId="624DDC48" w:rsidR="00B06346" w:rsidRPr="00B06346" w:rsidRDefault="00B06346" w:rsidP="00B0634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F53D71">
        <w:rPr>
          <w:rFonts w:ascii="Calibri" w:hAnsi="Calibri" w:cs="Calibri"/>
          <w:b/>
          <w:bCs/>
          <w:color w:val="auto"/>
          <w:kern w:val="32"/>
          <w:szCs w:val="17"/>
          <w:lang w:eastAsia="nl-NL"/>
        </w:rPr>
        <w:t xml:space="preserve">→ </w:t>
      </w:r>
      <w:r>
        <w:rPr>
          <w:rFonts w:cs="Times New Roman"/>
          <w:color w:val="auto"/>
          <w:kern w:val="32"/>
          <w:szCs w:val="17"/>
          <w:lang w:eastAsia="nl-NL"/>
        </w:rPr>
        <w:t>Účinnosť RIS by sa mala prehodnotiť 5 rokov po úplnej implementácii nových požiadaviek.</w:t>
      </w:r>
    </w:p>
    <w:p w14:paraId="360E7B6B" w14:textId="60735B60" w:rsidR="00B06346" w:rsidRDefault="005854A7" w:rsidP="00B0634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F53D71">
        <w:rPr>
          <w:rFonts w:ascii="Calibri" w:hAnsi="Calibri" w:cs="Calibri"/>
          <w:b/>
          <w:bCs/>
          <w:color w:val="auto"/>
          <w:kern w:val="32"/>
          <w:szCs w:val="17"/>
          <w:lang w:eastAsia="nl-NL"/>
        </w:rPr>
        <w:t xml:space="preserve">→ </w:t>
      </w:r>
      <w:r w:rsidR="00B06346" w:rsidRPr="00B35BFC">
        <w:rPr>
          <w:rFonts w:cs="Times New Roman"/>
          <w:color w:val="auto"/>
          <w:kern w:val="32"/>
          <w:szCs w:val="17"/>
          <w:lang w:eastAsia="nl-NL"/>
        </w:rPr>
        <w:t>Preskúmanie by sa nemalo obmedzovať na účinky platieb tretích strán vzhľadom na potenciálne konflikty záujmov a na dostupnosť nezávislého poradenstva, ale malo by brať do úvahy účinky RIS na celkovú úroveň retailových investícií na kapitálových trhoch; počet produktov a distribútorov na trhu; stupeň inovácie a konkurencieschopnosti, ochrana spotrebiteľa atď.</w:t>
      </w:r>
      <w:r w:rsidR="005550BC" w:rsidRPr="005550BC">
        <w:t xml:space="preserve"> </w:t>
      </w:r>
      <w:r w:rsidR="009F11A6">
        <w:rPr>
          <w:rFonts w:cs="Times New Roman"/>
          <w:color w:val="auto"/>
          <w:kern w:val="32"/>
          <w:szCs w:val="17"/>
          <w:lang w:eastAsia="nl-NL"/>
        </w:rPr>
        <w:t>Primeraný časový rámec na konzultácie so zainteresovanými stranami by mal byť právne záväznou podmienkou hodnotenia. V prípade potreby by sa na základe ukazovateľov zvolených zákonodarcami malo vykonať aj spotrebiteľské testovanie vo všetkých krajinách.</w:t>
      </w:r>
    </w:p>
    <w:p w14:paraId="682C3620" w14:textId="75736DFD" w:rsidR="006F42F3" w:rsidRPr="006F42F3" w:rsidRDefault="009F11A6" w:rsidP="00B0634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Calibri"/>
          <w:color w:val="auto"/>
          <w:kern w:val="32"/>
          <w:szCs w:val="17"/>
          <w:lang w:eastAsia="nl-NL"/>
        </w:rPr>
      </w:pPr>
      <w:r w:rsidRPr="00F53D71">
        <w:rPr>
          <w:rFonts w:ascii="Calibri" w:hAnsi="Calibri" w:cs="Calibri"/>
          <w:b/>
          <w:bCs/>
          <w:color w:val="auto"/>
          <w:kern w:val="32"/>
          <w:szCs w:val="17"/>
          <w:lang w:eastAsia="nl-NL"/>
        </w:rPr>
        <w:t xml:space="preserve">→ </w:t>
      </w:r>
      <w:r w:rsidR="006F42F3" w:rsidRPr="006F42F3">
        <w:rPr>
          <w:rFonts w:cs="Calibri"/>
          <w:kern w:val="32"/>
          <w:szCs w:val="17"/>
          <w:lang w:eastAsia="nl-NL"/>
        </w:rPr>
        <w:t>Aby sa podporila krátka implementácia, úroveň 1 by mala byť dostatočne jasná a komplexná a počet splnomocnení na úrovni 2 a 3 by sa mal znížiť.</w:t>
      </w:r>
    </w:p>
    <w:p w14:paraId="13FA30E2" w14:textId="77777777" w:rsidR="00CE4048" w:rsidRDefault="00CE4048" w:rsidP="00B6402D"/>
    <w:p w14:paraId="06CB6468" w14:textId="77777777" w:rsidR="008D5E45" w:rsidRPr="00B6402D" w:rsidRDefault="008D5E45" w:rsidP="00B6402D"/>
    <w:p w14:paraId="75C9A88B" w14:textId="55128BA3" w:rsidR="009D3D56" w:rsidRDefault="00755321" w:rsidP="00755321">
      <w:pPr>
        <w:pStyle w:val="Nadpis1"/>
        <w:numPr>
          <w:ilvl w:val="0"/>
          <w:numId w:val="0"/>
        </w:numPr>
      </w:pPr>
      <w:r>
        <w:t>Ďalšie body pozornosti:</w:t>
      </w:r>
    </w:p>
    <w:p w14:paraId="1EAC35C2" w14:textId="77777777" w:rsidR="008C3668" w:rsidRDefault="008C3668" w:rsidP="002B4688">
      <w:pPr>
        <w:pStyle w:val="Nadpis1"/>
        <w:numPr>
          <w:ilvl w:val="0"/>
          <w:numId w:val="0"/>
        </w:numPr>
        <w:ind w:left="360" w:hanging="360"/>
        <w:rPr>
          <w:color w:val="000000" w:themeColor="text1"/>
        </w:rPr>
      </w:pPr>
    </w:p>
    <w:p w14:paraId="2303BCB0" w14:textId="092385BB" w:rsidR="005F3CEB" w:rsidRDefault="005F3CEB" w:rsidP="009263E5">
      <w:pPr>
        <w:pStyle w:val="Nadpis1"/>
        <w:numPr>
          <w:ilvl w:val="0"/>
          <w:numId w:val="0"/>
        </w:numPr>
        <w:ind w:left="360" w:hanging="360"/>
        <w:rPr>
          <w:color w:val="000000" w:themeColor="text1"/>
        </w:rPr>
      </w:pPr>
    </w:p>
    <w:p w14:paraId="6A07E10C" w14:textId="738186F2" w:rsidR="00B91318" w:rsidRPr="00CE4048" w:rsidRDefault="00F51A3A" w:rsidP="009263E5">
      <w:pPr>
        <w:pStyle w:val="Nadpis1"/>
        <w:numPr>
          <w:ilvl w:val="0"/>
          <w:numId w:val="0"/>
        </w:numPr>
        <w:ind w:left="360" w:hanging="360"/>
        <w:rPr>
          <w:color w:val="000000" w:themeColor="text1"/>
        </w:rPr>
      </w:pPr>
      <w:r>
        <w:rPr>
          <w:color w:val="000000" w:themeColor="text1"/>
        </w:rPr>
        <w:t xml:space="preserve">Rozsiahle splnomocnenia na rozvoj </w:t>
      </w:r>
      <w:bookmarkStart w:id="2" w:name="_Hlk140445651"/>
      <w:r w:rsidRPr="00F51A3A">
        <w:rPr>
          <w:color w:val="000000" w:themeColor="text1"/>
        </w:rPr>
        <w:t>opatrení úrovne 2 a úrovne 3</w:t>
      </w:r>
      <w:bookmarkEnd w:id="2"/>
    </w:p>
    <w:p w14:paraId="276F5B9F" w14:textId="520F4CCA" w:rsidR="00B91318" w:rsidRDefault="00B91318" w:rsidP="00B91318"/>
    <w:p w14:paraId="13031E62" w14:textId="43C7FD32" w:rsidR="00CE4048" w:rsidRDefault="00B657A0" w:rsidP="00B91318">
      <w:r>
        <w:t>Orgánu EIOPA a ES by sa udelilo približne 20 nových splnomocnení a mnohé opatrenia úrovne 2 a úrovne 3 by sa vypracovali neskôr. To zvyšuje právnu neistotu pre účastníkov trhu a neumožňuje hĺbkovú politickú diskusiu o kľúčových aspektoch, ako je prístup k zverejňovaniu informácií, hodnota za peniaze atď.</w:t>
      </w:r>
    </w:p>
    <w:p w14:paraId="7B4DCC9E" w14:textId="77777777" w:rsidR="003E13B9" w:rsidRDefault="003E13B9" w:rsidP="00B91318"/>
    <w:p w14:paraId="17FCC13A" w14:textId="185DBD34" w:rsidR="003E13B9" w:rsidRDefault="007A74BD" w:rsidP="003E13B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3E13B9" w:rsidRPr="00923B59">
        <w:rPr>
          <w:rFonts w:cs="Times New Roman"/>
          <w:b/>
          <w:bCs/>
          <w:color w:val="auto"/>
          <w:kern w:val="32"/>
          <w:szCs w:val="17"/>
          <w:lang w:eastAsia="nl-NL"/>
        </w:rPr>
        <w:t>:</w:t>
      </w:r>
    </w:p>
    <w:p w14:paraId="568D97F3" w14:textId="77777777" w:rsidR="003E13B9" w:rsidRDefault="003E13B9" w:rsidP="003E13B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70A6E1CB" w14:textId="77777777" w:rsidR="00BE0DAB" w:rsidRDefault="003E13B9" w:rsidP="003E13B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B842CA">
        <w:t>Návrhy úrovne 1 musia byť jasné a komplexné a nesmú delegovať kľúčové aspekty na úroveň 2 a úroveň 3.</w:t>
      </w:r>
    </w:p>
    <w:p w14:paraId="732263AC" w14:textId="24C3E6F0" w:rsidR="003E13B9" w:rsidRDefault="00BE0DAB" w:rsidP="003E13B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BE0DAB">
        <w:t>Členské štáty si musia zachovať určitý stupeň flexibility pri uplatňovaní IDD, aby lepšie zohľadňovali národné špecifiká.</w:t>
      </w:r>
    </w:p>
    <w:p w14:paraId="6C7EF147" w14:textId="0A2AD685" w:rsidR="005D28E8" w:rsidRDefault="005D28E8" w:rsidP="00F507EA"/>
    <w:p w14:paraId="3E53AFE8" w14:textId="4E7E9E45" w:rsidR="00CD0E7F" w:rsidRPr="007D728C" w:rsidRDefault="007D728C" w:rsidP="00F507EA">
      <w:pPr>
        <w:rPr>
          <w:b/>
          <w:bCs/>
        </w:rPr>
      </w:pPr>
      <w:r w:rsidRPr="007D728C">
        <w:rPr>
          <w:b/>
          <w:bCs/>
        </w:rPr>
        <w:t>Proporcionalita</w:t>
      </w:r>
    </w:p>
    <w:p w14:paraId="372149A1" w14:textId="77777777" w:rsidR="007D728C" w:rsidRDefault="007D728C" w:rsidP="00F507EA"/>
    <w:p w14:paraId="2E3673DC" w14:textId="77777777" w:rsidR="00D10B07" w:rsidRDefault="00CD0E7F" w:rsidP="00F507EA">
      <w:pPr>
        <w:rPr>
          <w:szCs w:val="17"/>
        </w:rPr>
      </w:pPr>
      <w:r w:rsidRPr="00266C79">
        <w:rPr>
          <w:szCs w:val="17"/>
        </w:rPr>
        <w:t>Návrhy RIS neposkytujú zjednodušenia ani stimuly na zlepšenie prístupu spotrebiteľov k investíciám a na zníženie nákladov na dodržiavanie predpisov. Malo by sa zvážiť lepšie uplatňovanie prístupu „one-in, one-out“, aby sa zabezpečilo, že regulácia prináša výhody, je cielená, ľahko sa dodržiava a nezvyšuje zbytočnú regulačnú záťaž.</w:t>
      </w:r>
    </w:p>
    <w:p w14:paraId="0E1DBDCE" w14:textId="77777777" w:rsidR="00D10B07" w:rsidRDefault="00D10B07" w:rsidP="00F507EA">
      <w:pPr>
        <w:rPr>
          <w:szCs w:val="17"/>
        </w:rPr>
      </w:pPr>
    </w:p>
    <w:p w14:paraId="324C9EF0" w14:textId="7A0788F3" w:rsidR="00CD0E7F" w:rsidRPr="00266C79" w:rsidRDefault="00CD0E7F" w:rsidP="00F507EA">
      <w:pPr>
        <w:rPr>
          <w:szCs w:val="17"/>
        </w:rPr>
      </w:pPr>
      <w:r w:rsidRPr="00266C79">
        <w:rPr>
          <w:szCs w:val="17"/>
        </w:rPr>
        <w:t xml:space="preserve">Aj nedávne oznámenie Európskej komisie o </w:t>
      </w:r>
      <w:hyperlink r:id="rId18" w:history="1">
        <w:r w:rsidRPr="00C90382">
          <w:rPr>
            <w:rStyle w:val="Hypertextovprepojenie"/>
            <w:color w:val="0000FF"/>
            <w:szCs w:val="17"/>
          </w:rPr>
          <w:t xml:space="preserve">dlhodobej konkurencieschopnosti EÚ </w:t>
        </w:r>
      </w:hyperlink>
      <w:r w:rsidRPr="00266C79">
        <w:rPr>
          <w:szCs w:val="17"/>
        </w:rPr>
        <w:t>zdôraznilo potrebu lepšie posúdiť kumulatívny vplyv politík,</w:t>
      </w:r>
      <w:r w:rsidRPr="00266C79">
        <w:rPr>
          <w:b/>
          <w:bCs/>
          <w:szCs w:val="17"/>
        </w:rPr>
        <w:t xml:space="preserve"> </w:t>
      </w:r>
      <w:r w:rsidRPr="00266C79">
        <w:rPr>
          <w:szCs w:val="17"/>
        </w:rPr>
        <w:t>kontrolovať vplyvy každého návrhu na konkurencieschopnosť a inováciu a všade tam, kde je to možné, uplatňovať regulačné modely, ktoré skôr stimulujú ako predpisujú, a preto znižujú náklady na dodržiavanie predpisov pri dosahovaní rovnakých výsledkov. Insurance Europe by chcela navrhnúť lepšie využitie zásady proporcionality.</w:t>
      </w:r>
    </w:p>
    <w:p w14:paraId="246DC178" w14:textId="77777777" w:rsidR="00CD0E7F" w:rsidRDefault="00CD0E7F" w:rsidP="00F507EA"/>
    <w:p w14:paraId="15F62630" w14:textId="77777777" w:rsidR="009436F2" w:rsidRDefault="009436F2" w:rsidP="009436F2">
      <w:pPr>
        <w:pStyle w:val="Nadpis1"/>
        <w:numPr>
          <w:ilvl w:val="0"/>
          <w:numId w:val="0"/>
        </w:numPr>
        <w:ind w:left="360" w:hanging="360"/>
        <w:rPr>
          <w:color w:val="000000" w:themeColor="text1"/>
        </w:rPr>
      </w:pPr>
      <w:r w:rsidRPr="00CE4048">
        <w:rPr>
          <w:color w:val="000000" w:themeColor="text1"/>
        </w:rPr>
        <w:t>Marketingová komunikácia</w:t>
      </w:r>
    </w:p>
    <w:p w14:paraId="1F23CF8A" w14:textId="77777777" w:rsidR="009436F2" w:rsidRDefault="009436F2" w:rsidP="009436F2"/>
    <w:p w14:paraId="72B23DD7" w14:textId="6BA8D8B6" w:rsidR="00C8262B" w:rsidRDefault="0022496C" w:rsidP="0022496C">
      <w:r>
        <w:t>Nové všeobecné požiadavky na marketingovú komunikáciu a postupy by mohli prispieť k zvýšeniu dôvery spotrebiteľov prostredníctvom jasného rozdelenia zodpovedností medzi výrobcov a distribútorov a vyššej pozornosti dohľadu.</w:t>
      </w:r>
    </w:p>
    <w:p w14:paraId="24DB1C7E" w14:textId="77777777" w:rsidR="00C8262B" w:rsidRDefault="00C8262B" w:rsidP="0022496C"/>
    <w:p w14:paraId="2792D4DE" w14:textId="77777777" w:rsidR="00C07EB7" w:rsidRDefault="0022496C" w:rsidP="0022496C">
      <w:r>
        <w:t>Tieto nové požiadavky by však nemali predstavovať neprimeranú záťaž pre poisťovne a sprostredkovateľov poistenia, napríklad prostredníctvom osobitných pravidelných správ predstavenstvu alebo neprimeraných požiadaviek na vedenie záznamov.</w:t>
      </w:r>
    </w:p>
    <w:p w14:paraId="248E435E" w14:textId="77777777" w:rsidR="00C07EB7" w:rsidRDefault="00C07EB7" w:rsidP="0022496C"/>
    <w:p w14:paraId="003B0BBB" w14:textId="3CA86DEF" w:rsidR="0022496C" w:rsidRDefault="00F4118A" w:rsidP="0022496C">
      <w:r>
        <w:t xml:space="preserve">Požiadavky </w:t>
      </w:r>
      <w:r>
        <w:rPr>
          <w:lang w:val="en-US"/>
        </w:rPr>
        <w:t>týkajúce sa prípravy výročných správ pre riadiace orgány a potreba uchovávať záznamy obsahujúce informácie o všetkých vlastných marketingových materiáloch IBIP alebo vlastných marketingových materiáloch šírených treťou stranou po dobu 5 rokov (alebo 7 rokov, ak o to požiada príslušný orgán). dozorný orgán) bude pre poisťovne a sprostredkovateľov poistenia nákladné a bude ťažké ich dodržať, najmä v prípade marketingových materiálov sprístupnených na internete alebo sociálnych médiách. To výrazne obmedzí možnosti reklamy a prezentácie informácií IBIP zákazníkom.</w:t>
      </w:r>
    </w:p>
    <w:p w14:paraId="3099888A" w14:textId="77777777" w:rsidR="00BD1801" w:rsidRDefault="00BD1801" w:rsidP="0022496C"/>
    <w:p w14:paraId="743DAD04" w14:textId="6A0C2FBE" w:rsidR="0022496C" w:rsidRDefault="008A079D" w:rsidP="0022496C">
      <w:r>
        <w:t>Preto sa navrhujú tieto zmeny:</w:t>
      </w:r>
    </w:p>
    <w:p w14:paraId="7D237979" w14:textId="6546B3E8" w:rsidR="0022496C" w:rsidRDefault="0022496C" w:rsidP="000D09E5">
      <w:pPr>
        <w:pStyle w:val="Odsekzoznamu"/>
        <w:numPr>
          <w:ilvl w:val="0"/>
          <w:numId w:val="15"/>
        </w:numPr>
      </w:pPr>
      <w:r>
        <w:t>Odsek 5 čl. 26 by sa mohlo odstrániť alebo preformulovať, pričom by sa konkrétny odkaz na konkrétnu výročnú správu nahradil všeobecnejším znením odkazujúcim na systém vnútornej kontroly poisťovní a sprostredkovateľov poistenia.</w:t>
      </w:r>
    </w:p>
    <w:p w14:paraId="696E43DC" w14:textId="3EA68070" w:rsidR="0022496C" w:rsidRDefault="0022496C" w:rsidP="000D09E5">
      <w:pPr>
        <w:pStyle w:val="Odsekzoznamu"/>
        <w:numPr>
          <w:ilvl w:val="0"/>
          <w:numId w:val="15"/>
        </w:numPr>
      </w:pPr>
      <w:r>
        <w:t>Odsek 7 by sa mal prepracovať bez predpisovania takýchto podrobných informácií o obsahu záznamov a bez predĺženia obdobia uchovávania záznamov na viac ako 5 rokov.</w:t>
      </w:r>
    </w:p>
    <w:p w14:paraId="792D8B6D" w14:textId="77A0EEA8" w:rsidR="0022496C" w:rsidRDefault="0022496C" w:rsidP="009436F2"/>
    <w:p w14:paraId="44A1248F" w14:textId="1146D347" w:rsidR="00E41518" w:rsidRDefault="004402F1" w:rsidP="009436F2">
      <w:r w:rsidRPr="004402F1">
        <w:t>Treba poznamenať, že v marci predsedníčka Európskej komisie Ursula von der Leyenová oznámila, že na jeseň má Európska komisia v úmysle „predložiť konkrétne návrhy na zjednodušenie požiadaviek na podávanie správ a v skutočnosti ich znížiť o 25 %. V tomto duchu by RIS nemalo viesť k zvýšeniu záťaže súvisiacej s vykazovaním.</w:t>
      </w:r>
    </w:p>
    <w:p w14:paraId="40A7440F" w14:textId="77777777" w:rsidR="00E41518" w:rsidRDefault="00E41518" w:rsidP="009436F2"/>
    <w:p w14:paraId="3BDD9B47" w14:textId="430241A5" w:rsidR="009436F2" w:rsidRDefault="00C8262B" w:rsidP="009436F2">
      <w:pPr>
        <w:rPr>
          <w:lang w:val="en-US"/>
        </w:rPr>
      </w:pPr>
      <w:r>
        <w:t xml:space="preserve">Okrem toho sa v návrhu poveruje EK prostredníctvom delegovaných aktov, aby špecifikovala podmienky, za ktorých je marketingová komunikácia pre IBIP </w:t>
      </w:r>
      <w:r w:rsidR="009436F2" w:rsidRPr="000F4CED">
        <w:rPr>
          <w:lang w:val="en-US"/>
        </w:rPr>
        <w:t xml:space="preserve">spravodlivá, jasná, nezavádzajúca, vyvážená a vhodná. Obávame sa, že by nebolo možné zachytiť rozmanitosť marketingovej komunikácie, pokiaľ by delegované akty neboli veľmi podrobné. </w:t>
      </w:r>
      <w:proofErr w:type="spellStart"/>
      <w:r w:rsidR="009436F2" w:rsidRPr="000F4CED">
        <w:rPr>
          <w:lang w:val="en-US"/>
        </w:rPr>
        <w:t>Celoeurópska</w:t>
      </w:r>
      <w:proofErr w:type="spellEnd"/>
      <w:r w:rsidR="009436F2" w:rsidRPr="000F4CED">
        <w:rPr>
          <w:lang w:val="en-US"/>
        </w:rPr>
        <w:t xml:space="preserve"> </w:t>
      </w:r>
      <w:proofErr w:type="spellStart"/>
      <w:r w:rsidR="0033186C">
        <w:rPr>
          <w:lang w:val="en-US"/>
        </w:rPr>
        <w:t>štandardizácia</w:t>
      </w:r>
      <w:proofErr w:type="spellEnd"/>
      <w:r w:rsidR="0033186C">
        <w:rPr>
          <w:lang w:val="en-US"/>
        </w:rPr>
        <w:t xml:space="preserve"> </w:t>
      </w:r>
      <w:proofErr w:type="spellStart"/>
      <w:r w:rsidR="0033186C">
        <w:rPr>
          <w:lang w:val="en-US"/>
        </w:rPr>
        <w:t>marketingovej</w:t>
      </w:r>
      <w:proofErr w:type="spellEnd"/>
      <w:r w:rsidR="0033186C">
        <w:rPr>
          <w:lang w:val="en-US"/>
        </w:rPr>
        <w:t xml:space="preserve"> </w:t>
      </w:r>
      <w:proofErr w:type="spellStart"/>
      <w:r w:rsidR="0033186C">
        <w:rPr>
          <w:lang w:val="en-US"/>
        </w:rPr>
        <w:t>komunikácie</w:t>
      </w:r>
      <w:proofErr w:type="spellEnd"/>
      <w:r w:rsidR="0033186C">
        <w:rPr>
          <w:lang w:val="en-US"/>
        </w:rPr>
        <w:t xml:space="preserve"> </w:t>
      </w:r>
      <w:proofErr w:type="spellStart"/>
      <w:r w:rsidR="0033186C">
        <w:rPr>
          <w:lang w:val="en-US"/>
        </w:rPr>
        <w:t>môže</w:t>
      </w:r>
      <w:proofErr w:type="spellEnd"/>
      <w:r w:rsidR="0033186C">
        <w:rPr>
          <w:lang w:val="en-US"/>
        </w:rPr>
        <w:t xml:space="preserve"> </w:t>
      </w:r>
      <w:proofErr w:type="spellStart"/>
      <w:r w:rsidR="0033186C">
        <w:rPr>
          <w:lang w:val="en-US"/>
        </w:rPr>
        <w:t>ísť</w:t>
      </w:r>
      <w:proofErr w:type="spellEnd"/>
      <w:r w:rsidR="0033186C">
        <w:rPr>
          <w:lang w:val="en-US"/>
        </w:rPr>
        <w:t xml:space="preserve"> na úkor zákazníkov: komunikácia musí zohľadňovať špecifiká trhu a úroveň vzdelania zákazníkov v konkrétnej krajine. Domnievame sa preto, že by bolo lepšie ponechať rozhodovanie, či jednotlivé komunikácie spĺňajú vyššie uvedené abstraktné princípy, na občianske súdy – ako je to v súčasnosti podľa smernice o nekalých obchodných praktikách. Mandát na delegované akty v tomto bode by sa mal preto vypustiť.</w:t>
      </w:r>
    </w:p>
    <w:p w14:paraId="6BDE9480" w14:textId="77777777" w:rsidR="009B5A0E" w:rsidRDefault="009B5A0E" w:rsidP="00F507EA"/>
    <w:p w14:paraId="60416DA4" w14:textId="77777777" w:rsidR="00647A7D" w:rsidRPr="00647A7D" w:rsidRDefault="00647A7D" w:rsidP="00C90382">
      <w:pPr>
        <w:rPr>
          <w:b/>
          <w:bCs/>
        </w:rPr>
      </w:pPr>
      <w:r>
        <w:rPr>
          <w:b/>
          <w:bCs/>
          <w:lang w:val="en-US"/>
        </w:rPr>
        <w:t>Navrhované zmeny a doplnenia všeobecnej časti IDD</w:t>
      </w:r>
    </w:p>
    <w:p w14:paraId="7EBC909F" w14:textId="77777777" w:rsidR="00647A7D" w:rsidRDefault="00647A7D" w:rsidP="00C90382"/>
    <w:p w14:paraId="6AE2DA6C" w14:textId="77777777" w:rsidR="0045270A" w:rsidRDefault="0045270A" w:rsidP="0045270A">
      <w:r>
        <w:t>EK zavádza zmeny do všeobecnej časti IDD, ktorá sa vzťahuje aj na produkty, ktoré nie sú IBIP. Nové ustanovenia zahŕňajú zvýšené právomoci dohľadu, ako aj nový IPID pre produkty Life, ktoré nie sú IBIPs.</w:t>
      </w:r>
    </w:p>
    <w:p w14:paraId="7FE1FE35" w14:textId="77777777" w:rsidR="0045270A" w:rsidRDefault="0045270A" w:rsidP="0045270A"/>
    <w:p w14:paraId="7A5865F2" w14:textId="194ED22E" w:rsidR="0045270A" w:rsidRPr="00F703AE" w:rsidRDefault="0045270A" w:rsidP="0045270A">
      <w:r>
        <w:t>Všetky existujúce IPID pre neživotné produkty by sa tiež museli aktualizovať, aby zahŕňali informácie, ktoré sa v súčasnosti vyžadujú podľa rámca Solventnosť II (právo uplatniteľné na zmluvu a príslušná jurisdikcia) a mal by sa poskytnúť dostatočný čas na prípravu. na správnu implementáciu navrhovaných zmien.</w:t>
      </w:r>
    </w:p>
    <w:p w14:paraId="5AE800C8" w14:textId="77777777" w:rsidR="00491F28" w:rsidRDefault="00491F28" w:rsidP="00C90382"/>
    <w:p w14:paraId="180F6854" w14:textId="70FAA5C6" w:rsidR="00D00602" w:rsidRDefault="006F1F0C" w:rsidP="00CE014C">
      <w:pPr>
        <w:rPr>
          <w:color w:val="000000"/>
          <w:lang w:val="en-US"/>
        </w:rPr>
      </w:pPr>
      <w:r>
        <w:t xml:space="preserve">Pokiaľ ide o nové ustanovenia v čl. 5 o </w:t>
      </w:r>
      <w:r w:rsidR="00CE014C" w:rsidRPr="00CE014C">
        <w:rPr>
          <w:color w:val="000000"/>
          <w:lang w:val="en-US"/>
        </w:rPr>
        <w:t>porušovaní povinností pri výkone slobody poskytovania služieb, aby sa predišlo nejednoznačnosti, je potrebné špecifikovať, čo sa rozumie pod pojmom „povinnosti“. Ak dôjde k zvýšeniu, vplyv je potrebné posúdiť vo vzťahu k právomoci domácich NCA vykonávať nepretržité monitorovanie.</w:t>
      </w:r>
    </w:p>
    <w:p w14:paraId="23BCF70D" w14:textId="77777777" w:rsidR="00263707" w:rsidRDefault="00263707" w:rsidP="001C3034">
      <w:pPr>
        <w:rPr>
          <w:color w:val="000000"/>
          <w:lang w:val="en-US"/>
        </w:rPr>
      </w:pPr>
    </w:p>
    <w:p w14:paraId="1F70755F" w14:textId="78C291A6" w:rsidR="004721EC" w:rsidRDefault="001C3034" w:rsidP="001C3034">
      <w:pPr>
        <w:rPr>
          <w:color w:val="000000"/>
          <w:lang w:val="en-US"/>
        </w:rPr>
      </w:pPr>
      <w:r w:rsidRPr="001C3034">
        <w:rPr>
          <w:color w:val="000000"/>
          <w:lang w:val="en-US"/>
        </w:rPr>
        <w:t xml:space="preserve">čl. 9a predbežných návrhov zavádza rozsiahle oznamovacie povinnosti pre cezhraničné podniky. Dvojstranné výmeny medzi domácimi a hostiteľskými orgánmi dohľadu </w:t>
      </w:r>
      <w:r w:rsidR="008C3668">
        <w:rPr>
          <w:color w:val="000000"/>
        </w:rPr>
        <w:t xml:space="preserve">sú </w:t>
      </w:r>
      <w:r w:rsidR="008C3668" w:rsidRPr="00CB5905">
        <w:rPr>
          <w:color w:val="000000"/>
          <w:lang w:val="en-US"/>
        </w:rPr>
        <w:t>najúčinnejším a najbezpečnejším spôsobom výmeny informácií.</w:t>
      </w:r>
    </w:p>
    <w:p w14:paraId="23C6BF63" w14:textId="77777777" w:rsidR="004721EC" w:rsidRDefault="004721EC" w:rsidP="001C3034">
      <w:pPr>
        <w:rPr>
          <w:color w:val="000000"/>
          <w:lang w:val="en-US"/>
        </w:rPr>
      </w:pPr>
    </w:p>
    <w:p w14:paraId="41C01BFE" w14:textId="5BF48689" w:rsidR="00CB5905" w:rsidRDefault="00CB5905" w:rsidP="001C3034">
      <w:pPr>
        <w:rPr>
          <w:color w:val="000000"/>
          <w:lang w:val="en-US"/>
        </w:rPr>
      </w:pPr>
      <w:r w:rsidRPr="00CB5905">
        <w:rPr>
          <w:color w:val="000000"/>
          <w:lang w:val="en-US"/>
        </w:rPr>
        <w:t>Je potrebné zvážiť, aké informácie sú už k dispozícii, aby sa predišlo dodatočnej záťaži na domáce a hostiteľské výmeny dohľadu.</w:t>
      </w:r>
    </w:p>
    <w:p w14:paraId="33753984" w14:textId="77777777" w:rsidR="005257F1" w:rsidRDefault="005257F1" w:rsidP="005257F1">
      <w:pPr>
        <w:rPr>
          <w:color w:val="000000"/>
          <w:lang w:val="en-US"/>
        </w:rPr>
      </w:pPr>
    </w:p>
    <w:p w14:paraId="72389ED7" w14:textId="1AC5DB27" w:rsidR="005257F1" w:rsidRPr="001C3034" w:rsidRDefault="005257F1" w:rsidP="005257F1">
      <w:pPr>
        <w:rPr>
          <w:color w:val="000000"/>
          <w:lang w:val="en-US"/>
        </w:rPr>
      </w:pPr>
      <w:r>
        <w:rPr>
          <w:color w:val="000000"/>
          <w:lang w:val="en-US"/>
        </w:rPr>
        <w:t>Okrem toho by sa nemali vzťahovať prípady, v ktorých poistenec zmení svoje bydlisko po uzavretí zmluvy. V tomto prípade nejde o žiadnu zámernú cezhraničnú činnosť spoločnosti.</w:t>
      </w:r>
    </w:p>
    <w:p w14:paraId="10BD74D5" w14:textId="77777777" w:rsidR="005257F1" w:rsidRDefault="005257F1" w:rsidP="001C3034">
      <w:pPr>
        <w:rPr>
          <w:color w:val="000000"/>
          <w:lang w:val="en-US"/>
        </w:rPr>
      </w:pPr>
    </w:p>
    <w:p w14:paraId="3861B5D8" w14:textId="620E5A1D" w:rsidR="003D7515" w:rsidRDefault="005257F1" w:rsidP="004721EC">
      <w:pPr>
        <w:rPr>
          <w:color w:val="000000"/>
          <w:lang w:val="en-US"/>
        </w:rPr>
      </w:pPr>
      <w:r>
        <w:rPr>
          <w:color w:val="000000"/>
          <w:lang w:val="en-US"/>
        </w:rPr>
        <w:t>Okrem toho je zdieľanie informácií o sťažnostiach komerčne citlivé a môže byť obmedzené, keďže sa týka jednotlivých poistencov. Posilnené zdieľanie informácií a centralizácia informácií na úrovni orgánu EIOPA by mohli spôsobiť problémy, pokiaľ ide o dôvernosť a ochranu údajov.</w:t>
      </w:r>
    </w:p>
    <w:p w14:paraId="0735508A" w14:textId="77777777" w:rsidR="00324730" w:rsidRDefault="00324730" w:rsidP="004721EC">
      <w:pPr>
        <w:rPr>
          <w:color w:val="000000"/>
          <w:lang w:val="en-US"/>
        </w:rPr>
      </w:pPr>
    </w:p>
    <w:p w14:paraId="04C48300" w14:textId="01E8B6ED" w:rsidR="00993083" w:rsidRPr="00A41DD5" w:rsidRDefault="003B1A3A" w:rsidP="00993083">
      <w:pPr>
        <w:rPr>
          <w:strike/>
          <w:color w:val="000000"/>
          <w:lang w:val="en-US"/>
        </w:rPr>
      </w:pPr>
      <w:r>
        <w:rPr>
          <w:color w:val="000000"/>
          <w:lang w:val="en-US"/>
        </w:rPr>
        <w:t xml:space="preserve">Pokiaľ ide o čl. 10 o odborných požiadavkách, </w:t>
      </w:r>
      <w:r w:rsidR="00993083" w:rsidRPr="007E57D4">
        <w:rPr>
          <w:strike/>
          <w:color w:val="000000"/>
          <w:lang w:val="en-US"/>
        </w:rPr>
        <w:t xml:space="preserve">text IDD by mal objasniť, že takéto osvedčenia o odbornej príprave sa vzájomne uznávajú v celej EÚ, aby sa zabezpečil plne funkčný vnútorný trh. Ďalej sa domnievame, že aj na tento účel by mali byť uznávané výsledky interných školení spoločnosti, ktoré môžu byť podložené certifikátom </w:t>
      </w:r>
      <w:r w:rsidR="00482A2C">
        <w:rPr>
          <w:color w:val="000000"/>
          <w:lang w:val="en-US"/>
        </w:rPr>
        <w:t xml:space="preserve">. </w:t>
      </w:r>
      <w:r w:rsidR="00993083" w:rsidRPr="00A41DD5">
        <w:rPr>
          <w:strike/>
          <w:color w:val="000000"/>
          <w:lang w:val="en-US"/>
        </w:rPr>
        <w:t>Zavedenie povinného ďalšieho vzdelávania sa v IDD osvedčilo a malo by sa zachovať. Text smernice však nedáva členským štátom primeranú flexibilitu pre osoby, ktoré napríklad začnú svoju predajnú činnosť ku koncu roka alebo prerušia svoju činnosť na začiatku roka z dôvodu choroby alebo rodičovstva a obnovia sa až po skončení roka. roku. V praxi to viedlo k právnej neistote. V tejto súvislosti by mal návrh objasniť, že členské štáty by sa mali rozhodnúť, ako regulovať takéto okolnosti.</w:t>
      </w:r>
    </w:p>
    <w:p w14:paraId="3A410E92" w14:textId="77777777" w:rsidR="00993083" w:rsidRPr="00A41DD5" w:rsidRDefault="00993083" w:rsidP="00E61D4A">
      <w:pPr>
        <w:rPr>
          <w:strike/>
          <w:color w:val="000000"/>
          <w:lang w:val="en-US"/>
        </w:rPr>
      </w:pPr>
    </w:p>
    <w:p w14:paraId="1764E38C" w14:textId="1F2B24D8" w:rsidR="00993083" w:rsidRPr="00A41DD5" w:rsidRDefault="005C5FAB" w:rsidP="00E61D4A">
      <w:pPr>
        <w:rPr>
          <w:strike/>
          <w:color w:val="000000"/>
          <w:lang w:val="en-US"/>
        </w:rPr>
      </w:pPr>
      <w:r w:rsidRPr="00A41DD5">
        <w:rPr>
          <w:strike/>
          <w:color w:val="000000"/>
          <w:lang w:val="en-US"/>
        </w:rPr>
        <w:t>Okrem toho sprostredkovatelia, ktorí spadajú do rozsahu pôsobnosti IDD aj MiFID II, by museli absolvovať celkovo 30 hodín odbornej prípravy ročne, aj keď sú niektoré obsahy odbornej prípravy podobné. Je potrebné vyhnúť sa duplicitným požiadavkám.</w:t>
      </w:r>
    </w:p>
    <w:p w14:paraId="649887C7" w14:textId="77777777" w:rsidR="00263707" w:rsidRPr="00482A2C" w:rsidRDefault="00263707" w:rsidP="00982509">
      <w:pPr>
        <w:pStyle w:val="Odsekzoznamu"/>
        <w:ind w:left="1440"/>
        <w:contextualSpacing w:val="0"/>
        <w:rPr>
          <w:color w:val="000000"/>
          <w:lang w:val="en-US"/>
        </w:rPr>
      </w:pPr>
    </w:p>
    <w:p w14:paraId="046097B0" w14:textId="735B5DED" w:rsidR="00D00602" w:rsidRDefault="00576B3C" w:rsidP="00700FAA">
      <w:pPr>
        <w:rPr>
          <w:color w:val="000000"/>
          <w:lang w:val="en-US"/>
        </w:rPr>
      </w:pPr>
      <w:r w:rsidRPr="00576B3C">
        <w:rPr>
          <w:color w:val="000000"/>
          <w:lang w:val="en-US"/>
        </w:rPr>
        <w:t>Vo vzťahu k čl. 12 o posilnených právomociach príslušných vnútroštátnych orgánov, nové návrhy IDD by nemali narúšať zavedený a fungujúci systém kontroly domovskej krajiny. Právomoci súvisiace s prvým udeľovaním licencií a priebežným dohľadom spočíva na domovskom dozornom orgáne s výmenou informácií a spoluprácou s hostiteľským dozorným orgánom. Ak je v krajine viac ako jeden NCA, očakáva sa, že NCA budú úzko spolupracovať (odsek 3). Je potrebné zabezpečiť, aby sa to vykonávalo účinným spôsobom, aby sa neohrozili vzťahy medzi domovom a hostiteľom. Domáce NCA sú v súčasnosti zodpovedné za centralizáciu a sprístupňovanie informácií. Tento systém funguje dobre a nie je potrebné udeľovať hostiteľskému NCA dodatočné právomoci na prístup k týmto informáciám.</w:t>
      </w:r>
    </w:p>
    <w:p w14:paraId="45600B57" w14:textId="77777777" w:rsidR="00263707" w:rsidRDefault="00263707" w:rsidP="00C90382">
      <w:pPr>
        <w:pStyle w:val="Odsekzoznamu"/>
        <w:ind w:left="1440"/>
        <w:contextualSpacing w:val="0"/>
        <w:rPr>
          <w:color w:val="000000"/>
          <w:lang w:val="en-US"/>
        </w:rPr>
      </w:pPr>
    </w:p>
    <w:p w14:paraId="38EC4613" w14:textId="643788F2" w:rsidR="008C3668" w:rsidRDefault="00B37EFB" w:rsidP="00AD4373">
      <w:pPr>
        <w:rPr>
          <w:b/>
          <w:bCs/>
        </w:rPr>
      </w:pPr>
      <w:r>
        <w:rPr>
          <w:color w:val="000000"/>
          <w:lang w:val="en-US"/>
        </w:rPr>
        <w:t xml:space="preserve">S odvolaním sa na čl. 12b o platformách spolupráce je dôležité zabezpečiť súlad medzi požiadavkami podľa IDD a inými právnymi predpismi (napr. Solventnosť II), kde sa zavádza koncept platforiem spolupráce. Pri absencii harmonizácie môžu rôzne režimy sťažiť výmenu </w:t>
      </w:r>
      <w:r w:rsidR="00D00602">
        <w:rPr>
          <w:color w:val="000000"/>
          <w:lang w:val="en-US"/>
        </w:rPr>
        <w:t xml:space="preserve">informácií. </w:t>
      </w:r>
      <w:r w:rsidR="00D00602" w:rsidRPr="009C7DD5">
        <w:rPr>
          <w:color w:val="000000"/>
          <w:lang w:val="en-US"/>
        </w:rPr>
        <w:t>Povinné platformy spolupráce nie sú vítané, pretože povaha informácií zhromaždených v rámci IDD je špecifická pre poistencov a nie je vhodná na masové výmeny, ako to naznačujú platformy pre spoluprácu.</w:t>
      </w:r>
    </w:p>
    <w:p w14:paraId="28D05833" w14:textId="1E86EAD9" w:rsidR="005D28E8" w:rsidRPr="00AD4373" w:rsidRDefault="0058243B" w:rsidP="00AD4373">
      <w:pPr>
        <w:rPr>
          <w:b/>
          <w:bCs/>
        </w:rPr>
      </w:pPr>
      <w:r w:rsidRPr="00AD4373">
        <w:rPr>
          <w:b/>
          <w:bCs/>
        </w:rPr>
        <w:t>Priemyselné testovanie</w:t>
      </w:r>
    </w:p>
    <w:p w14:paraId="7E7AC096" w14:textId="77777777" w:rsidR="005D28E8" w:rsidRDefault="005D28E8" w:rsidP="00F507EA"/>
    <w:p w14:paraId="00D322BA" w14:textId="77777777" w:rsidR="007C6D5C" w:rsidRDefault="007C6D5C" w:rsidP="00FE2E7C">
      <w:pPr>
        <w:pStyle w:val="CEABullet-Level1"/>
        <w:rPr>
          <w:color w:val="000000" w:themeColor="text1"/>
        </w:rPr>
      </w:pPr>
      <w:r w:rsidRPr="007C6D5C">
        <w:rPr>
          <w:color w:val="000000" w:themeColor="text1"/>
        </w:rPr>
        <w:t xml:space="preserve">EIOPA vypracuje usmernenia o elektronickom formáte (článok 23 ods. 4) a návrh regulačných technických noriem (RTS) o štandardizovanej terminológii a formáte predzmluvných informácií a ročných výkazov pre IBIP (článok 29 ods. testovanie a nejasné „priemyselné testovanie“. „Odvetvové testovanie“ by sa predpokladalo ako súčasť </w:t>
      </w:r>
      <w:r w:rsidRPr="007C6D5C">
        <w:rPr>
          <w:color w:val="000000" w:themeColor="text1"/>
        </w:rPr>
        <w:lastRenderedPageBreak/>
        <w:t>práce orgánu EIOPA na RTS o údajoch o hodnote za peniaze, ktoré majú oznamovať výrobcovia produktov (článok 25 ods. 2a).</w:t>
      </w:r>
    </w:p>
    <w:p w14:paraId="601C5273" w14:textId="77777777" w:rsidR="007C6D5C" w:rsidRDefault="007C6D5C" w:rsidP="00FE2E7C">
      <w:pPr>
        <w:pStyle w:val="CEABullet-Level1"/>
        <w:rPr>
          <w:color w:val="000000" w:themeColor="text1"/>
        </w:rPr>
      </w:pPr>
    </w:p>
    <w:p w14:paraId="7E6F9889" w14:textId="0002E771" w:rsidR="007C6D5C" w:rsidRDefault="007A74BD" w:rsidP="007C6D5C">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7C6D5C" w:rsidRPr="00923B59">
        <w:rPr>
          <w:rFonts w:cs="Times New Roman"/>
          <w:b/>
          <w:bCs/>
          <w:color w:val="auto"/>
          <w:kern w:val="32"/>
          <w:szCs w:val="17"/>
          <w:lang w:eastAsia="nl-NL"/>
        </w:rPr>
        <w:t>:</w:t>
      </w:r>
    </w:p>
    <w:p w14:paraId="1A3BBFF9" w14:textId="77777777" w:rsidR="007C6D5C" w:rsidRDefault="007C6D5C" w:rsidP="007C6D5C">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633E1928" w14:textId="189CD57C" w:rsidR="005C43F5" w:rsidRPr="005C43F5" w:rsidRDefault="007C6D5C" w:rsidP="005C43F5">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B842CA">
        <w:t>Každý nový návrh musí byť riadne otestovaný na celom rade rôznych produktov, na ktoré sa vzťahuje, aby sa zabezpečilo, že je realizovateľný, praktický a zmysluplný. Toto je úloha a zodpovednosť príslušných vnútroštátnych orgánov.</w:t>
      </w:r>
    </w:p>
    <w:p w14:paraId="6057F92B" w14:textId="77777777" w:rsidR="005C43F5" w:rsidRPr="005C43F5" w:rsidRDefault="005C43F5" w:rsidP="005C43F5">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p>
    <w:p w14:paraId="794F9E0F" w14:textId="41E6F475" w:rsidR="007C6D5C" w:rsidRDefault="00AC18A8" w:rsidP="004F7227">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color w:val="000000" w:themeColor="text1"/>
        </w:rPr>
      </w:pPr>
      <w:r w:rsidRPr="00F53D71">
        <w:rPr>
          <w:rFonts w:ascii="Calibri" w:hAnsi="Calibri" w:cs="Calibri"/>
          <w:b/>
          <w:bCs/>
          <w:color w:val="auto"/>
          <w:kern w:val="32"/>
          <w:szCs w:val="17"/>
          <w:lang w:eastAsia="nl-NL"/>
        </w:rPr>
        <w:t xml:space="preserve">→ </w:t>
      </w:r>
      <w:r w:rsidRPr="00B842CA">
        <w:t xml:space="preserve">Konzultácie a zapojenie zainteresovaných strán sú neoddeliteľnou súčasťou legislatívneho procesu. „Odvetvové testovanie“ by sa však </w:t>
      </w:r>
      <w:r w:rsidR="00FF43B0" w:rsidRPr="008A18D8">
        <w:rPr>
          <w:color w:val="000000" w:themeColor="text1"/>
        </w:rPr>
        <w:t xml:space="preserve">nemalo vykladať ako možnosť delegovať na účastníkov trhu záťaž </w:t>
      </w:r>
      <w:r w:rsidR="00FF43B0">
        <w:t>na testovanie, či návrhy fungujú v praxi.</w:t>
      </w:r>
    </w:p>
    <w:p w14:paraId="5D32C7E9" w14:textId="77777777" w:rsidR="00587FA4" w:rsidRDefault="00587FA4" w:rsidP="00587FA4"/>
    <w:p w14:paraId="7CE176EF" w14:textId="77777777" w:rsidR="007648AB" w:rsidRDefault="007648AB" w:rsidP="007648AB">
      <w:pPr>
        <w:pStyle w:val="Nadpis1"/>
        <w:numPr>
          <w:ilvl w:val="0"/>
          <w:numId w:val="0"/>
        </w:numPr>
        <w:ind w:left="360" w:hanging="360"/>
        <w:rPr>
          <w:color w:val="000000" w:themeColor="text1"/>
        </w:rPr>
      </w:pPr>
      <w:r>
        <w:rPr>
          <w:color w:val="000000" w:themeColor="text1"/>
        </w:rPr>
        <w:t>Hodnotenie vplyvu</w:t>
      </w:r>
    </w:p>
    <w:p w14:paraId="709C9C71" w14:textId="77777777" w:rsidR="007648AB" w:rsidRDefault="007648AB" w:rsidP="007648AB"/>
    <w:p w14:paraId="432A915D" w14:textId="77777777" w:rsidR="007648AB" w:rsidRDefault="007648AB" w:rsidP="007648AB">
      <w:pPr>
        <w:pStyle w:val="CEABullet-Level1"/>
      </w:pPr>
      <w:r w:rsidRPr="00BD43E2">
        <w:t>Napokon, posúdenie vplyvu neposkytuje pevný základ na odôvodnenie zmien navrhnutých Komisiou.</w:t>
      </w:r>
    </w:p>
    <w:p w14:paraId="259224C7" w14:textId="77777777" w:rsidR="007A74BD" w:rsidRDefault="007A74BD" w:rsidP="0077561D">
      <w:pPr>
        <w:pStyle w:val="CEABullet-Level1"/>
        <w:rPr>
          <w:color w:val="auto"/>
        </w:rPr>
      </w:pPr>
    </w:p>
    <w:p w14:paraId="3205DC46" w14:textId="77777777" w:rsidR="007A74BD" w:rsidRDefault="007A74BD" w:rsidP="0077561D">
      <w:pPr>
        <w:pStyle w:val="CEABullet-Level1"/>
        <w:rPr>
          <w:color w:val="auto"/>
        </w:rPr>
      </w:pPr>
    </w:p>
    <w:p w14:paraId="7A870B0E" w14:textId="77777777" w:rsidR="00260CA7" w:rsidRDefault="00260CA7" w:rsidP="0077561D">
      <w:pPr>
        <w:pStyle w:val="CEABullet-Level1"/>
        <w:rPr>
          <w:color w:val="auto"/>
        </w:rPr>
      </w:pPr>
    </w:p>
    <w:tbl>
      <w:tblPr>
        <w:tblStyle w:val="Mriekatabuky"/>
        <w:tblW w:w="0" w:type="auto"/>
        <w:shd w:val="clear" w:color="auto" w:fill="D9E2F3" w:themeFill="accent1" w:themeFillTint="33"/>
        <w:tblLook w:val="04A0" w:firstRow="1" w:lastRow="0" w:firstColumn="1" w:lastColumn="0" w:noHBand="0" w:noVBand="1"/>
      </w:tblPr>
      <w:tblGrid>
        <w:gridCol w:w="9577"/>
      </w:tblGrid>
      <w:tr w:rsidR="00587FA4" w:rsidRPr="008C71A1" w14:paraId="40D2ECD6" w14:textId="77777777" w:rsidTr="008C71A1">
        <w:tc>
          <w:tcPr>
            <w:tcW w:w="9803" w:type="dxa"/>
            <w:shd w:val="clear" w:color="auto" w:fill="D9E2F3" w:themeFill="accent1" w:themeFillTint="33"/>
          </w:tcPr>
          <w:p w14:paraId="4A97E903" w14:textId="7A02AECB" w:rsidR="00587FA4" w:rsidRPr="008C71A1" w:rsidRDefault="003465AB" w:rsidP="003E437A">
            <w:pPr>
              <w:autoSpaceDE w:val="0"/>
              <w:autoSpaceDN w:val="0"/>
              <w:adjustRightInd w:val="0"/>
              <w:jc w:val="center"/>
              <w:rPr>
                <w:b/>
                <w:bCs/>
                <w:iCs/>
              </w:rPr>
            </w:pPr>
            <w:r>
              <w:rPr>
                <w:b/>
                <w:bCs/>
                <w:iCs/>
              </w:rPr>
              <w:t>Zmeny a doplnenia RIS navrhované k nariadeniu PRIIPs</w:t>
            </w:r>
          </w:p>
        </w:tc>
      </w:tr>
    </w:tbl>
    <w:p w14:paraId="76D491ED" w14:textId="77777777" w:rsidR="00587FA4" w:rsidRDefault="00587FA4" w:rsidP="00587FA4">
      <w:pPr>
        <w:pStyle w:val="CEABullet-Level1"/>
        <w:rPr>
          <w:color w:val="auto"/>
        </w:rPr>
      </w:pPr>
    </w:p>
    <w:p w14:paraId="10812D8A" w14:textId="4BF27156" w:rsidR="004156E4" w:rsidRPr="00601F0A" w:rsidRDefault="004156E4" w:rsidP="00601F0A">
      <w:pPr>
        <w:rPr>
          <w:b/>
          <w:bCs/>
          <w:color w:val="4472C4" w:themeColor="accent1"/>
        </w:rPr>
      </w:pPr>
      <w:r w:rsidRPr="00601F0A">
        <w:rPr>
          <w:b/>
          <w:bCs/>
          <w:color w:val="4472C4" w:themeColor="accent1"/>
        </w:rPr>
        <w:t>Rozsah pôsobnosti (článok 2)</w:t>
      </w:r>
    </w:p>
    <w:p w14:paraId="0990DA9F" w14:textId="4034E635" w:rsidR="00423EF6" w:rsidRDefault="00423EF6" w:rsidP="00423EF6">
      <w:pPr>
        <w:rPr>
          <w:b/>
          <w:bCs/>
          <w:color w:val="4472C4" w:themeColor="accent1"/>
        </w:rPr>
      </w:pPr>
    </w:p>
    <w:p w14:paraId="154F6973" w14:textId="0C30EA77" w:rsidR="00B00961" w:rsidRDefault="00423EF6" w:rsidP="00295D08">
      <w:r w:rsidRPr="006E3E99">
        <w:t>Návrh vylučuje „dôchodkové produkty vrátane okamžitých anuít bez fázy splácania“ z rozsahu pôsobnosti nariadenia o PRIIP. Insurance Europe dôrazne presadzuje vylúčenie okamžitých anuít z rozsahu pôsobnosti, keďže PRIIPs KID nie je pre tento druh produktov relevantný a môže byť dokonca zavádzajúci.</w:t>
      </w:r>
    </w:p>
    <w:p w14:paraId="62C59B56" w14:textId="77777777" w:rsidR="00704687" w:rsidRDefault="00704687" w:rsidP="00295D08"/>
    <w:p w14:paraId="60545684" w14:textId="47150FDF" w:rsidR="00704687" w:rsidRDefault="00E038C3" w:rsidP="00E038C3">
      <w:r>
        <w:t xml:space="preserve">vo svojom </w:t>
      </w:r>
      <w:hyperlink r:id="rId19" w:history="1">
        <w:r w:rsidRPr="00484597">
          <w:rPr>
            <w:rStyle w:val="Hypertextovprepojenie"/>
          </w:rPr>
          <w:t xml:space="preserve">technickom odporúčaní </w:t>
        </w:r>
      </w:hyperlink>
      <w:r>
        <w:t>pre Európsku komisiu výslovne odporučili vyňať okamžité anuity (ktoré nemajú fázu akumulácie) z rozsahu pôsobnosti nariadenia PRIIPs (s. 6).</w:t>
      </w:r>
    </w:p>
    <w:p w14:paraId="1C541080" w14:textId="77777777" w:rsidR="00B00961" w:rsidRDefault="00B00961" w:rsidP="00295D08"/>
    <w:p w14:paraId="738ACE1B" w14:textId="6B30A7EF" w:rsidR="00764FF4" w:rsidRDefault="001038F8" w:rsidP="00E03A38">
      <w:r w:rsidRPr="006E3E99">
        <w:t>Znenie použité v návrhu Komisie však nie je jasné a obmedzuje uplatniteľnosť výnimky: dôchodkové produkty sú už z rozsahu pôsobnosti vylúčené, zatiaľ čo formulácia „fáza vyplácania“ nie je vhodná pre tento typ produktu ani sa nepoužíva v kontexte poistenia. .</w:t>
      </w:r>
    </w:p>
    <w:p w14:paraId="4FE7EA09" w14:textId="77777777" w:rsidR="00601F0A" w:rsidRDefault="00601F0A" w:rsidP="00295D08"/>
    <w:p w14:paraId="70EB081B" w14:textId="3132FD63" w:rsidR="00FA610E" w:rsidRPr="00D53ED9" w:rsidRDefault="00FA610E" w:rsidP="00295D08">
      <w:pPr>
        <w:rPr>
          <w:strike/>
        </w:rPr>
      </w:pPr>
      <w:r w:rsidRPr="00D53ED9">
        <w:rPr>
          <w:strike/>
        </w:rPr>
        <w:t>Okrem toho dôrazne navrhujeme, aby sa toto vylúčenie rozšírilo na určité retailové poistné produkty, ktoré sa spoliehajú na príslušné biometrické krytie (tj s krytím nad určitý kvantitatívny prah), ktoré sa jasne odlišuje od čistých investičných produktov bez takejto zložky poistenia.</w:t>
      </w:r>
    </w:p>
    <w:p w14:paraId="1E43FFBB" w14:textId="77777777" w:rsidR="00FA610E" w:rsidRDefault="00FA610E" w:rsidP="00295D08"/>
    <w:p w14:paraId="3272BD4D" w14:textId="717EBFBA" w:rsidR="00601F0A" w:rsidRDefault="007A74BD" w:rsidP="00601F0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601F0A" w:rsidRPr="00923B59">
        <w:rPr>
          <w:rFonts w:cs="Times New Roman"/>
          <w:b/>
          <w:bCs/>
          <w:color w:val="auto"/>
          <w:kern w:val="32"/>
          <w:szCs w:val="17"/>
          <w:lang w:eastAsia="nl-NL"/>
        </w:rPr>
        <w:t>:</w:t>
      </w:r>
    </w:p>
    <w:p w14:paraId="76D4F14F" w14:textId="77777777" w:rsidR="00601F0A" w:rsidRDefault="00601F0A" w:rsidP="00601F0A">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645F9C87" w14:textId="7AD2AA5C" w:rsidR="00B00961" w:rsidRDefault="00601F0A" w:rsidP="00B00961">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B842CA">
        <w:t>Čl. 2 ods. 2 písm. h) je potrebné preformulovať na „h) okamžité anuity“.</w:t>
      </w:r>
    </w:p>
    <w:p w14:paraId="23D50100" w14:textId="77777777" w:rsidR="00AA73FF" w:rsidRDefault="00AA73FF" w:rsidP="00C22A99"/>
    <w:p w14:paraId="7D5D4E18" w14:textId="77777777" w:rsidR="00EE63A8" w:rsidRDefault="00EE63A8" w:rsidP="00B00961">
      <w:pPr>
        <w:rPr>
          <w:b/>
          <w:bCs/>
          <w:color w:val="4472C4" w:themeColor="accent1"/>
        </w:rPr>
      </w:pPr>
    </w:p>
    <w:p w14:paraId="33723ED5" w14:textId="7653868A" w:rsidR="004156E4" w:rsidRPr="00B00961" w:rsidRDefault="00C87A05" w:rsidP="00B00961">
      <w:pPr>
        <w:rPr>
          <w:b/>
          <w:bCs/>
          <w:color w:val="4472C4" w:themeColor="accent1"/>
        </w:rPr>
      </w:pPr>
      <w:r w:rsidRPr="00B00961">
        <w:rPr>
          <w:b/>
          <w:bCs/>
          <w:color w:val="4472C4" w:themeColor="accent1"/>
        </w:rPr>
        <w:t xml:space="preserve">Produkty s viacerými možnosťami (MOP) </w:t>
      </w:r>
      <w:r w:rsidR="00B972CB" w:rsidRPr="00B00961">
        <w:rPr>
          <w:b/>
          <w:bCs/>
          <w:color w:val="4472C4" w:themeColor="accent1"/>
        </w:rPr>
        <w:t>(článok 6 ods. 3)</w:t>
      </w:r>
    </w:p>
    <w:p w14:paraId="71D25EDC" w14:textId="77777777" w:rsidR="00B972CB" w:rsidRDefault="00B972CB" w:rsidP="00B972CB">
      <w:pPr>
        <w:rPr>
          <w:b/>
          <w:bCs/>
          <w:color w:val="4472C4" w:themeColor="accent1"/>
        </w:rPr>
      </w:pPr>
    </w:p>
    <w:p w14:paraId="3D25CB6A" w14:textId="00FFC2AE" w:rsidR="00B972CB" w:rsidRDefault="00B972CB" w:rsidP="00B972CB">
      <w:r w:rsidRPr="00441510">
        <w:t xml:space="preserve">Európska komisia navrhuje novú požiadavku vždy zverejňovať „náklady na PRIIP iné ako náklady na investičnú možnosť“ produktov s viacerými možnosťami (MOP). Návrhom sa tiež zavádzajú 3 podmienky poskytovania informácií pre MOP: a) tvorcovia PRIIP by mali investorom poskytovať nástroje prispôsobené retailovým investorom, ktoré uľahčujú prieskum a porovnávanie investičných možností a nákladov, b) retailoví investori majú ľahký prístup k dokumentáciu s predzmluvnými informáciami týkajúcu sa investičných produktov, ktoré </w:t>
      </w:r>
      <w:r w:rsidRPr="00441510">
        <w:lastRenderedPageBreak/>
        <w:t>podporujú podkladové investičné možnosti, a c) tvorcovia PRIIP poskytujú investorom na ich žiadosť a včas úplné náklady PRIIP súvisiace s touto investičnou možnosťou.</w:t>
      </w:r>
    </w:p>
    <w:p w14:paraId="2717F475" w14:textId="77777777" w:rsidR="00C915EC" w:rsidRDefault="00C915EC" w:rsidP="00B972CB"/>
    <w:p w14:paraId="63DBD890" w14:textId="7AC90A84" w:rsidR="00C915EC" w:rsidRDefault="00CA7601" w:rsidP="00B972CB">
      <w:r>
        <w:t xml:space="preserve">Je kľúčové zabezpečiť, aby RTS čl. 10(a) a 10(b) pre MOP sa stále môžu používať </w:t>
      </w:r>
      <w:r w:rsidR="009E41E1">
        <w:rPr>
          <w:rStyle w:val="Odkaznapoznmkupodiarou"/>
        </w:rPr>
        <w:footnoteReference w:id="3"/>
      </w:r>
      <w:r w:rsidR="00125729" w:rsidRPr="00125729">
        <w:t>a že štandardizovaný charakter PRIIPs KID je zachovaný.</w:t>
      </w:r>
    </w:p>
    <w:p w14:paraId="3FB2BFCC" w14:textId="77777777" w:rsidR="003714FA" w:rsidRDefault="003714FA" w:rsidP="00B972CB"/>
    <w:p w14:paraId="2A2A97AB" w14:textId="5B191CEF" w:rsidR="003F70F6" w:rsidRDefault="003F70F6" w:rsidP="003F70F6">
      <w:r>
        <w:t>PRIIPs KID bol navrhnutý ako vysoko štandardizovaný dokument. Spotrebitelia by mali mať prvý dojem z produktu a mali by byť schopní porovnať rôzne produkty. Navrhované zmeny MOP ho robia individualizovaným tým, že nútia výrobcov vyvinúť nástroj, pomocou ktorého môžu spotrebitelia vytvárať nové KID s rôznymi konšteláciami investičných možností. Po prvé, spotrebitelia dostávajú individualizované informácie o produkte v rámci IDD. Po druhé, metodika v PRIIPs KID, ktorá nasleduje po PRIIPs RTS, nie je navrhnutá na individualizované výpočty. Použité metódy sú založené na vysoko sofistikovaných matematických výpočtoch, ktoré zaberú až hodiny výpočtového času. Okrem toho by sa nové príbehy museli generovať v reálnom čase. Poisťovatelia by nemali byť nútení generovať PRIIPs KID v reálnom čase ani na webovej stránke, ani počas procesu poradenstva. PRIIPs KID nie je určený na tento účel.</w:t>
      </w:r>
    </w:p>
    <w:p w14:paraId="474A89BE" w14:textId="77777777" w:rsidR="005862D3" w:rsidRDefault="005862D3" w:rsidP="003F70F6"/>
    <w:p w14:paraId="4AD1E44D" w14:textId="754C5D8E" w:rsidR="003F70F6" w:rsidRPr="00556ADA" w:rsidRDefault="005862D3" w:rsidP="00B972CB">
      <w:pPr>
        <w:rPr>
          <w:strike/>
        </w:rPr>
      </w:pPr>
      <w:r w:rsidRPr="00556ADA">
        <w:rPr>
          <w:strike/>
        </w:rPr>
        <w:t>Podľa nášho názoru stačí informovať spotrebiteľov o nákladoch na zvolené možnosti v rámci produktu podľa vopred definovaných scenárov.</w:t>
      </w:r>
    </w:p>
    <w:p w14:paraId="7384B2F3" w14:textId="77777777" w:rsidR="005862D3" w:rsidRDefault="005862D3" w:rsidP="00B972CB"/>
    <w:p w14:paraId="364D86CC" w14:textId="75204DCF" w:rsidR="003714FA" w:rsidRDefault="003714FA" w:rsidP="00B972CB">
      <w:r>
        <w:t>Nie je jasné ani to, ako funguje nový prístrojový panel „Produkt na prvý pohľad“ a „Ako je tento produkt environmentálne udržateľný?“ časť by fungovala pre MOP, ktoré majú veľa základných investičných možností.</w:t>
      </w:r>
    </w:p>
    <w:p w14:paraId="7ABF7414" w14:textId="77777777" w:rsidR="003714FA" w:rsidRDefault="003714FA" w:rsidP="00B972CB"/>
    <w:p w14:paraId="4FCC7EFC" w14:textId="6A27DF3B" w:rsidR="003714FA" w:rsidRPr="00441510" w:rsidRDefault="00606042" w:rsidP="00B972CB">
      <w:r>
        <w:t>Je absolútne nevyhnutné vyhnúť sa situácii, kedy bude príliš zložité a zaťažujúce, alebo dokonca nemožné ponúkať MOP na základe nových pravidiel PRIIPs a IDD (napr. navrhované ročné zúčtovanie, pozri vyššie).</w:t>
      </w:r>
    </w:p>
    <w:p w14:paraId="12ACB5E4" w14:textId="77777777" w:rsidR="00F7513C" w:rsidRDefault="00F7513C" w:rsidP="006E3E99">
      <w:pPr>
        <w:rPr>
          <w:b/>
          <w:bCs/>
          <w:color w:val="4472C4" w:themeColor="accent1"/>
        </w:rPr>
      </w:pPr>
    </w:p>
    <w:p w14:paraId="06CAB6FC" w14:textId="1AB541CC" w:rsidR="00F7513C" w:rsidRDefault="007A74BD" w:rsidP="00F7513C">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F7513C" w:rsidRPr="00923B59">
        <w:rPr>
          <w:rFonts w:cs="Times New Roman"/>
          <w:b/>
          <w:bCs/>
          <w:color w:val="auto"/>
          <w:kern w:val="32"/>
          <w:szCs w:val="17"/>
          <w:lang w:eastAsia="nl-NL"/>
        </w:rPr>
        <w:t>:</w:t>
      </w:r>
    </w:p>
    <w:p w14:paraId="29DA9C24" w14:textId="77777777" w:rsidR="00F7513C" w:rsidRDefault="00F7513C" w:rsidP="00F7513C">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4D3A4FF4" w14:textId="5789FD34" w:rsidR="00AF2B4C" w:rsidRDefault="00486A04" w:rsidP="00486A04">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00E251FD" w:rsidRPr="00E251FD">
        <w:t xml:space="preserve">Je </w:t>
      </w:r>
      <w:r>
        <w:t>potrebné zabezpečiť, aby RTS čl. 10 písm. a) a 10 písm. b) pre MOP sa stále môžu používať a že sa zachová štandardizovaná povaha PRIIPs KID. PRIIPs KID by sa malo uchovávať ako abstraktný dokument, ktorý spotrebiteľom poskytuje prvý dojem o produkte.</w:t>
      </w:r>
    </w:p>
    <w:p w14:paraId="342E2182" w14:textId="3ECBD68E" w:rsidR="00F7513C" w:rsidRDefault="00EF45D1" w:rsidP="00F7513C">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EF45D1">
        <w:t>Aby bol návrh funkčný, sú potrebné tieto zmeny:</w:t>
      </w:r>
    </w:p>
    <w:p w14:paraId="70458701" w14:textId="7F284FFA" w:rsidR="004918D9" w:rsidRDefault="00AE5B21"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pPr>
      <w:r>
        <w:t>Naďalej používať aktuálnu RTS pre zverejňovanie nákladov MOP: pre MOP využívajúce čl. 10 písm. a) možno pre každú možnosť vypracovať úplné KID; pre MOP využívajúce čl. 10(b), RTS boli nedávno revidované a bolo by príliš skoro hodnotiť potrebu ďalších zmien;</w:t>
      </w:r>
    </w:p>
    <w:p w14:paraId="4704A9AB" w14:textId="365B6AF8" w:rsidR="000A0426" w:rsidRDefault="000A0426"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Podmienka </w:t>
      </w:r>
      <w:r w:rsidR="00EF45D1">
        <w:t>(a) musí objasniť, že statický zoznam alebo tabuľka by stačili na splnenie požiadavky bez filtrovania alebo iných mechanizmov. Je znepokojujúce čítať v posúdení vplyvu Komisie, že Komisia by uprednostnila zaťažujúci „nástroj IT“, ktorý by „poskytoval retailovým investorom dynamické informácie o nákladoch v reálnom čase“, a to aj napriek tomu, že neexistuje žiadny odhad nákladov na takýto nástroj. nástroj;</w:t>
      </w:r>
    </w:p>
    <w:p w14:paraId="3BF3F320" w14:textId="77777777" w:rsidR="0013480A" w:rsidRPr="0013480A" w:rsidRDefault="00F25DC1"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rPr>
          <w:strike/>
        </w:rPr>
      </w:pPr>
      <w:r>
        <w:t xml:space="preserve">Podmienkou b) je potrebné objasniť, že stačí uviesť, kde možno nájsť podrobnejšiu dokumentáciu s predzmluvnými informáciami týkajúcu sa investičných produktov, ktoré podporujú podkladové investičné možnosti (napr. prostredníctvom hypertextových odkazov </w:t>
      </w:r>
      <w:r w:rsidR="009A5511">
        <w:t>) ;</w:t>
      </w:r>
    </w:p>
    <w:p w14:paraId="03B3EBEC" w14:textId="125BABEC" w:rsidR="00EF45D1" w:rsidRPr="003E325B" w:rsidRDefault="009954A4" w:rsidP="000D09E5">
      <w:pPr>
        <w:pStyle w:val="CEABullet-Level1"/>
        <w:numPr>
          <w:ilvl w:val="0"/>
          <w:numId w:val="2"/>
        </w:numPr>
        <w:pBdr>
          <w:top w:val="single" w:sz="4" w:space="1" w:color="auto"/>
          <w:left w:val="single" w:sz="4" w:space="4" w:color="auto"/>
          <w:bottom w:val="single" w:sz="4" w:space="1" w:color="auto"/>
          <w:right w:val="single" w:sz="4" w:space="4" w:color="auto"/>
        </w:pBdr>
        <w:shd w:val="clear" w:color="auto" w:fill="DEEAF6" w:themeFill="accent5" w:themeFillTint="33"/>
        <w:rPr>
          <w:strike/>
        </w:rPr>
      </w:pPr>
      <w:r w:rsidRPr="00FE6378">
        <w:t>Podmienka c) by sa mala odstrániť.</w:t>
      </w:r>
      <w:r w:rsidR="000B5DCE" w:rsidRPr="003E325B">
        <w:rPr>
          <w:strike/>
        </w:rPr>
        <w:t xml:space="preserve"> </w:t>
      </w:r>
    </w:p>
    <w:p w14:paraId="5CD42999" w14:textId="52628779" w:rsidR="006E3E99" w:rsidRDefault="006E3E99" w:rsidP="006E3E99">
      <w:pPr>
        <w:rPr>
          <w:b/>
          <w:bCs/>
          <w:color w:val="4472C4" w:themeColor="accent1"/>
        </w:rPr>
      </w:pPr>
    </w:p>
    <w:p w14:paraId="31125EBD" w14:textId="2FD4BCE9" w:rsidR="006E3E99" w:rsidRPr="00F7513C" w:rsidRDefault="00430108" w:rsidP="00F7513C">
      <w:pPr>
        <w:rPr>
          <w:b/>
          <w:bCs/>
          <w:color w:val="4472C4" w:themeColor="accent1"/>
        </w:rPr>
      </w:pPr>
      <w:r w:rsidRPr="00F7513C">
        <w:rPr>
          <w:b/>
          <w:bCs/>
          <w:color w:val="4472C4" w:themeColor="accent1"/>
        </w:rPr>
        <w:t>Štruktúra dokumentu s kľúčovými informáciami (KID)</w:t>
      </w:r>
    </w:p>
    <w:p w14:paraId="40A39005" w14:textId="77777777" w:rsidR="000167DA" w:rsidRDefault="000167DA" w:rsidP="00D82D52">
      <w:pPr>
        <w:pStyle w:val="Odsekzoznamu"/>
        <w:rPr>
          <w:b/>
          <w:bCs/>
          <w:color w:val="4472C4" w:themeColor="accent1"/>
        </w:rPr>
      </w:pPr>
    </w:p>
    <w:p w14:paraId="25258FEF" w14:textId="2F7F2AAC" w:rsidR="00430108" w:rsidRPr="00F7513C" w:rsidRDefault="00A70BAD" w:rsidP="00F7513C">
      <w:pPr>
        <w:rPr>
          <w:b/>
          <w:bCs/>
        </w:rPr>
      </w:pPr>
      <w:r>
        <w:rPr>
          <w:b/>
          <w:bCs/>
        </w:rPr>
        <w:t xml:space="preserve">„Produkt na prvý pohľad“ (čl. 8 ods. </w:t>
      </w:r>
      <w:r w:rsidR="00193510" w:rsidRPr="00F7513C">
        <w:rPr>
          <w:b/>
          <w:bCs/>
        </w:rPr>
        <w:t>3 písm. aa )</w:t>
      </w:r>
    </w:p>
    <w:p w14:paraId="432EACC5" w14:textId="2F1F4564" w:rsidR="00430108" w:rsidRDefault="00430108" w:rsidP="00430108">
      <w:pPr>
        <w:pStyle w:val="Odsekzoznamu"/>
        <w:ind w:left="1440"/>
        <w:rPr>
          <w:b/>
          <w:bCs/>
        </w:rPr>
      </w:pPr>
    </w:p>
    <w:p w14:paraId="2FF65DD8" w14:textId="1FBB37F1" w:rsidR="00FB5F99" w:rsidRDefault="007679E5" w:rsidP="00430108">
      <w:r w:rsidRPr="00430108">
        <w:t>Návrh zavádza novú sekciu s názvom „Produkt na prvý pohľad“ pred „Čo je to za produkt?“ časť, ktorá poskytuje informácie o type PRIIP, súhrnnom rizikovom indikátore (SRI), celkových nákladoch, odporúčanej dobe držby (RHP) a o tom, či produkt ponúka poistné krytie.</w:t>
      </w:r>
    </w:p>
    <w:p w14:paraId="3A86052F" w14:textId="77777777" w:rsidR="00FB5F99" w:rsidRDefault="00FB5F99" w:rsidP="00430108"/>
    <w:p w14:paraId="09F64D76" w14:textId="2EBEF0CD" w:rsidR="001F2192" w:rsidRPr="00C1701C" w:rsidRDefault="00FB5F99" w:rsidP="00430108">
      <w:r>
        <w:t>Insurance Europe dôrazne podporuje zlepšenie zobrazovania poistných plnení v hornej časti/v prvej vrstve PRIIPs KID av tomto smere víta návrh Komisie.</w:t>
      </w:r>
    </w:p>
    <w:p w14:paraId="15695F71" w14:textId="77777777" w:rsidR="001F2192" w:rsidRDefault="001F2192" w:rsidP="00430108"/>
    <w:p w14:paraId="5CF7DBC5" w14:textId="5469A2C1" w:rsidR="00A70BAD" w:rsidRDefault="00175BFE" w:rsidP="00430108">
      <w:r>
        <w:t>Existencia alebo neexistencia finančnej záruky a iných mechanizmov ochrany kapitálu by však mala byť okamžite identifikovateľná aj na informačnom paneli „Produkt na prvý pohľad“.</w:t>
      </w:r>
    </w:p>
    <w:p w14:paraId="25D34736" w14:textId="77777777" w:rsidR="00A70BAD" w:rsidRDefault="00A70BAD" w:rsidP="00430108"/>
    <w:p w14:paraId="5A583A15" w14:textId="65E27163" w:rsidR="00385000" w:rsidRDefault="0046117B" w:rsidP="00430108">
      <w:r>
        <w:t>Insurance Europe preto odporúča zabezpečiť, aby PRIIPs KID viditeľne zobrazovalo nielen existenciu alebo nedostatok poistných krytín, ale aj existenciu alebo nedostatok finančných záruk, keďže ide o kľúčové prvky informovania spotrebiteľov o výbere a pomoci zákazníkom pochopiť výhody, ktoré ponúka produkt.</w:t>
      </w:r>
    </w:p>
    <w:p w14:paraId="28DFCEC2" w14:textId="77777777" w:rsidR="00385000" w:rsidRDefault="00385000" w:rsidP="00430108"/>
    <w:p w14:paraId="2B600556" w14:textId="390A0C16" w:rsidR="00193510" w:rsidRDefault="00385000" w:rsidP="00430108">
      <w:r>
        <w:t>Okrem toho, KID je už obsiahly a technický dokument; aby sa zabezpečilo, že navrhovaný informačný panel bude pridanou hodnotou, musí zvýrazniť iba tie informácie, ktoré sú pre spotrebiteľov skutočne dôležité, bez duplicity a bez zvyšovania celkového počtu obrázkov/stránok KID. Vzhľadom na dôležitosť stručnosti KID je potrebné zachovať limit 3 strán. Preto pridanie dashboardu zaručuje odstránenie niektorej časti existujúceho dokumentu KID, aby sa zachoval limit troch strán.</w:t>
      </w:r>
    </w:p>
    <w:p w14:paraId="038E8F77" w14:textId="77777777" w:rsidR="00FB5F99" w:rsidRDefault="00FB5F99" w:rsidP="00430108"/>
    <w:p w14:paraId="2B758B30" w14:textId="05E518D7" w:rsidR="00FB5F99" w:rsidRDefault="007A74BD" w:rsidP="00FB5F9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FB5F99" w:rsidRPr="00923B59">
        <w:rPr>
          <w:rFonts w:cs="Times New Roman"/>
          <w:b/>
          <w:bCs/>
          <w:color w:val="auto"/>
          <w:kern w:val="32"/>
          <w:szCs w:val="17"/>
          <w:lang w:eastAsia="nl-NL"/>
        </w:rPr>
        <w:t>:</w:t>
      </w:r>
    </w:p>
    <w:p w14:paraId="57696B2E" w14:textId="77777777" w:rsidR="00FB5F99" w:rsidRDefault="00FB5F99" w:rsidP="00FB5F9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169C5C1B" w14:textId="77777777" w:rsidR="00170280" w:rsidRPr="00170280" w:rsidRDefault="00FB5F99" w:rsidP="00FB5F9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00170280" w:rsidRPr="00170280">
        <w:t>Čl. 8 ods . 3 písm. aa) je potrebné preformulovať takto:</w:t>
      </w:r>
    </w:p>
    <w:p w14:paraId="414B8049" w14:textId="77777777" w:rsidR="00170280" w:rsidRPr="00170280" w:rsidRDefault="00170280" w:rsidP="00FB5F9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p>
    <w:p w14:paraId="194CB45B" w14:textId="77777777" w:rsidR="00170280" w:rsidRPr="00170280" w:rsidRDefault="00170280" w:rsidP="001702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170280">
        <w:t>(aa) v časti s názvom „Produkt na prvý pohľad“ informačný panel so súhrnnými informáciami o všetkých nasledujúcich:</w:t>
      </w:r>
    </w:p>
    <w:p w14:paraId="2EAFD583" w14:textId="77777777" w:rsidR="00170280" w:rsidRPr="00170280" w:rsidRDefault="00170280" w:rsidP="001702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170280">
        <w:t>i ) typ PRIIP, ako sa uvádza v písmene c) bode i );</w:t>
      </w:r>
    </w:p>
    <w:p w14:paraId="2A9EBCE3" w14:textId="77777777" w:rsidR="00170280" w:rsidRPr="00170280" w:rsidRDefault="00170280" w:rsidP="001702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170280">
        <w:t>ii) súhrnný ukazovateľ rizika uvedený v písmene d) bode i );</w:t>
      </w:r>
    </w:p>
    <w:p w14:paraId="56E1377E" w14:textId="6A2BB940" w:rsidR="00302909" w:rsidRPr="00811747" w:rsidRDefault="00302909" w:rsidP="001702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strike/>
        </w:rPr>
      </w:pPr>
      <w:r w:rsidRPr="00811747">
        <w:rPr>
          <w:strike/>
        </w:rPr>
        <w:t>Výkonnostné scenáre pri odporúčanej dobe držby uvedenej v písm. d) bode i )</w:t>
      </w:r>
    </w:p>
    <w:p w14:paraId="26C11015" w14:textId="77777777" w:rsidR="00170280" w:rsidRPr="00170280" w:rsidRDefault="00170280" w:rsidP="001702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170280">
        <w:t>iii) celkové náklady PRIIP;</w:t>
      </w:r>
    </w:p>
    <w:p w14:paraId="5792B145" w14:textId="77777777" w:rsidR="00170280" w:rsidRPr="00170280" w:rsidRDefault="00170280" w:rsidP="001702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170280">
        <w:t>iv) odporúčané obdobie držby uvedené v písmene g) bode ii);</w:t>
      </w:r>
    </w:p>
    <w:p w14:paraId="7DDE4D71" w14:textId="39112E7C" w:rsidR="00170280" w:rsidRPr="00170280" w:rsidRDefault="00170280" w:rsidP="0017028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170280">
        <w:t xml:space="preserve">v) či PRIIP ponúka </w:t>
      </w:r>
      <w:r w:rsidR="00CA5494" w:rsidRPr="00CA5494">
        <w:rPr>
          <w:u w:val="single"/>
        </w:rPr>
        <w:t xml:space="preserve">alebo neposkytuje </w:t>
      </w:r>
      <w:r w:rsidR="00CA5494">
        <w:t xml:space="preserve">poistné plnenia uvedené v písmene c) bode iv) </w:t>
      </w:r>
      <w:r w:rsidR="00CA5494" w:rsidRPr="00CA5494">
        <w:rPr>
          <w:u w:val="single"/>
        </w:rPr>
        <w:t xml:space="preserve">a či PRIIP ponúka alebo neposkytuje finančné záruky </w:t>
      </w:r>
      <w:r w:rsidR="00CA5494">
        <w:t>.</w:t>
      </w:r>
    </w:p>
    <w:p w14:paraId="7618CE48" w14:textId="77777777" w:rsidR="00562A5E" w:rsidRPr="009C0AEF" w:rsidRDefault="00562A5E" w:rsidP="00FB5F99">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highlight w:val="yellow"/>
        </w:rPr>
      </w:pPr>
    </w:p>
    <w:p w14:paraId="0E032E70" w14:textId="77777777" w:rsidR="00FB5F99" w:rsidRDefault="00FB5F99" w:rsidP="00430108"/>
    <w:p w14:paraId="58CCE1FA" w14:textId="6A5837BF" w:rsidR="00F73FD6" w:rsidRPr="00F7513C" w:rsidRDefault="00953362" w:rsidP="00F7513C">
      <w:pPr>
        <w:rPr>
          <w:b/>
          <w:bCs/>
        </w:rPr>
      </w:pPr>
      <w:r>
        <w:rPr>
          <w:b/>
          <w:bCs/>
        </w:rPr>
        <w:t xml:space="preserve">„Ako je tento produkt environmentálne udržateľný“ (článok (8) ( </w:t>
      </w:r>
      <w:r w:rsidR="00F40A6E" w:rsidRPr="00F40A6E">
        <w:rPr>
          <w:b/>
          <w:bCs/>
        </w:rPr>
        <w:t>3) ( ga))</w:t>
      </w:r>
    </w:p>
    <w:p w14:paraId="492B057A" w14:textId="2EFC4D21" w:rsidR="00D82D52" w:rsidRDefault="00D82D52" w:rsidP="00D82D52">
      <w:pPr>
        <w:pStyle w:val="Odsekzoznamu"/>
        <w:rPr>
          <w:b/>
          <w:bCs/>
          <w:color w:val="4472C4" w:themeColor="accent1"/>
        </w:rPr>
      </w:pPr>
    </w:p>
    <w:p w14:paraId="6AD03641" w14:textId="381154BF" w:rsidR="00CB3C9E" w:rsidRDefault="00CB3C9E" w:rsidP="00CB3C9E">
      <w:r w:rsidRPr="00CA22DE">
        <w:t xml:space="preserve">Návrhom </w:t>
      </w:r>
      <w:r w:rsidR="0076727C">
        <w:t xml:space="preserve">sa zavádza nový informačný panel ESG pre PRIIP, na ktorom majú účastníci finančného trhu zverejniť predzmluvné informácie podľa nariadenia o zverejňovaní informácií o udržateľnom financovaní (SFDR), aby sa zdôraznili tieto informácie: (i ) minimálny podiel </w:t>
      </w:r>
      <w:r w:rsidR="00963C37">
        <w:t>investície PRIIP, ktorý je spojené s ekonomickými činnosťami, ktoré sa kvalifikujú ako environmentálne udržateľné v súlade s článkami 5 a 6 nariadenia o taxonómii, a (ii) očakávaná intenzita emisií skleníkových plynov (GHG) spojená s PRIIP podľa SFDR RTS.</w:t>
      </w:r>
    </w:p>
    <w:p w14:paraId="49C90FBB" w14:textId="77777777" w:rsidR="001B19D2" w:rsidRDefault="001B19D2" w:rsidP="004A7C46">
      <w:pPr>
        <w:rPr>
          <w:b/>
          <w:bCs/>
          <w:color w:val="4472C4" w:themeColor="accent1"/>
        </w:rPr>
      </w:pPr>
    </w:p>
    <w:p w14:paraId="30F34ED4" w14:textId="2FE1CD63" w:rsidR="005E1A6D" w:rsidRPr="005E1A6D" w:rsidRDefault="00F71F03" w:rsidP="005E1A6D">
      <w:r w:rsidRPr="006D5E44">
        <w:rPr>
          <w:rFonts w:cs="Frutiger LT Std 45 Light"/>
          <w:color w:val="000000"/>
          <w:szCs w:val="20"/>
        </w:rPr>
        <w:t xml:space="preserve">V </w:t>
      </w:r>
      <w:r>
        <w:t xml:space="preserve">návrhu sa nevysvetľuje dôvod výberu týchto ukazovateľov pred ostatnými. Zverejnenie očakávanej intenzity emisií skleníkových plynov je zmysluplnejšie a lepšie definované na úrovni subjektu, a nie na úrovni produktu. To znamená, že predzmluvný vzor SFDR nie je taký špecifický, pokiaľ ide o intenzitu emisií skleníkových plynov na úrovni produktu, a namiesto toho sa zameriava na iné aspekty. Očakávanú intenzitu emisií skleníkových </w:t>
      </w:r>
      <w:r>
        <w:lastRenderedPageBreak/>
        <w:t>plynov nie je jednoduché vypočítať na úrovni produktu a pre spotrebiteľov by bolo ťažké porozumieť týmto informáciám a dať ich do perspektívy.</w:t>
      </w:r>
    </w:p>
    <w:p w14:paraId="1C631848" w14:textId="77777777" w:rsidR="00FB6CB1" w:rsidRDefault="00FB6CB1" w:rsidP="004A7C46"/>
    <w:p w14:paraId="02F4077D" w14:textId="77777777" w:rsidR="00155E86" w:rsidRPr="00C1225A" w:rsidRDefault="00155E86" w:rsidP="00155E86">
      <w:pPr>
        <w:rPr>
          <w:strike/>
        </w:rPr>
      </w:pPr>
      <w:r w:rsidRPr="00C1225A">
        <w:rPr>
          <w:strike/>
        </w:rPr>
        <w:t>Návrh by preto mal byť v súlade s existujúcimi nariadeniami o ESG, najmä s IDD a MiFID II: Konkrétne by sa návrh mal orientovať na tri otázky týkajúce sa preferencie udržateľnosti (minimálny podiel udržateľných investícií, minimálny podiel investícií v súlade s taxonómiou zváženie nepriaznivých vplyvov). Tieto informácie by boli pre zákazníkov dôležité, zrozumiteľné a postačujúce.</w:t>
      </w:r>
    </w:p>
    <w:p w14:paraId="3D5F5ADE" w14:textId="77777777" w:rsidR="00155E86" w:rsidRDefault="00155E86" w:rsidP="004A7C46"/>
    <w:p w14:paraId="4A98EFD3" w14:textId="161714F5" w:rsidR="00FB6CB1" w:rsidRDefault="00FB6CB1" w:rsidP="004A7C46">
      <w:pPr>
        <w:rPr>
          <w:b/>
          <w:bCs/>
          <w:color w:val="4472C4" w:themeColor="accent1"/>
        </w:rPr>
      </w:pPr>
      <w:r>
        <w:t>Nie je tiež jasné, ako by sa nové sekcie zmestili do 3-stranového limitu PRIIPs KID, pretože krátka časť „upozornenie na porozumenie“ by bola vymazaná, ale pridali by sa nový informačný panel „Produkt na prvý pohľad“ a ESG. .</w:t>
      </w:r>
    </w:p>
    <w:p w14:paraId="2A47C95A" w14:textId="77777777" w:rsidR="00A7312D" w:rsidRDefault="00A7312D" w:rsidP="004A7C46">
      <w:pPr>
        <w:rPr>
          <w:b/>
          <w:bCs/>
          <w:color w:val="4472C4" w:themeColor="accent1"/>
        </w:rPr>
      </w:pPr>
    </w:p>
    <w:p w14:paraId="416D55B2" w14:textId="393C65AB" w:rsidR="001B19D2" w:rsidRDefault="007A74BD" w:rsidP="001B19D2">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1B19D2" w:rsidRPr="00923B59">
        <w:rPr>
          <w:rFonts w:cs="Times New Roman"/>
          <w:b/>
          <w:bCs/>
          <w:color w:val="auto"/>
          <w:kern w:val="32"/>
          <w:szCs w:val="17"/>
          <w:lang w:eastAsia="nl-NL"/>
        </w:rPr>
        <w:t>:</w:t>
      </w:r>
    </w:p>
    <w:p w14:paraId="1A7D628F" w14:textId="77777777" w:rsidR="001B19D2" w:rsidRDefault="001B19D2" w:rsidP="001B19D2">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3F64ADAE" w14:textId="0814081C" w:rsidR="003F4250" w:rsidRDefault="001B19D2" w:rsidP="003F425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003F4250">
        <w:t>Insurance Europe sa obáva, že informačný panel ESG zvýši preťaženie spotrebiteľov informáciami a neprinesie hmatateľné výhody, keďže šablóny zverejňovania sú už predpísané v SFDR.</w:t>
      </w:r>
    </w:p>
    <w:p w14:paraId="22F52A76" w14:textId="571A020C" w:rsidR="007271A5" w:rsidRPr="004A7C46" w:rsidRDefault="007271A5" w:rsidP="00F8295E">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b/>
          <w:bCs/>
          <w:color w:val="4472C4" w:themeColor="accent1"/>
        </w:rPr>
      </w:pPr>
    </w:p>
    <w:p w14:paraId="0527D5B1" w14:textId="0C81E14F" w:rsidR="0022634A" w:rsidRDefault="0022634A" w:rsidP="00B7357A">
      <w:pPr>
        <w:rPr>
          <w:b/>
          <w:bCs/>
          <w:color w:val="4472C4" w:themeColor="accent1"/>
        </w:rPr>
      </w:pPr>
    </w:p>
    <w:p w14:paraId="064915FE" w14:textId="77777777" w:rsidR="00324007" w:rsidRPr="000167DA" w:rsidRDefault="00324007" w:rsidP="00324007">
      <w:pPr>
        <w:rPr>
          <w:b/>
          <w:bCs/>
        </w:rPr>
      </w:pPr>
      <w:r w:rsidRPr="000167DA">
        <w:rPr>
          <w:b/>
          <w:bCs/>
        </w:rPr>
        <w:t>Limit 3 strany</w:t>
      </w:r>
    </w:p>
    <w:p w14:paraId="69D9F150" w14:textId="77777777" w:rsidR="0084362A" w:rsidRDefault="0084362A" w:rsidP="00324007"/>
    <w:p w14:paraId="3CDD6101" w14:textId="5AAAE9D8" w:rsidR="00324007" w:rsidRDefault="00FA61EE" w:rsidP="00324007">
      <w:r w:rsidRPr="00FA61EE">
        <w:t>Vzhľadom na dôležitosť stručnosti KID je potrebné zachovať limit 3 strán. Už teraz je však ťažké zmestiť obsah na 3 strany, keďže väčšina obsahu je povinná a Komisia teraz navrhuje pridať nové časti.</w:t>
      </w:r>
    </w:p>
    <w:p w14:paraId="6187EF59" w14:textId="77777777" w:rsidR="00AC0B50" w:rsidRDefault="00AC0B50" w:rsidP="00324007"/>
    <w:p w14:paraId="62DBE92C" w14:textId="271EF692" w:rsidR="00324007" w:rsidRDefault="00AC0B50" w:rsidP="00AC0B50">
      <w:r>
        <w:t>Treba poznamenať, že poistné produkty obsahujú viac informácií, pretože musia v KID popisovať investičnú časť aj poistnú časť. Treba tiež vziať do úvahy, že niektoré jazyky, ako napríklad nemčina, majú dlhšie slová ako iné.</w:t>
      </w:r>
    </w:p>
    <w:p w14:paraId="525788A1" w14:textId="77777777" w:rsidR="00AC0B50" w:rsidRPr="00AC0B50" w:rsidRDefault="00AC0B50" w:rsidP="00AC0B50">
      <w:pPr>
        <w:rPr>
          <w:b/>
          <w:bCs/>
          <w:color w:val="4472C4" w:themeColor="accent1"/>
        </w:rPr>
      </w:pPr>
    </w:p>
    <w:p w14:paraId="298D2B0E" w14:textId="77777777" w:rsidR="00324007" w:rsidRDefault="00324007" w:rsidP="00324007">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Pr="00923B59">
        <w:rPr>
          <w:rFonts w:cs="Times New Roman"/>
          <w:b/>
          <w:bCs/>
          <w:color w:val="auto"/>
          <w:kern w:val="32"/>
          <w:szCs w:val="17"/>
          <w:lang w:eastAsia="nl-NL"/>
        </w:rPr>
        <w:t>:</w:t>
      </w:r>
    </w:p>
    <w:p w14:paraId="27B98B68" w14:textId="77777777" w:rsidR="00324007" w:rsidRDefault="00324007" w:rsidP="00324007">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43AD1F1E" w14:textId="04909481" w:rsidR="00A82123" w:rsidRDefault="00A82123" w:rsidP="00A82123">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ascii="Calibri" w:hAnsi="Calibri" w:cs="Calibri"/>
          <w:b/>
          <w:bCs/>
          <w:color w:val="auto"/>
          <w:kern w:val="32"/>
          <w:szCs w:val="17"/>
          <w:lang w:eastAsia="nl-NL"/>
        </w:rPr>
      </w:pPr>
      <w:r w:rsidRPr="00F53D71">
        <w:rPr>
          <w:rFonts w:ascii="Calibri" w:hAnsi="Calibri" w:cs="Calibri"/>
          <w:b/>
          <w:bCs/>
          <w:color w:val="auto"/>
          <w:kern w:val="32"/>
          <w:szCs w:val="17"/>
          <w:lang w:eastAsia="nl-NL"/>
        </w:rPr>
        <w:t xml:space="preserve">→ </w:t>
      </w:r>
      <w:r>
        <w:t>Je kľúčové zachovať limit 3 strán, pretože spotrebitelia sú už zahltení informáciami.</w:t>
      </w:r>
    </w:p>
    <w:p w14:paraId="1C4E1E81" w14:textId="77777777" w:rsidR="00A82123" w:rsidRDefault="00A82123" w:rsidP="00324007">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ascii="Calibri" w:hAnsi="Calibri" w:cs="Calibri"/>
          <w:b/>
          <w:bCs/>
          <w:color w:val="auto"/>
          <w:kern w:val="32"/>
          <w:szCs w:val="17"/>
          <w:lang w:eastAsia="nl-NL"/>
        </w:rPr>
      </w:pPr>
    </w:p>
    <w:p w14:paraId="21845F8E" w14:textId="32F790F8" w:rsidR="00A1578A" w:rsidRPr="00A467E0" w:rsidRDefault="00324007" w:rsidP="00324007">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0005475A">
        <w:t>Mala by sa dodržiavať zásada „one in one out“: ak sa do KID zavedú nové oddiely, ostatné menej dôležité prvky by sa mali vypustiť. Napríklad namiesto až 30 čísel o nákladoch by sa mal KID zamerať na to, čo je pre spotrebiteľa dôležité: celkové náklady na konci odporúčaného obdobia držby (RHP). Zároveň sa niektoré informácie v povinných naratívoch opakujú, napríklad odporúčaná doba držby a investovaná suma sa opakujú v celom dokumente.</w:t>
      </w:r>
    </w:p>
    <w:p w14:paraId="1CE35169" w14:textId="77777777" w:rsidR="006C29EB" w:rsidRPr="00D565C1" w:rsidRDefault="006C29EB" w:rsidP="00324007">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p>
    <w:p w14:paraId="41C7F601" w14:textId="7DC57E49" w:rsidR="00324007" w:rsidRPr="00B7357A" w:rsidRDefault="00324007" w:rsidP="00B7357A">
      <w:pPr>
        <w:rPr>
          <w:b/>
          <w:bCs/>
          <w:color w:val="4472C4" w:themeColor="accent1"/>
        </w:rPr>
      </w:pPr>
    </w:p>
    <w:p w14:paraId="2B94D891" w14:textId="0EF60D17" w:rsidR="00177DF2" w:rsidRDefault="00177DF2" w:rsidP="00177DF2">
      <w:pPr>
        <w:rPr>
          <w:b/>
          <w:bCs/>
        </w:rPr>
      </w:pPr>
      <w:r w:rsidRPr="00B0149C">
        <w:rPr>
          <w:b/>
          <w:bCs/>
        </w:rPr>
        <w:t>Personalizácia</w:t>
      </w:r>
      <w:r w:rsidRPr="00B93F26">
        <w:t xml:space="preserve"> </w:t>
      </w:r>
      <w:r w:rsidRPr="00B93F26">
        <w:rPr>
          <w:b/>
          <w:bCs/>
        </w:rPr>
        <w:t>(článok 14 ods. 2) a čl. 3 o MOP</w:t>
      </w:r>
    </w:p>
    <w:p w14:paraId="0844FC56" w14:textId="77777777" w:rsidR="00177DF2" w:rsidRDefault="00177DF2" w:rsidP="00177DF2">
      <w:pPr>
        <w:rPr>
          <w:b/>
          <w:bCs/>
        </w:rPr>
      </w:pPr>
    </w:p>
    <w:p w14:paraId="5991118F" w14:textId="5FE49914" w:rsidR="00177DF2" w:rsidRDefault="00530D98" w:rsidP="00177DF2">
      <w:r>
        <w:t xml:space="preserve">Insurance Europe by chcela zdôrazniť, že </w:t>
      </w:r>
      <w:r w:rsidRPr="008C2523">
        <w:t>KID bol navrhnutý s jasným cieľom byť štandardizovaným dokumentom, ktorý nie je personalizovaný a umožňuje porovnávanie rôznych produktov. Preto by nemal obsahovať personalizované prvky. Personalizácia PRIIPs KID sa v návrhu uvádza ako voliteľná, ale existuje riziko, že normatívnosť a očakávania personalizácie sa časom zvýšia, čo bude mať vážne dôsledky na náklady na dodržiavanie predpisov, najmä pre menšie subjekty.</w:t>
      </w:r>
    </w:p>
    <w:p w14:paraId="2D5B7C22" w14:textId="33390BE1" w:rsidR="00177DF2" w:rsidRDefault="00177DF2" w:rsidP="00177DF2"/>
    <w:p w14:paraId="29B5EE62" w14:textId="145FC537" w:rsidR="00177DF2" w:rsidRDefault="00BC4CA5" w:rsidP="00177DF2">
      <w:r>
        <w:t>Existujú objektívne limity na premenu nevyhnutne generických informácií na nástroj šitý na mieru, ako je súdržnosť medzi štandardizovanými KID zverejnenými na webovej stránke výrobcu a prispôsobeným KID, znásobenie KID a riziká súladu s aktualizáciou niekoľkých personalizovaných verzie toho istého KID.</w:t>
      </w:r>
    </w:p>
    <w:p w14:paraId="7662C764" w14:textId="77777777" w:rsidR="00807051" w:rsidRDefault="00807051" w:rsidP="00177DF2"/>
    <w:p w14:paraId="2195AAF6" w14:textId="77777777" w:rsidR="003B5BD7" w:rsidRDefault="003B5BD7" w:rsidP="00DA3142">
      <w:r>
        <w:t>Okrem toho metodika v RTS nie je navrhnutá na personalizáciu. Metodika výpočtu výkonnostných scenárov je založená na vysoko sofistikovaných metódach. Z tejto metodiky sú odvodené náklady a ukazovateľ rizika.</w:t>
      </w:r>
    </w:p>
    <w:p w14:paraId="62686501" w14:textId="77777777" w:rsidR="003B5BD7" w:rsidRDefault="003B5BD7" w:rsidP="00177DF2"/>
    <w:p w14:paraId="29E9076B" w14:textId="6E12F471" w:rsidR="00177DF2" w:rsidRDefault="007A74BD" w:rsidP="00177DF2">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lastRenderedPageBreak/>
        <w:t xml:space="preserve">Odporúčania </w:t>
      </w:r>
      <w:r w:rsidR="00177DF2" w:rsidRPr="00923B59">
        <w:rPr>
          <w:rFonts w:cs="Times New Roman"/>
          <w:b/>
          <w:bCs/>
          <w:color w:val="auto"/>
          <w:kern w:val="32"/>
          <w:szCs w:val="17"/>
          <w:lang w:eastAsia="nl-NL"/>
        </w:rPr>
        <w:t>:</w:t>
      </w:r>
    </w:p>
    <w:p w14:paraId="6BCE5FC5" w14:textId="77777777" w:rsidR="00177DF2" w:rsidRDefault="00177DF2" w:rsidP="00177DF2">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673D08D7" w14:textId="1BCD7122" w:rsidR="00177DF2" w:rsidRPr="008C2523" w:rsidRDefault="00177DF2" w:rsidP="00177DF2">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B842CA">
        <w:t>Je potrebné zachovať všeobecný charakter PRIIPs KID. Nemalo by sa podporovať používanie „interaktívneho nástroja, ktorý umožňuje retailovému investorovi vytvárať personalizované KID za určitých podmienok“.</w:t>
      </w:r>
    </w:p>
    <w:p w14:paraId="6E91BAD1" w14:textId="77777777" w:rsidR="00177DF2" w:rsidRDefault="00177DF2" w:rsidP="00F7513C">
      <w:pPr>
        <w:rPr>
          <w:b/>
          <w:bCs/>
          <w:color w:val="4472C4" w:themeColor="accent1"/>
        </w:rPr>
      </w:pPr>
    </w:p>
    <w:p w14:paraId="2A94955C" w14:textId="315D97B5" w:rsidR="0022634A" w:rsidRPr="00F7513C" w:rsidRDefault="0022634A" w:rsidP="00F7513C">
      <w:pPr>
        <w:rPr>
          <w:b/>
          <w:bCs/>
          <w:color w:val="4472C4" w:themeColor="accent1"/>
        </w:rPr>
      </w:pPr>
      <w:r w:rsidRPr="00F7513C">
        <w:rPr>
          <w:b/>
          <w:bCs/>
          <w:color w:val="4472C4" w:themeColor="accent1"/>
        </w:rPr>
        <w:t>Časová os</w:t>
      </w:r>
    </w:p>
    <w:p w14:paraId="388D0705" w14:textId="628D5C67" w:rsidR="00996711" w:rsidRDefault="00996711" w:rsidP="00996711">
      <w:pPr>
        <w:rPr>
          <w:b/>
          <w:bCs/>
          <w:color w:val="4472C4" w:themeColor="accent1"/>
        </w:rPr>
      </w:pPr>
    </w:p>
    <w:p w14:paraId="3450A841" w14:textId="057E71FB" w:rsidR="00996711" w:rsidRDefault="00996711" w:rsidP="00996711">
      <w:r w:rsidRPr="00F5072A">
        <w:t>EK navrhuje dátum aplikácie 18 mesiacov po nadobudnutí účinnosti. Vzhľadom na to, že ESA majú 12 mesiacov na vývoj RTS, zostáva priemyslu len šesť mesiacov na implementáciu. Veľmi krátka časová os zvyšuje riziko nedostatočného času na vypracovanie opatrení úrovne 2 a úrovne 3.</w:t>
      </w:r>
    </w:p>
    <w:p w14:paraId="038E15CF" w14:textId="77777777" w:rsidR="007716F6" w:rsidRDefault="007716F6" w:rsidP="00996711"/>
    <w:p w14:paraId="390F11AB" w14:textId="655DAE48" w:rsidR="006844B1" w:rsidRDefault="006844B1" w:rsidP="006844B1">
      <w:r>
        <w:t>V skutočnosti boli z dôvodu nerealistického časového plánu rýchle riešenia na odloženie uplatňovania ustanovení PRIIP potrebné už v minulosti. Je nanajvýš dôležité zabezpečiť, aby bol na úrovni 1 jasne stanovený vhodný termín na podanie žiadosti.</w:t>
      </w:r>
    </w:p>
    <w:p w14:paraId="1225A17E" w14:textId="77777777" w:rsidR="006844B1" w:rsidRDefault="006844B1" w:rsidP="006844B1"/>
    <w:p w14:paraId="2D66BAC2" w14:textId="05DD31A2" w:rsidR="006844B1" w:rsidRPr="00626D5C" w:rsidRDefault="006844B1" w:rsidP="006844B1">
      <w:pPr>
        <w:rPr>
          <w:strike/>
        </w:rPr>
      </w:pPr>
      <w:r w:rsidRPr="00626D5C">
        <w:rPr>
          <w:strike/>
        </w:rPr>
        <w:t xml:space="preserve">Okrem toho, tak ako v minulosti, nové ustanovenia by mali nadobudnúť účinnosť 1. </w:t>
      </w:r>
      <w:r w:rsidRPr="00626D5C">
        <w:rPr>
          <w:strike/>
          <w:vertAlign w:val="superscript"/>
        </w:rPr>
        <w:t xml:space="preserve">januára </w:t>
      </w:r>
      <w:r w:rsidRPr="00626D5C">
        <w:rPr>
          <w:strike/>
        </w:rPr>
        <w:t>, aby sa predišlo zbytočným medziročným zmenám.</w:t>
      </w:r>
    </w:p>
    <w:p w14:paraId="5BAA0053" w14:textId="77777777" w:rsidR="006844B1" w:rsidRDefault="006844B1" w:rsidP="00996711"/>
    <w:p w14:paraId="3C90029C" w14:textId="484EAE43" w:rsidR="007716F6" w:rsidRDefault="007A74BD" w:rsidP="007716F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007716F6" w:rsidRPr="00923B59">
        <w:rPr>
          <w:rFonts w:cs="Times New Roman"/>
          <w:b/>
          <w:bCs/>
          <w:color w:val="auto"/>
          <w:kern w:val="32"/>
          <w:szCs w:val="17"/>
          <w:lang w:eastAsia="nl-NL"/>
        </w:rPr>
        <w:t>:</w:t>
      </w:r>
    </w:p>
    <w:p w14:paraId="7BC0FA6D" w14:textId="77777777" w:rsidR="007716F6" w:rsidRDefault="007716F6" w:rsidP="007716F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6997D1D3" w14:textId="02E9482A" w:rsidR="00DE5A64" w:rsidRDefault="007716F6" w:rsidP="007716F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Pr="00B842CA">
        <w:t>Výrobcovia potrebujú aspoň 12 mesiacov od uverejnenia všetkých opatrení na úrovni 1 a 2 v Úradnom vestníku EÚ, aby mohli zaviesť akékoľvek požadované zmeny vzhľadom na značné súlad a prevádzkové úsilie, ktoré sa od priemyslu vyžaduje.</w:t>
      </w:r>
      <w:r w:rsidR="00DC32F1" w:rsidRPr="00DE5A64" w:rsidDel="00DC32F1">
        <w:t xml:space="preserve"> </w:t>
      </w:r>
    </w:p>
    <w:p w14:paraId="7950EC2A" w14:textId="19FA862F" w:rsidR="007716F6" w:rsidRDefault="007716F6" w:rsidP="007716F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t>Keďže opatrenia úrovne 3 slúžia na správnu implementáciu navrhovaných opatrení, musia byť k dispozícii rok pred konečným termínom implementácie rámca.</w:t>
      </w:r>
    </w:p>
    <w:p w14:paraId="3080FA0D" w14:textId="68B10E78" w:rsidR="007716F6" w:rsidRPr="00B06346" w:rsidRDefault="007716F6" w:rsidP="007716F6">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sidRPr="00F53D71">
        <w:rPr>
          <w:rFonts w:ascii="Calibri" w:hAnsi="Calibri" w:cs="Calibri"/>
          <w:b/>
          <w:bCs/>
          <w:color w:val="auto"/>
          <w:kern w:val="32"/>
          <w:szCs w:val="17"/>
          <w:lang w:eastAsia="nl-NL"/>
        </w:rPr>
        <w:t xml:space="preserve">→ </w:t>
      </w:r>
      <w:r w:rsidR="000F2EB1" w:rsidRPr="00790CEE">
        <w:rPr>
          <w:rFonts w:cs="Times New Roman"/>
          <w:color w:val="auto"/>
          <w:kern w:val="32"/>
          <w:szCs w:val="17"/>
          <w:lang w:eastAsia="nl-NL"/>
        </w:rPr>
        <w:t>Dynamický termín v legislatívnom texte úrovne 1 by bol praktickým riešením na zabezpečenie toho, aby časový plán fungoval pre členské štáty a poisťovne.</w:t>
      </w:r>
    </w:p>
    <w:p w14:paraId="6EE3BFA3" w14:textId="77777777" w:rsidR="00C85A27" w:rsidRDefault="00C85A27" w:rsidP="00F5072A"/>
    <w:p w14:paraId="7848BC1C" w14:textId="77777777" w:rsidR="00604728" w:rsidRDefault="00604728" w:rsidP="00604728">
      <w:r>
        <w:t>Ďalšie body pozornosti:</w:t>
      </w:r>
    </w:p>
    <w:p w14:paraId="19656739" w14:textId="77777777" w:rsidR="00604728" w:rsidRDefault="00604728" w:rsidP="00604728"/>
    <w:p w14:paraId="437995C6" w14:textId="77777777" w:rsidR="00604728" w:rsidRPr="005A635A" w:rsidRDefault="00604728" w:rsidP="00604728">
      <w:pPr>
        <w:rPr>
          <w:b/>
          <w:bCs/>
        </w:rPr>
      </w:pPr>
      <w:r w:rsidRPr="005A635A">
        <w:rPr>
          <w:b/>
          <w:bCs/>
        </w:rPr>
        <w:t>Vrstvenie (článok (14) (4)</w:t>
      </w:r>
    </w:p>
    <w:p w14:paraId="2A73B89A" w14:textId="77777777" w:rsidR="00604728" w:rsidRDefault="00604728" w:rsidP="00604728"/>
    <w:p w14:paraId="347DC676" w14:textId="77777777" w:rsidR="00604728" w:rsidRDefault="00604728" w:rsidP="00604728">
      <w:r>
        <w:t>Vrstvenie PRIIPs KID je v návrhu uvedené ako možnosť. Jasne sa uvádza, že informačný panel uvedený v článku 8 ods. 3 písm. aa) sa nachádza v prvej vrstve.</w:t>
      </w:r>
    </w:p>
    <w:p w14:paraId="58336087" w14:textId="77777777" w:rsidR="00604728" w:rsidRDefault="00604728" w:rsidP="00604728"/>
    <w:p w14:paraId="460AF5B5" w14:textId="338B40A5" w:rsidR="00604728" w:rsidRDefault="00604728" w:rsidP="00604728">
      <w:r>
        <w:t xml:space="preserve">Nie je však jasné, </w:t>
      </w:r>
      <w:r w:rsidR="007954B2">
        <w:t>či sa do prvej vrstvy okrem prístrojovej dosky majú zahrnúť aj iné informácie. Ak nie je jasné, ktoré informácie sa môžu presunúť do nasledujúcich vrstiev, existuje riziko, že výrobcovia zahrnú všetky informácie do prvej vrstvy, aby nič „nezakryli“.</w:t>
      </w:r>
    </w:p>
    <w:p w14:paraId="2D80F25A" w14:textId="77777777" w:rsidR="00604728" w:rsidRDefault="00604728" w:rsidP="00604728"/>
    <w:p w14:paraId="697B5DDF" w14:textId="786EA9C0" w:rsidR="005642A0" w:rsidRDefault="005642A0" w:rsidP="005642A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r>
        <w:rPr>
          <w:rFonts w:cs="Times New Roman"/>
          <w:b/>
          <w:color w:val="auto"/>
          <w:kern w:val="32"/>
          <w:szCs w:val="17"/>
          <w:lang w:eastAsia="nl-NL"/>
        </w:rPr>
        <w:t xml:space="preserve">Odporúčania </w:t>
      </w:r>
      <w:r w:rsidRPr="00923B59">
        <w:rPr>
          <w:rFonts w:cs="Times New Roman"/>
          <w:b/>
          <w:bCs/>
          <w:color w:val="auto"/>
          <w:kern w:val="32"/>
          <w:szCs w:val="17"/>
          <w:lang w:eastAsia="nl-NL"/>
        </w:rPr>
        <w:t>:</w:t>
      </w:r>
    </w:p>
    <w:p w14:paraId="3CCD1B0A" w14:textId="77777777" w:rsidR="005642A0" w:rsidRDefault="005642A0" w:rsidP="005642A0">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502" w:hanging="360"/>
        <w:rPr>
          <w:rFonts w:cs="Times New Roman"/>
          <w:b/>
          <w:bCs/>
          <w:color w:val="auto"/>
          <w:kern w:val="32"/>
          <w:szCs w:val="17"/>
          <w:lang w:eastAsia="nl-NL"/>
        </w:rPr>
      </w:pPr>
    </w:p>
    <w:p w14:paraId="58FB5559" w14:textId="6F13358C" w:rsidR="00BD43E2" w:rsidRDefault="005642A0" w:rsidP="00BD43E2">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pPr>
      <w:r w:rsidRPr="00F53D71">
        <w:rPr>
          <w:rFonts w:ascii="Calibri" w:hAnsi="Calibri" w:cs="Calibri"/>
          <w:b/>
          <w:bCs/>
          <w:color w:val="auto"/>
          <w:kern w:val="32"/>
          <w:szCs w:val="17"/>
          <w:lang w:eastAsia="nl-NL"/>
        </w:rPr>
        <w:t xml:space="preserve">→ </w:t>
      </w:r>
      <w:r w:rsidR="00BD43E2">
        <w:t>Čl. 14 ods. 2 je potrebné preformulovať takto: dokument s kľúčovými informáciami môže byť predložený vo viacvrstvovom formáte. V takom prípade sa v prvej vrstve objaví informačný panel uvedený v článku 8 ods. 3 písm. aa). Všetky ostatné informačné položky je možné presunúť do nasledujúcich vrstiev.</w:t>
      </w:r>
    </w:p>
    <w:p w14:paraId="2025F48C" w14:textId="1E4E0B56" w:rsidR="005642A0" w:rsidRPr="00B06346" w:rsidRDefault="004D3F5C" w:rsidP="00BD43E2">
      <w:pPr>
        <w:pStyle w:val="CEABullet-Level1"/>
        <w:pBdr>
          <w:top w:val="single" w:sz="4" w:space="1" w:color="auto"/>
          <w:left w:val="single" w:sz="4" w:space="4" w:color="auto"/>
          <w:bottom w:val="single" w:sz="4" w:space="1" w:color="auto"/>
          <w:right w:val="single" w:sz="4" w:space="4" w:color="auto"/>
        </w:pBdr>
        <w:shd w:val="clear" w:color="auto" w:fill="DEEAF6" w:themeFill="accent5" w:themeFillTint="33"/>
        <w:ind w:left="142"/>
        <w:rPr>
          <w:rFonts w:cs="Times New Roman"/>
          <w:color w:val="auto"/>
          <w:kern w:val="32"/>
          <w:szCs w:val="17"/>
          <w:lang w:eastAsia="nl-NL"/>
        </w:rPr>
      </w:pPr>
      <w:r>
        <w:rPr>
          <w:rFonts w:ascii="Calibri" w:hAnsi="Calibri" w:cs="Calibri"/>
          <w:b/>
          <w:bCs/>
          <w:color w:val="auto"/>
          <w:kern w:val="32"/>
          <w:szCs w:val="17"/>
          <w:lang w:eastAsia="nl-NL"/>
        </w:rPr>
        <w:t xml:space="preserve">→ </w:t>
      </w:r>
      <w:r>
        <w:t>Posledná veta článku 14 ods. 6 sa musí vypustiť, pretože nie je jasné, aký má zmysel poskytnúť retailovým investorom celú históriu KID.</w:t>
      </w:r>
    </w:p>
    <w:p w14:paraId="3D09BCA5" w14:textId="77777777" w:rsidR="00604728" w:rsidRDefault="00604728" w:rsidP="00F5072A"/>
    <w:p w14:paraId="1FFB128E" w14:textId="509D18A1" w:rsidR="00C85A27" w:rsidRDefault="00C85A27" w:rsidP="00C85A27">
      <w:pPr>
        <w:pStyle w:val="Nadpis1"/>
        <w:numPr>
          <w:ilvl w:val="0"/>
          <w:numId w:val="0"/>
        </w:numPr>
        <w:ind w:left="360" w:hanging="360"/>
        <w:rPr>
          <w:color w:val="000000" w:themeColor="text1"/>
        </w:rPr>
      </w:pPr>
      <w:r>
        <w:rPr>
          <w:color w:val="000000" w:themeColor="text1"/>
        </w:rPr>
        <w:t>Revízia KID (článok 10 ods. 2 písm. b))</w:t>
      </w:r>
    </w:p>
    <w:p w14:paraId="7E03A01B" w14:textId="77777777" w:rsidR="00C85A27" w:rsidRPr="00783DE5" w:rsidRDefault="00C85A27" w:rsidP="00C85A27"/>
    <w:p w14:paraId="68AE035C" w14:textId="203570AD" w:rsidR="008F7731" w:rsidRDefault="008F7731" w:rsidP="00322A48">
      <w:r>
        <w:t xml:space="preserve">Nové ustanovenie o revízii KID „rozlišovanie medzi PRIIP, ktoré sú stále k dispozícii retailovým investorom, a PRIIP, ktoré už nie sú dostupné“ nie je jasné a potenciálne dôsledky vymedzenia pojmu „sprístupnené“ nie sú </w:t>
      </w:r>
      <w:r>
        <w:lastRenderedPageBreak/>
        <w:t>analyzované. v hodnotení vplyvu ES. KID je predzmluvný dokument. Ak sa PRIIP aktívne nepredáva retailovým investorom, aktualizácia KID by sa už nemala vyžadovať.</w:t>
      </w:r>
    </w:p>
    <w:p w14:paraId="19D0657A" w14:textId="77777777" w:rsidR="00671420" w:rsidRDefault="00671420" w:rsidP="00F5072A"/>
    <w:p w14:paraId="234FCA05" w14:textId="51943AF5" w:rsidR="00316C64" w:rsidRDefault="00B2221A" w:rsidP="00316C64">
      <w:pPr>
        <w:pStyle w:val="Nadpis1"/>
        <w:numPr>
          <w:ilvl w:val="0"/>
          <w:numId w:val="0"/>
        </w:numPr>
        <w:ind w:left="360" w:hanging="360"/>
        <w:rPr>
          <w:color w:val="000000" w:themeColor="text1"/>
        </w:rPr>
      </w:pPr>
      <w:r>
        <w:rPr>
          <w:color w:val="000000" w:themeColor="text1"/>
        </w:rPr>
        <w:t>Odstránenie výstrahy o porozumení (článok 8 ods. 3 písm. b))</w:t>
      </w:r>
    </w:p>
    <w:p w14:paraId="29848083" w14:textId="77777777" w:rsidR="00316C64" w:rsidRDefault="00316C64" w:rsidP="00F5072A"/>
    <w:p w14:paraId="465F2F22" w14:textId="0CE7F7DD" w:rsidR="00316C64" w:rsidRPr="00EE482C" w:rsidRDefault="00C2190D" w:rsidP="00C2190D">
      <w:pPr>
        <w:rPr>
          <w:color w:val="4472C4" w:themeColor="accent1"/>
        </w:rPr>
      </w:pPr>
      <w:r>
        <w:rPr>
          <w:color w:val="4472C4" w:themeColor="accent1"/>
        </w:rPr>
        <w:t xml:space="preserve">Vypustenie časti „upozornenie na porozumenie“ je vítané. Namiesto toho je z pohľadu zákazníka relevantná úroveň rizika produktov, ktorá je uvedená v SRI </w:t>
      </w:r>
      <w:r w:rsidR="00316C64">
        <w:t>.</w:t>
      </w:r>
    </w:p>
    <w:p w14:paraId="133D8398" w14:textId="77777777" w:rsidR="00316C64" w:rsidRDefault="00316C64" w:rsidP="00F5072A"/>
    <w:p w14:paraId="617BAF3B" w14:textId="77777777" w:rsidR="00DA1975" w:rsidRPr="00EE482C" w:rsidRDefault="00DA1975" w:rsidP="00DA1975">
      <w:pPr>
        <w:jc w:val="left"/>
        <w:rPr>
          <w:b/>
          <w:bCs/>
          <w:color w:val="4472C4" w:themeColor="accent1"/>
        </w:rPr>
      </w:pPr>
      <w:r w:rsidRPr="00EE482C">
        <w:rPr>
          <w:b/>
          <w:bCs/>
          <w:color w:val="4472C4" w:themeColor="accent1"/>
        </w:rPr>
        <w:t>Rozsah zmien</w:t>
      </w:r>
    </w:p>
    <w:p w14:paraId="60FE60BE" w14:textId="77777777" w:rsidR="00DA1975" w:rsidRDefault="00DA1975" w:rsidP="00DA1975">
      <w:pPr>
        <w:jc w:val="left"/>
      </w:pPr>
    </w:p>
    <w:p w14:paraId="19D251F6" w14:textId="77777777" w:rsidR="00DA1975" w:rsidRDefault="00DA1975" w:rsidP="00DA1975">
      <w:r>
        <w:t>Nové nariadenie o PRIIPs zavádza niekoľko zmien do textu úrovne 1: rozsah, MOP, dashboard, informácie o funkciách ESG, štandardne digitálne atď. Pre niektoré z nich sú potrebné zmeny na úrovni 2.</w:t>
      </w:r>
    </w:p>
    <w:p w14:paraId="349F044A" w14:textId="77777777" w:rsidR="00DA1975" w:rsidRDefault="00DA1975" w:rsidP="00DA1975"/>
    <w:p w14:paraId="53744E05" w14:textId="77777777" w:rsidR="00DA1975" w:rsidRDefault="00DA1975" w:rsidP="00DA1975">
      <w:r w:rsidRPr="00B11A09">
        <w:rPr>
          <w:strike/>
        </w:rPr>
        <w:t xml:space="preserve">Mnohé zo zmien </w:t>
      </w:r>
      <w:r>
        <w:t xml:space="preserve">však možno vykonať iba prostredníctvom zmeny úrovne 2. </w:t>
      </w:r>
      <w:r w:rsidRPr="00B11A09">
        <w:t>splnomocnenie v čl. 5, aby ESA predložili revidovanú úroveň 2, je príliš všeobecný. Je potrebné objasnenie, aby sa preskúmanie úrovne 2 obmedzilo na cielené zmeny, ktoré sú nevyhnutné podľa revidovanej úrovne 1.</w:t>
      </w:r>
    </w:p>
    <w:p w14:paraId="2FE1E611" w14:textId="77777777" w:rsidR="00DA1975" w:rsidRDefault="00DA1975" w:rsidP="00DA1975"/>
    <w:tbl>
      <w:tblPr>
        <w:tblStyle w:val="Mriekatabuky"/>
        <w:tblW w:w="0" w:type="auto"/>
        <w:tblLook w:val="04A0" w:firstRow="1" w:lastRow="0" w:firstColumn="1" w:lastColumn="0" w:noHBand="0" w:noVBand="1"/>
      </w:tblPr>
      <w:tblGrid>
        <w:gridCol w:w="9577"/>
      </w:tblGrid>
      <w:tr w:rsidR="00DA1975" w14:paraId="4383DBE2" w14:textId="77777777">
        <w:tc>
          <w:tcPr>
            <w:tcW w:w="9577" w:type="dxa"/>
          </w:tcPr>
          <w:p w14:paraId="0843E243" w14:textId="77777777" w:rsidR="00DA1975" w:rsidRPr="00425D55" w:rsidRDefault="00DA1975">
            <w:pPr>
              <w:rPr>
                <w:strike/>
              </w:rPr>
            </w:pPr>
            <w:r w:rsidRPr="00425D55">
              <w:rPr>
                <w:strike/>
              </w:rPr>
              <w:t>Zmeny úrovne 1 by sa mali obmedziť len na témy, kde je potrebná zmena nariadenia. Týka sa to štandardného digitálneho prenosu PRIIPs KID a rozsahu.</w:t>
            </w:r>
          </w:p>
          <w:p w14:paraId="2F4BCDC7" w14:textId="77777777" w:rsidR="00DA1975" w:rsidRPr="00425D55" w:rsidRDefault="00DA1975">
            <w:pPr>
              <w:rPr>
                <w:strike/>
              </w:rPr>
            </w:pPr>
          </w:p>
          <w:p w14:paraId="0A220FEE" w14:textId="77777777" w:rsidR="00DA1975" w:rsidRPr="00425D55" w:rsidRDefault="00DA1975">
            <w:pPr>
              <w:rPr>
                <w:strike/>
              </w:rPr>
            </w:pPr>
            <w:r w:rsidRPr="00425D55">
              <w:rPr>
                <w:strike/>
              </w:rPr>
              <w:t>Všetky ostatné zmeny, ako napríklad zavedenie dashboardu ako novej sekcie, obsah informácií ESG, zastúpenie MOPs, si nevyžadujú zmenu samotného nariadenia PRIIPs a možno ich dosiahnuť prostredníctvom cielených zmien na úrovni 2.</w:t>
            </w:r>
          </w:p>
          <w:p w14:paraId="57C9DF9F" w14:textId="77777777" w:rsidR="00DA1975" w:rsidRPr="00425D55" w:rsidRDefault="00DA1975">
            <w:pPr>
              <w:rPr>
                <w:strike/>
              </w:rPr>
            </w:pPr>
          </w:p>
          <w:p w14:paraId="7694BF82" w14:textId="77777777" w:rsidR="00DA1975" w:rsidRDefault="00DA1975">
            <w:r w:rsidRPr="00425D55">
              <w:rPr>
                <w:strike/>
              </w:rPr>
              <w:t>Okrem toho by sa malo pridať nové odôvodnenie, ktoré obmedzuje právomoc EOD na úrovni 2 na nové zmeny namiesto použitia všeobecného splnomocnenia v článku 2 ods. 5 o celom obsahu PRIIPs KID.</w:t>
            </w:r>
            <w:r>
              <w:t xml:space="preserve"> </w:t>
            </w:r>
          </w:p>
        </w:tc>
      </w:tr>
    </w:tbl>
    <w:p w14:paraId="62D0CAE7" w14:textId="77777777" w:rsidR="00DA1975" w:rsidRDefault="00DA1975" w:rsidP="00F5072A"/>
    <w:p w14:paraId="5CD4150C" w14:textId="48C8017B" w:rsidR="00BD43E2" w:rsidRDefault="00BD43E2" w:rsidP="00BD43E2">
      <w:pPr>
        <w:pStyle w:val="Nadpis1"/>
        <w:numPr>
          <w:ilvl w:val="0"/>
          <w:numId w:val="0"/>
        </w:numPr>
        <w:ind w:left="360" w:hanging="360"/>
        <w:rPr>
          <w:color w:val="000000" w:themeColor="text1"/>
        </w:rPr>
      </w:pPr>
      <w:r>
        <w:rPr>
          <w:color w:val="000000" w:themeColor="text1"/>
        </w:rPr>
        <w:t>Hodnotenie vplyvu</w:t>
      </w:r>
    </w:p>
    <w:p w14:paraId="72532233" w14:textId="77777777" w:rsidR="00C76AAE" w:rsidRDefault="00C76AAE" w:rsidP="00F5072A"/>
    <w:p w14:paraId="66CC4BFD" w14:textId="5A7DF086" w:rsidR="00C76AAE" w:rsidRDefault="00C76AAE" w:rsidP="00C94A82">
      <w:pPr>
        <w:pStyle w:val="CEABullet-Level1"/>
      </w:pPr>
      <w:r w:rsidRPr="00BD43E2">
        <w:t>Napokon, posúdenie vplyvu neposkytuje pevný základ na odôvodnenie zmien navrhnutých Komisiou.</w:t>
      </w:r>
    </w:p>
    <w:sectPr w:rsidR="00C76AAE">
      <w:headerReference w:type="default" r:id="rId20"/>
      <w:footerReference w:type="default" r:id="rId21"/>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2B37" w14:textId="77777777" w:rsidR="00667449" w:rsidRDefault="00667449" w:rsidP="00784749">
      <w:pPr>
        <w:spacing w:line="240" w:lineRule="auto"/>
      </w:pPr>
      <w:r>
        <w:separator/>
      </w:r>
    </w:p>
  </w:endnote>
  <w:endnote w:type="continuationSeparator" w:id="0">
    <w:p w14:paraId="357E1D5B" w14:textId="77777777" w:rsidR="00667449" w:rsidRDefault="00667449" w:rsidP="00784749">
      <w:pPr>
        <w:spacing w:line="240" w:lineRule="auto"/>
      </w:pPr>
      <w:r>
        <w:continuationSeparator/>
      </w:r>
    </w:p>
  </w:endnote>
  <w:endnote w:type="continuationNotice" w:id="1">
    <w:p w14:paraId="21AC8E55" w14:textId="77777777" w:rsidR="00667449" w:rsidRDefault="006674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740000"/>
      <w:docPartObj>
        <w:docPartGallery w:val="Page Numbers (Bottom of Page)"/>
        <w:docPartUnique/>
      </w:docPartObj>
    </w:sdtPr>
    <w:sdtEndPr>
      <w:rPr>
        <w:noProof/>
      </w:rPr>
    </w:sdtEndPr>
    <w:sdtContent>
      <w:p w14:paraId="58B8B590" w14:textId="7956291F" w:rsidR="00757891" w:rsidRDefault="00757891">
        <w:pPr>
          <w:pStyle w:val="Pta"/>
          <w:jc w:val="center"/>
        </w:pPr>
        <w:r>
          <w:fldChar w:fldCharType="begin"/>
        </w:r>
        <w:r>
          <w:instrText xml:space="preserve"> PAGE   \* MERGEFORMAT </w:instrText>
        </w:r>
        <w:r>
          <w:fldChar w:fldCharType="separate"/>
        </w:r>
        <w:r>
          <w:rPr>
            <w:noProof/>
          </w:rPr>
          <w:t>2</w:t>
        </w:r>
        <w:r>
          <w:rPr>
            <w:noProof/>
          </w:rPr>
          <w:fldChar w:fldCharType="end"/>
        </w:r>
      </w:p>
    </w:sdtContent>
  </w:sdt>
  <w:p w14:paraId="00DC7EF2" w14:textId="77777777" w:rsidR="00AB3A69" w:rsidRPr="00CD51F6" w:rsidRDefault="00AB3A69">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0AA0" w14:textId="77777777" w:rsidR="00667449" w:rsidRDefault="00667449" w:rsidP="00784749">
      <w:pPr>
        <w:spacing w:line="240" w:lineRule="auto"/>
      </w:pPr>
      <w:r>
        <w:separator/>
      </w:r>
    </w:p>
  </w:footnote>
  <w:footnote w:type="continuationSeparator" w:id="0">
    <w:p w14:paraId="0C64B6ED" w14:textId="77777777" w:rsidR="00667449" w:rsidRDefault="00667449" w:rsidP="00784749">
      <w:pPr>
        <w:spacing w:line="240" w:lineRule="auto"/>
      </w:pPr>
      <w:r>
        <w:continuationSeparator/>
      </w:r>
    </w:p>
  </w:footnote>
  <w:footnote w:type="continuationNotice" w:id="1">
    <w:p w14:paraId="03055CCB" w14:textId="77777777" w:rsidR="00667449" w:rsidRDefault="00667449">
      <w:pPr>
        <w:spacing w:line="240" w:lineRule="auto"/>
      </w:pPr>
    </w:p>
  </w:footnote>
  <w:footnote w:id="2">
    <w:p w14:paraId="4B551AD6" w14:textId="4240A49E" w:rsidR="00D24743" w:rsidRPr="008470F6" w:rsidRDefault="00D24743" w:rsidP="008470F6">
      <w:pPr>
        <w:pStyle w:val="Textpoznmkypodiarou"/>
        <w:rPr>
          <w:sz w:val="16"/>
          <w:szCs w:val="16"/>
        </w:rPr>
      </w:pPr>
      <w:r w:rsidRPr="008470F6">
        <w:rPr>
          <w:rStyle w:val="Odkaznapoznmkupodiarou"/>
          <w:sz w:val="16"/>
          <w:szCs w:val="16"/>
        </w:rPr>
        <w:footnoteRef/>
      </w:r>
      <w:r w:rsidRPr="008470F6">
        <w:rPr>
          <w:sz w:val="16"/>
          <w:szCs w:val="16"/>
        </w:rPr>
        <w:t xml:space="preserve">Štúdia KPMG ( </w:t>
      </w:r>
      <w:hyperlink r:id="rId1" w:history="1">
        <w:r w:rsidRPr="008470F6">
          <w:rPr>
            <w:rStyle w:val="Hypertextovprepojenie"/>
            <w:sz w:val="16"/>
            <w:szCs w:val="16"/>
          </w:rPr>
          <w:t xml:space="preserve">The future of poradenstvo – KPMG, </w:t>
        </w:r>
      </w:hyperlink>
      <w:r w:rsidRPr="008470F6">
        <w:rPr>
          <w:sz w:val="16"/>
          <w:szCs w:val="16"/>
        </w:rPr>
        <w:t>2021) o finančných službách v Nemecku zistila, že len 0,3 % respondentov by bolo ochotných zaplatiť súčasný priemerný hodinový poplatok 180 € za investičné poradenstvo.</w:t>
      </w:r>
    </w:p>
    <w:p w14:paraId="3FF183AD" w14:textId="1AF35963" w:rsidR="00D24743" w:rsidRDefault="00D24743">
      <w:pPr>
        <w:pStyle w:val="Textpoznmkypodiarou"/>
      </w:pPr>
    </w:p>
  </w:footnote>
  <w:footnote w:id="3">
    <w:p w14:paraId="59D25B9A" w14:textId="5209E9D9" w:rsidR="009E41E1" w:rsidRPr="00B14FFD" w:rsidRDefault="009E41E1" w:rsidP="009E41E1">
      <w:pPr>
        <w:pStyle w:val="Textpoznmkypodiarou"/>
        <w:rPr>
          <w:i/>
          <w:iCs/>
          <w:sz w:val="16"/>
          <w:szCs w:val="16"/>
        </w:rPr>
      </w:pPr>
      <w:r>
        <w:rPr>
          <w:rStyle w:val="Odkaznapoznmkupodiarou"/>
        </w:rPr>
        <w:footnoteRef/>
      </w:r>
      <w:r>
        <w:t xml:space="preserve"> </w:t>
      </w:r>
      <w:r>
        <w:rPr>
          <w:sz w:val="16"/>
          <w:szCs w:val="16"/>
        </w:rPr>
        <w:t xml:space="preserve">PRIIPs Delegované nariadenie čl. 10: </w:t>
      </w:r>
      <w:r w:rsidR="00B14FFD" w:rsidRPr="00B14FFD">
        <w:rPr>
          <w:i/>
          <w:iCs/>
          <w:sz w:val="16"/>
          <w:szCs w:val="16"/>
        </w:rPr>
        <w:t>ak PRIIP ponúka celý rad základných investičných možností a informácie týkajúce sa týchto základných investičných možností nemožno poskytnúť v rámci jedného, stručného a samostatného dokumentu s kľúčovými informáciami, tvorcovia PRIIP vypracujú jednu z týchto možností:</w:t>
      </w:r>
    </w:p>
    <w:p w14:paraId="76110C4B" w14:textId="77777777" w:rsidR="009E41E1" w:rsidRPr="00B14FFD" w:rsidRDefault="009E41E1" w:rsidP="009E41E1">
      <w:pPr>
        <w:pStyle w:val="Textpoznmkypodiarou"/>
        <w:rPr>
          <w:i/>
          <w:iCs/>
          <w:sz w:val="16"/>
          <w:szCs w:val="16"/>
        </w:rPr>
      </w:pPr>
    </w:p>
    <w:p w14:paraId="79DC1D11" w14:textId="7A187DD4" w:rsidR="009E41E1" w:rsidRPr="00B14FFD" w:rsidRDefault="009E41E1" w:rsidP="009E41E1">
      <w:pPr>
        <w:pStyle w:val="Textpoznmkypodiarou"/>
        <w:rPr>
          <w:i/>
          <w:iCs/>
          <w:sz w:val="16"/>
          <w:szCs w:val="16"/>
        </w:rPr>
      </w:pPr>
      <w:r w:rsidRPr="00B14FFD">
        <w:rPr>
          <w:i/>
          <w:iCs/>
          <w:sz w:val="16"/>
          <w:szCs w:val="16"/>
        </w:rPr>
        <w:t>a) dokument s kľúčovými informáciami pre každú podkladovú investičnú možnosť v rámci PRIIP v súlade s kapitolou I vrátane informácií o PRIIP ako celku, pričom každý dokument s kľúčovými informáciami odráža prípad, že retailový investor investuje len do jednej investičnej možnosti;</w:t>
      </w:r>
    </w:p>
    <w:p w14:paraId="0C5400ED" w14:textId="77777777" w:rsidR="009E41E1" w:rsidRPr="00B14FFD" w:rsidRDefault="009E41E1" w:rsidP="009E41E1">
      <w:pPr>
        <w:pStyle w:val="Textpoznmkypodiarou"/>
        <w:rPr>
          <w:i/>
          <w:iCs/>
          <w:sz w:val="16"/>
          <w:szCs w:val="16"/>
        </w:rPr>
      </w:pPr>
    </w:p>
    <w:p w14:paraId="132C3DD2" w14:textId="730CE382" w:rsidR="009E41E1" w:rsidRDefault="009E41E1" w:rsidP="009E41E1">
      <w:pPr>
        <w:pStyle w:val="Textpoznmkypodiarou"/>
      </w:pPr>
      <w:r w:rsidRPr="00B14FFD">
        <w:rPr>
          <w:i/>
          <w:iCs/>
          <w:sz w:val="16"/>
          <w:szCs w:val="16"/>
        </w:rPr>
        <w:t>b) všeobecný dokument s kľúčovými informáciami opisujúci PRIIP v súlade s kapitolou I, pokiaľ nie je v článkoch 11 až 14 uvedené inak, vrátane opisu, kde možno nájsť konkrétne informácie o každej základnej investičnej možnosti.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7EF" w14:textId="0422D786" w:rsidR="00AB3A69" w:rsidRPr="00DB6570" w:rsidRDefault="0077561D" w:rsidP="00BB4574">
    <w:pPr>
      <w:pStyle w:val="Noparagraphstyle"/>
      <w:jc w:val="right"/>
      <w:rPr>
        <w:rFonts w:ascii="Verdana" w:hAnsi="Verdana" w:cs="Arial"/>
        <w:i/>
        <w:iCs/>
        <w:color w:val="FF0000"/>
      </w:rPr>
    </w:pPr>
    <w:r w:rsidRPr="00BB4574">
      <w:rPr>
        <w:rFonts w:ascii="Verdana" w:hAnsi="Verdana"/>
        <w:b/>
        <w:bCs/>
        <w:color w:val="FF0000"/>
      </w:rPr>
      <w:tab/>
    </w:r>
    <w:r w:rsidR="0085051E">
      <w:rPr>
        <w:rFonts w:ascii="Verdana" w:hAnsi="Verdana"/>
        <w:color w:val="000000" w:themeColor="text1"/>
      </w:rPr>
      <w:t>Tretí návrh odpovede</w:t>
    </w:r>
  </w:p>
  <w:p w14:paraId="40CD5E9D" w14:textId="77777777" w:rsidR="00AB3A69" w:rsidRPr="007349E1" w:rsidRDefault="0077561D">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8240" behindDoc="0" locked="0" layoutInCell="1" allowOverlap="1" wp14:anchorId="3869BA5D" wp14:editId="4B1F5EBC">
          <wp:simplePos x="0" y="0"/>
          <wp:positionH relativeFrom="page">
            <wp:posOffset>524888</wp:posOffset>
          </wp:positionH>
          <wp:positionV relativeFrom="page">
            <wp:posOffset>525294</wp:posOffset>
          </wp:positionV>
          <wp:extent cx="1459555" cy="894944"/>
          <wp:effectExtent l="19050" t="0" r="0" b="0"/>
          <wp:wrapSquare wrapText="bothSides"/>
          <wp:docPr id="1" name="Picture 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F25"/>
    <w:multiLevelType w:val="hybridMultilevel"/>
    <w:tmpl w:val="76C87A06"/>
    <w:lvl w:ilvl="0" w:tplc="0290B1FA">
      <w:start w:val="1"/>
      <w:numFmt w:val="bullet"/>
      <w:lvlText w:val=""/>
      <w:lvlJc w:val="left"/>
      <w:pPr>
        <w:ind w:left="1428" w:hanging="360"/>
      </w:pPr>
      <w:rPr>
        <w:rFonts w:ascii="Wingdings" w:eastAsia="Times New Roman" w:hAnsi="Wingdings" w:cs="Frutiger LT Std 45 Light"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 w15:restartNumberingAfterBreak="0">
    <w:nsid w:val="08E3237C"/>
    <w:multiLevelType w:val="hybridMultilevel"/>
    <w:tmpl w:val="2EC23D08"/>
    <w:lvl w:ilvl="0" w:tplc="E11463B6">
      <w:start w:val="1"/>
      <w:numFmt w:val="decimal"/>
      <w:lvlText w:val="%1."/>
      <w:lvlJc w:val="left"/>
      <w:pPr>
        <w:ind w:left="720" w:hanging="360"/>
      </w:pPr>
    </w:lvl>
    <w:lvl w:ilvl="1" w:tplc="CAA22482">
      <w:start w:val="1"/>
      <w:numFmt w:val="decimal"/>
      <w:lvlText w:val="%2."/>
      <w:lvlJc w:val="left"/>
      <w:pPr>
        <w:ind w:left="720" w:hanging="360"/>
      </w:pPr>
    </w:lvl>
    <w:lvl w:ilvl="2" w:tplc="E2FA3CA4">
      <w:start w:val="1"/>
      <w:numFmt w:val="decimal"/>
      <w:lvlText w:val="%3."/>
      <w:lvlJc w:val="left"/>
      <w:pPr>
        <w:ind w:left="720" w:hanging="360"/>
      </w:pPr>
    </w:lvl>
    <w:lvl w:ilvl="3" w:tplc="E72E6DEA">
      <w:start w:val="1"/>
      <w:numFmt w:val="decimal"/>
      <w:lvlText w:val="%4."/>
      <w:lvlJc w:val="left"/>
      <w:pPr>
        <w:ind w:left="720" w:hanging="360"/>
      </w:pPr>
    </w:lvl>
    <w:lvl w:ilvl="4" w:tplc="14E264C2">
      <w:start w:val="1"/>
      <w:numFmt w:val="decimal"/>
      <w:lvlText w:val="%5."/>
      <w:lvlJc w:val="left"/>
      <w:pPr>
        <w:ind w:left="720" w:hanging="360"/>
      </w:pPr>
    </w:lvl>
    <w:lvl w:ilvl="5" w:tplc="D4BAA3C6">
      <w:start w:val="1"/>
      <w:numFmt w:val="decimal"/>
      <w:lvlText w:val="%6."/>
      <w:lvlJc w:val="left"/>
      <w:pPr>
        <w:ind w:left="720" w:hanging="360"/>
      </w:pPr>
    </w:lvl>
    <w:lvl w:ilvl="6" w:tplc="67E095D2">
      <w:start w:val="1"/>
      <w:numFmt w:val="decimal"/>
      <w:lvlText w:val="%7."/>
      <w:lvlJc w:val="left"/>
      <w:pPr>
        <w:ind w:left="720" w:hanging="360"/>
      </w:pPr>
    </w:lvl>
    <w:lvl w:ilvl="7" w:tplc="FFF86DB8">
      <w:start w:val="1"/>
      <w:numFmt w:val="decimal"/>
      <w:lvlText w:val="%8."/>
      <w:lvlJc w:val="left"/>
      <w:pPr>
        <w:ind w:left="720" w:hanging="360"/>
      </w:pPr>
    </w:lvl>
    <w:lvl w:ilvl="8" w:tplc="99C4669A">
      <w:start w:val="1"/>
      <w:numFmt w:val="decimal"/>
      <w:lvlText w:val="%9."/>
      <w:lvlJc w:val="left"/>
      <w:pPr>
        <w:ind w:left="720" w:hanging="360"/>
      </w:pPr>
    </w:lvl>
  </w:abstractNum>
  <w:abstractNum w:abstractNumId="2" w15:restartNumberingAfterBreak="0">
    <w:nsid w:val="0CDA45C7"/>
    <w:multiLevelType w:val="hybridMultilevel"/>
    <w:tmpl w:val="919C8DBA"/>
    <w:lvl w:ilvl="0" w:tplc="0809000B">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9F11E0"/>
    <w:multiLevelType w:val="hybridMultilevel"/>
    <w:tmpl w:val="EB02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C4949"/>
    <w:multiLevelType w:val="hybridMultilevel"/>
    <w:tmpl w:val="37B8F206"/>
    <w:lvl w:ilvl="0" w:tplc="4BF4546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4F7A2B"/>
    <w:multiLevelType w:val="hybridMultilevel"/>
    <w:tmpl w:val="0D1AE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C1523"/>
    <w:multiLevelType w:val="hybridMultilevel"/>
    <w:tmpl w:val="8C6A2AEC"/>
    <w:lvl w:ilvl="0" w:tplc="F1B660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D5A61"/>
    <w:multiLevelType w:val="hybridMultilevel"/>
    <w:tmpl w:val="185A9B1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A276AE"/>
    <w:multiLevelType w:val="hybridMultilevel"/>
    <w:tmpl w:val="708C35A8"/>
    <w:lvl w:ilvl="0" w:tplc="F1B660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71037"/>
    <w:multiLevelType w:val="hybridMultilevel"/>
    <w:tmpl w:val="9BC08176"/>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1A794639"/>
    <w:multiLevelType w:val="hybridMultilevel"/>
    <w:tmpl w:val="927ABF88"/>
    <w:lvl w:ilvl="0" w:tplc="4258AA9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1AEA4AC0"/>
    <w:multiLevelType w:val="hybridMultilevel"/>
    <w:tmpl w:val="0F7C62D2"/>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CDC626E"/>
    <w:multiLevelType w:val="hybridMultilevel"/>
    <w:tmpl w:val="B5C49902"/>
    <w:lvl w:ilvl="0" w:tplc="EA50C1EC">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E141EC4"/>
    <w:multiLevelType w:val="hybridMultilevel"/>
    <w:tmpl w:val="9824391E"/>
    <w:lvl w:ilvl="0" w:tplc="451244EA">
      <w:start w:val="4"/>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88D522E"/>
    <w:multiLevelType w:val="hybridMultilevel"/>
    <w:tmpl w:val="6E762C22"/>
    <w:lvl w:ilvl="0" w:tplc="08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9D34E5B"/>
    <w:multiLevelType w:val="hybridMultilevel"/>
    <w:tmpl w:val="60809E92"/>
    <w:lvl w:ilvl="0" w:tplc="F1B660A8">
      <w:start w:val="1"/>
      <w:numFmt w:val="bullet"/>
      <w:lvlText w:val=""/>
      <w:lvlJc w:val="left"/>
      <w:pPr>
        <w:ind w:left="502" w:hanging="360"/>
      </w:pPr>
      <w:rPr>
        <w:rFonts w:ascii="Symbol" w:hAnsi="Symbol" w:hint="default"/>
        <w:color w:val="auto"/>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6" w15:restartNumberingAfterBreak="0">
    <w:nsid w:val="2A913294"/>
    <w:multiLevelType w:val="hybridMultilevel"/>
    <w:tmpl w:val="1662EF2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AA40F21"/>
    <w:multiLevelType w:val="hybridMultilevel"/>
    <w:tmpl w:val="3F90DC74"/>
    <w:lvl w:ilvl="0" w:tplc="09DC7DB4">
      <w:start w:val="1"/>
      <w:numFmt w:val="lowerLetter"/>
      <w:lvlText w:val="%1)"/>
      <w:lvlJc w:val="left"/>
      <w:pPr>
        <w:ind w:left="1800" w:hanging="360"/>
      </w:pPr>
    </w:lvl>
    <w:lvl w:ilvl="1" w:tplc="E902B6F8">
      <w:start w:val="1"/>
      <w:numFmt w:val="lowerLetter"/>
      <w:lvlText w:val="%2)"/>
      <w:lvlJc w:val="left"/>
      <w:pPr>
        <w:ind w:left="1800" w:hanging="360"/>
      </w:pPr>
    </w:lvl>
    <w:lvl w:ilvl="2" w:tplc="EA5C874A">
      <w:start w:val="1"/>
      <w:numFmt w:val="lowerLetter"/>
      <w:lvlText w:val="%3)"/>
      <w:lvlJc w:val="left"/>
      <w:pPr>
        <w:ind w:left="1800" w:hanging="360"/>
      </w:pPr>
    </w:lvl>
    <w:lvl w:ilvl="3" w:tplc="A0C05DC2">
      <w:start w:val="1"/>
      <w:numFmt w:val="lowerLetter"/>
      <w:lvlText w:val="%4)"/>
      <w:lvlJc w:val="left"/>
      <w:pPr>
        <w:ind w:left="1800" w:hanging="360"/>
      </w:pPr>
    </w:lvl>
    <w:lvl w:ilvl="4" w:tplc="4808DEFA">
      <w:start w:val="1"/>
      <w:numFmt w:val="lowerLetter"/>
      <w:lvlText w:val="%5)"/>
      <w:lvlJc w:val="left"/>
      <w:pPr>
        <w:ind w:left="1800" w:hanging="360"/>
      </w:pPr>
    </w:lvl>
    <w:lvl w:ilvl="5" w:tplc="999C9C1C">
      <w:start w:val="1"/>
      <w:numFmt w:val="lowerLetter"/>
      <w:lvlText w:val="%6)"/>
      <w:lvlJc w:val="left"/>
      <w:pPr>
        <w:ind w:left="1800" w:hanging="360"/>
      </w:pPr>
    </w:lvl>
    <w:lvl w:ilvl="6" w:tplc="7680813C">
      <w:start w:val="1"/>
      <w:numFmt w:val="lowerLetter"/>
      <w:lvlText w:val="%7)"/>
      <w:lvlJc w:val="left"/>
      <w:pPr>
        <w:ind w:left="1800" w:hanging="360"/>
      </w:pPr>
    </w:lvl>
    <w:lvl w:ilvl="7" w:tplc="7B82B952">
      <w:start w:val="1"/>
      <w:numFmt w:val="lowerLetter"/>
      <w:lvlText w:val="%8)"/>
      <w:lvlJc w:val="left"/>
      <w:pPr>
        <w:ind w:left="1800" w:hanging="360"/>
      </w:pPr>
    </w:lvl>
    <w:lvl w:ilvl="8" w:tplc="2C16D3EA">
      <w:start w:val="1"/>
      <w:numFmt w:val="lowerLetter"/>
      <w:lvlText w:val="%9)"/>
      <w:lvlJc w:val="left"/>
      <w:pPr>
        <w:ind w:left="1800" w:hanging="360"/>
      </w:pPr>
    </w:lvl>
  </w:abstractNum>
  <w:abstractNum w:abstractNumId="18" w15:restartNumberingAfterBreak="0">
    <w:nsid w:val="2B010B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6415A7"/>
    <w:multiLevelType w:val="hybridMultilevel"/>
    <w:tmpl w:val="A49200E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73659B4"/>
    <w:multiLevelType w:val="hybridMultilevel"/>
    <w:tmpl w:val="2BDAADA6"/>
    <w:lvl w:ilvl="0" w:tplc="4C12D164">
      <w:start w:val="1"/>
      <w:numFmt w:val="bullet"/>
      <w:lvlText w:val="•"/>
      <w:lvlJc w:val="left"/>
      <w:pPr>
        <w:tabs>
          <w:tab w:val="num" w:pos="720"/>
        </w:tabs>
        <w:ind w:left="720" w:hanging="360"/>
      </w:pPr>
      <w:rPr>
        <w:rFonts w:ascii="Arial" w:hAnsi="Arial" w:hint="default"/>
      </w:rPr>
    </w:lvl>
    <w:lvl w:ilvl="1" w:tplc="6116EBCE" w:tentative="1">
      <w:start w:val="1"/>
      <w:numFmt w:val="bullet"/>
      <w:lvlText w:val="•"/>
      <w:lvlJc w:val="left"/>
      <w:pPr>
        <w:tabs>
          <w:tab w:val="num" w:pos="1440"/>
        </w:tabs>
        <w:ind w:left="1440" w:hanging="360"/>
      </w:pPr>
      <w:rPr>
        <w:rFonts w:ascii="Arial" w:hAnsi="Arial" w:hint="default"/>
      </w:rPr>
    </w:lvl>
    <w:lvl w:ilvl="2" w:tplc="C7BC0BE0" w:tentative="1">
      <w:start w:val="1"/>
      <w:numFmt w:val="bullet"/>
      <w:lvlText w:val="•"/>
      <w:lvlJc w:val="left"/>
      <w:pPr>
        <w:tabs>
          <w:tab w:val="num" w:pos="2160"/>
        </w:tabs>
        <w:ind w:left="2160" w:hanging="360"/>
      </w:pPr>
      <w:rPr>
        <w:rFonts w:ascii="Arial" w:hAnsi="Arial" w:hint="default"/>
      </w:rPr>
    </w:lvl>
    <w:lvl w:ilvl="3" w:tplc="1048F5EE" w:tentative="1">
      <w:start w:val="1"/>
      <w:numFmt w:val="bullet"/>
      <w:lvlText w:val="•"/>
      <w:lvlJc w:val="left"/>
      <w:pPr>
        <w:tabs>
          <w:tab w:val="num" w:pos="2880"/>
        </w:tabs>
        <w:ind w:left="2880" w:hanging="360"/>
      </w:pPr>
      <w:rPr>
        <w:rFonts w:ascii="Arial" w:hAnsi="Arial" w:hint="default"/>
      </w:rPr>
    </w:lvl>
    <w:lvl w:ilvl="4" w:tplc="744888F8" w:tentative="1">
      <w:start w:val="1"/>
      <w:numFmt w:val="bullet"/>
      <w:lvlText w:val="•"/>
      <w:lvlJc w:val="left"/>
      <w:pPr>
        <w:tabs>
          <w:tab w:val="num" w:pos="3600"/>
        </w:tabs>
        <w:ind w:left="3600" w:hanging="360"/>
      </w:pPr>
      <w:rPr>
        <w:rFonts w:ascii="Arial" w:hAnsi="Arial" w:hint="default"/>
      </w:rPr>
    </w:lvl>
    <w:lvl w:ilvl="5" w:tplc="3D960CB8" w:tentative="1">
      <w:start w:val="1"/>
      <w:numFmt w:val="bullet"/>
      <w:lvlText w:val="•"/>
      <w:lvlJc w:val="left"/>
      <w:pPr>
        <w:tabs>
          <w:tab w:val="num" w:pos="4320"/>
        </w:tabs>
        <w:ind w:left="4320" w:hanging="360"/>
      </w:pPr>
      <w:rPr>
        <w:rFonts w:ascii="Arial" w:hAnsi="Arial" w:hint="default"/>
      </w:rPr>
    </w:lvl>
    <w:lvl w:ilvl="6" w:tplc="60F28806" w:tentative="1">
      <w:start w:val="1"/>
      <w:numFmt w:val="bullet"/>
      <w:lvlText w:val="•"/>
      <w:lvlJc w:val="left"/>
      <w:pPr>
        <w:tabs>
          <w:tab w:val="num" w:pos="5040"/>
        </w:tabs>
        <w:ind w:left="5040" w:hanging="360"/>
      </w:pPr>
      <w:rPr>
        <w:rFonts w:ascii="Arial" w:hAnsi="Arial" w:hint="default"/>
      </w:rPr>
    </w:lvl>
    <w:lvl w:ilvl="7" w:tplc="C2548656" w:tentative="1">
      <w:start w:val="1"/>
      <w:numFmt w:val="bullet"/>
      <w:lvlText w:val="•"/>
      <w:lvlJc w:val="left"/>
      <w:pPr>
        <w:tabs>
          <w:tab w:val="num" w:pos="5760"/>
        </w:tabs>
        <w:ind w:left="5760" w:hanging="360"/>
      </w:pPr>
      <w:rPr>
        <w:rFonts w:ascii="Arial" w:hAnsi="Arial" w:hint="default"/>
      </w:rPr>
    </w:lvl>
    <w:lvl w:ilvl="8" w:tplc="1032AB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001E25"/>
    <w:multiLevelType w:val="multilevel"/>
    <w:tmpl w:val="43FA31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2E2525"/>
    <w:multiLevelType w:val="hybridMultilevel"/>
    <w:tmpl w:val="6060B7E0"/>
    <w:lvl w:ilvl="0" w:tplc="F1B660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E450D"/>
    <w:multiLevelType w:val="hybridMultilevel"/>
    <w:tmpl w:val="13DE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D01E9"/>
    <w:multiLevelType w:val="hybridMultilevel"/>
    <w:tmpl w:val="5DA85642"/>
    <w:lvl w:ilvl="0" w:tplc="6A84B48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E894CEF"/>
    <w:multiLevelType w:val="hybridMultilevel"/>
    <w:tmpl w:val="44E42F10"/>
    <w:lvl w:ilvl="0" w:tplc="20000003">
      <w:start w:val="1"/>
      <w:numFmt w:val="bullet"/>
      <w:lvlText w:val="o"/>
      <w:lvlJc w:val="left"/>
      <w:pPr>
        <w:ind w:left="1211" w:hanging="360"/>
      </w:pPr>
      <w:rPr>
        <w:rFonts w:ascii="Courier New" w:hAnsi="Courier New" w:cs="Courier New" w:hint="default"/>
      </w:rPr>
    </w:lvl>
    <w:lvl w:ilvl="1" w:tplc="20000003">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6" w15:restartNumberingAfterBreak="0">
    <w:nsid w:val="3EF04101"/>
    <w:multiLevelType w:val="hybridMultilevel"/>
    <w:tmpl w:val="D6425BDA"/>
    <w:lvl w:ilvl="0" w:tplc="F1B660A8">
      <w:start w:val="1"/>
      <w:numFmt w:val="bullet"/>
      <w:lvlText w:val=""/>
      <w:lvlJc w:val="left"/>
      <w:pPr>
        <w:ind w:left="502" w:hanging="360"/>
      </w:pPr>
      <w:rPr>
        <w:rFonts w:ascii="Symbol" w:hAnsi="Symbol" w:hint="default"/>
        <w:color w:val="auto"/>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7" w15:restartNumberingAfterBreak="0">
    <w:nsid w:val="42D40CC4"/>
    <w:multiLevelType w:val="hybridMultilevel"/>
    <w:tmpl w:val="E6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F6489C"/>
    <w:multiLevelType w:val="hybridMultilevel"/>
    <w:tmpl w:val="4C4694A6"/>
    <w:lvl w:ilvl="0" w:tplc="E786B940">
      <w:start w:val="1"/>
      <w:numFmt w:val="bullet"/>
      <w:lvlText w:val=""/>
      <w:lvlJc w:val="left"/>
      <w:pPr>
        <w:ind w:left="720" w:hanging="360"/>
      </w:pPr>
      <w:rPr>
        <w:rFonts w:ascii="Wingdings" w:eastAsia="Times New Roman" w:hAnsi="Wingdings" w:cs="Frutiger LT Std 45 Light" w:hint="default"/>
        <w:b/>
        <w:color w:val="FF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8896B2D"/>
    <w:multiLevelType w:val="hybridMultilevel"/>
    <w:tmpl w:val="293088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C57D45"/>
    <w:multiLevelType w:val="hybridMultilevel"/>
    <w:tmpl w:val="4A6A2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844D61"/>
    <w:multiLevelType w:val="hybridMultilevel"/>
    <w:tmpl w:val="A408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21574B"/>
    <w:multiLevelType w:val="hybridMultilevel"/>
    <w:tmpl w:val="1832BCA2"/>
    <w:lvl w:ilvl="0" w:tplc="08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0702CEE"/>
    <w:multiLevelType w:val="hybridMultilevel"/>
    <w:tmpl w:val="D85A791C"/>
    <w:lvl w:ilvl="0" w:tplc="EA50C1EC">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4482656"/>
    <w:multiLevelType w:val="hybridMultilevel"/>
    <w:tmpl w:val="7AEAF83C"/>
    <w:lvl w:ilvl="0" w:tplc="F1B660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26105"/>
    <w:multiLevelType w:val="hybridMultilevel"/>
    <w:tmpl w:val="7632E6F2"/>
    <w:lvl w:ilvl="0" w:tplc="20000003">
      <w:start w:val="1"/>
      <w:numFmt w:val="bullet"/>
      <w:lvlText w:val="o"/>
      <w:lvlJc w:val="left"/>
      <w:pPr>
        <w:ind w:left="1428" w:hanging="360"/>
      </w:pPr>
      <w:rPr>
        <w:rFonts w:ascii="Courier New" w:hAnsi="Courier New" w:cs="Courier New"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6" w15:restartNumberingAfterBreak="0">
    <w:nsid w:val="5C114470"/>
    <w:multiLevelType w:val="hybridMultilevel"/>
    <w:tmpl w:val="38DC9F46"/>
    <w:lvl w:ilvl="0" w:tplc="08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3172555"/>
    <w:multiLevelType w:val="hybridMultilevel"/>
    <w:tmpl w:val="B94AF9C0"/>
    <w:lvl w:ilvl="0" w:tplc="F2E6F21C">
      <w:start w:val="1"/>
      <w:numFmt w:val="bullet"/>
      <w:lvlText w:val=""/>
      <w:lvlJc w:val="left"/>
      <w:pPr>
        <w:ind w:left="720" w:hanging="360"/>
      </w:pPr>
      <w:rPr>
        <w:rFonts w:ascii="Symbol" w:hAnsi="Symbol"/>
      </w:rPr>
    </w:lvl>
    <w:lvl w:ilvl="1" w:tplc="B4E42A42">
      <w:start w:val="1"/>
      <w:numFmt w:val="bullet"/>
      <w:lvlText w:val=""/>
      <w:lvlJc w:val="left"/>
      <w:pPr>
        <w:ind w:left="720" w:hanging="360"/>
      </w:pPr>
      <w:rPr>
        <w:rFonts w:ascii="Symbol" w:hAnsi="Symbol"/>
      </w:rPr>
    </w:lvl>
    <w:lvl w:ilvl="2" w:tplc="B010DD8E">
      <w:start w:val="1"/>
      <w:numFmt w:val="bullet"/>
      <w:lvlText w:val=""/>
      <w:lvlJc w:val="left"/>
      <w:pPr>
        <w:ind w:left="720" w:hanging="360"/>
      </w:pPr>
      <w:rPr>
        <w:rFonts w:ascii="Symbol" w:hAnsi="Symbol"/>
      </w:rPr>
    </w:lvl>
    <w:lvl w:ilvl="3" w:tplc="360CD6AC">
      <w:start w:val="1"/>
      <w:numFmt w:val="bullet"/>
      <w:lvlText w:val=""/>
      <w:lvlJc w:val="left"/>
      <w:pPr>
        <w:ind w:left="720" w:hanging="360"/>
      </w:pPr>
      <w:rPr>
        <w:rFonts w:ascii="Symbol" w:hAnsi="Symbol"/>
      </w:rPr>
    </w:lvl>
    <w:lvl w:ilvl="4" w:tplc="0204A272">
      <w:start w:val="1"/>
      <w:numFmt w:val="bullet"/>
      <w:lvlText w:val=""/>
      <w:lvlJc w:val="left"/>
      <w:pPr>
        <w:ind w:left="720" w:hanging="360"/>
      </w:pPr>
      <w:rPr>
        <w:rFonts w:ascii="Symbol" w:hAnsi="Symbol"/>
      </w:rPr>
    </w:lvl>
    <w:lvl w:ilvl="5" w:tplc="6AD00C8C">
      <w:start w:val="1"/>
      <w:numFmt w:val="bullet"/>
      <w:lvlText w:val=""/>
      <w:lvlJc w:val="left"/>
      <w:pPr>
        <w:ind w:left="720" w:hanging="360"/>
      </w:pPr>
      <w:rPr>
        <w:rFonts w:ascii="Symbol" w:hAnsi="Symbol"/>
      </w:rPr>
    </w:lvl>
    <w:lvl w:ilvl="6" w:tplc="A2C85E2C">
      <w:start w:val="1"/>
      <w:numFmt w:val="bullet"/>
      <w:lvlText w:val=""/>
      <w:lvlJc w:val="left"/>
      <w:pPr>
        <w:ind w:left="720" w:hanging="360"/>
      </w:pPr>
      <w:rPr>
        <w:rFonts w:ascii="Symbol" w:hAnsi="Symbol"/>
      </w:rPr>
    </w:lvl>
    <w:lvl w:ilvl="7" w:tplc="52F047A2">
      <w:start w:val="1"/>
      <w:numFmt w:val="bullet"/>
      <w:lvlText w:val=""/>
      <w:lvlJc w:val="left"/>
      <w:pPr>
        <w:ind w:left="720" w:hanging="360"/>
      </w:pPr>
      <w:rPr>
        <w:rFonts w:ascii="Symbol" w:hAnsi="Symbol"/>
      </w:rPr>
    </w:lvl>
    <w:lvl w:ilvl="8" w:tplc="6E0671D4">
      <w:start w:val="1"/>
      <w:numFmt w:val="bullet"/>
      <w:lvlText w:val=""/>
      <w:lvlJc w:val="left"/>
      <w:pPr>
        <w:ind w:left="720" w:hanging="360"/>
      </w:pPr>
      <w:rPr>
        <w:rFonts w:ascii="Symbol" w:hAnsi="Symbol"/>
      </w:rPr>
    </w:lvl>
  </w:abstractNum>
  <w:abstractNum w:abstractNumId="38" w15:restartNumberingAfterBreak="0">
    <w:nsid w:val="641D6D25"/>
    <w:multiLevelType w:val="hybridMultilevel"/>
    <w:tmpl w:val="393E4C50"/>
    <w:lvl w:ilvl="0" w:tplc="E5CA3C7E">
      <w:start w:val="1"/>
      <w:numFmt w:val="bullet"/>
      <w:lvlText w:val="-"/>
      <w:lvlJc w:val="left"/>
      <w:pPr>
        <w:ind w:left="502" w:hanging="360"/>
      </w:pPr>
      <w:rPr>
        <w:rFonts w:ascii="Verdana" w:eastAsia="Times New Roman" w:hAnsi="Verdana" w:cs="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67061B35"/>
    <w:multiLevelType w:val="hybridMultilevel"/>
    <w:tmpl w:val="7DE2A9EC"/>
    <w:lvl w:ilvl="0" w:tplc="0F06C45C">
      <w:start w:val="1"/>
      <w:numFmt w:val="lowerRoman"/>
      <w:lvlText w:val="(%1)"/>
      <w:lvlJc w:val="left"/>
      <w:pPr>
        <w:ind w:left="1080" w:hanging="360"/>
      </w:pPr>
      <w:rPr>
        <w:rFonts w:ascii="Verdana" w:eastAsia="Times New Roman" w:hAnsi="Verdana" w:cs="Frutiger LT Std 45 Light"/>
      </w:rPr>
    </w:lvl>
    <w:lvl w:ilvl="1" w:tplc="20000003">
      <w:start w:val="1"/>
      <w:numFmt w:val="bullet"/>
      <w:lvlText w:val="o"/>
      <w:lvlJc w:val="left"/>
      <w:pPr>
        <w:ind w:left="1211"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0" w15:restartNumberingAfterBreak="0">
    <w:nsid w:val="679D2DEE"/>
    <w:multiLevelType w:val="hybridMultilevel"/>
    <w:tmpl w:val="A8067EE4"/>
    <w:lvl w:ilvl="0" w:tplc="08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E1431F8"/>
    <w:multiLevelType w:val="hybridMultilevel"/>
    <w:tmpl w:val="8E84F5C6"/>
    <w:lvl w:ilvl="0" w:tplc="810E934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2" w15:restartNumberingAfterBreak="0">
    <w:nsid w:val="72156B64"/>
    <w:multiLevelType w:val="hybridMultilevel"/>
    <w:tmpl w:val="F6EED354"/>
    <w:lvl w:ilvl="0" w:tplc="FCFE5842">
      <w:start w:val="1"/>
      <w:numFmt w:val="decimal"/>
      <w:pStyle w:val="Nadpis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219044D"/>
    <w:multiLevelType w:val="hybridMultilevel"/>
    <w:tmpl w:val="70E45F82"/>
    <w:lvl w:ilvl="0" w:tplc="8F86A74C">
      <w:start w:val="1"/>
      <w:numFmt w:val="decimal"/>
      <w:lvlText w:val="%1."/>
      <w:lvlJc w:val="left"/>
      <w:pPr>
        <w:ind w:left="720" w:hanging="360"/>
      </w:pPr>
    </w:lvl>
    <w:lvl w:ilvl="1" w:tplc="7A1859EA">
      <w:start w:val="1"/>
      <w:numFmt w:val="decimal"/>
      <w:lvlText w:val="%2."/>
      <w:lvlJc w:val="left"/>
      <w:pPr>
        <w:ind w:left="720" w:hanging="360"/>
      </w:pPr>
    </w:lvl>
    <w:lvl w:ilvl="2" w:tplc="B726A0B8">
      <w:start w:val="1"/>
      <w:numFmt w:val="decimal"/>
      <w:lvlText w:val="%3."/>
      <w:lvlJc w:val="left"/>
      <w:pPr>
        <w:ind w:left="720" w:hanging="360"/>
      </w:pPr>
    </w:lvl>
    <w:lvl w:ilvl="3" w:tplc="39B08BFA">
      <w:start w:val="1"/>
      <w:numFmt w:val="decimal"/>
      <w:lvlText w:val="%4."/>
      <w:lvlJc w:val="left"/>
      <w:pPr>
        <w:ind w:left="720" w:hanging="360"/>
      </w:pPr>
    </w:lvl>
    <w:lvl w:ilvl="4" w:tplc="8B14F76C">
      <w:start w:val="1"/>
      <w:numFmt w:val="decimal"/>
      <w:lvlText w:val="%5."/>
      <w:lvlJc w:val="left"/>
      <w:pPr>
        <w:ind w:left="720" w:hanging="360"/>
      </w:pPr>
    </w:lvl>
    <w:lvl w:ilvl="5" w:tplc="91FACA32">
      <w:start w:val="1"/>
      <w:numFmt w:val="decimal"/>
      <w:lvlText w:val="%6."/>
      <w:lvlJc w:val="left"/>
      <w:pPr>
        <w:ind w:left="720" w:hanging="360"/>
      </w:pPr>
    </w:lvl>
    <w:lvl w:ilvl="6" w:tplc="8A1255C0">
      <w:start w:val="1"/>
      <w:numFmt w:val="decimal"/>
      <w:lvlText w:val="%7."/>
      <w:lvlJc w:val="left"/>
      <w:pPr>
        <w:ind w:left="720" w:hanging="360"/>
      </w:pPr>
    </w:lvl>
    <w:lvl w:ilvl="7" w:tplc="F934D658">
      <w:start w:val="1"/>
      <w:numFmt w:val="decimal"/>
      <w:lvlText w:val="%8."/>
      <w:lvlJc w:val="left"/>
      <w:pPr>
        <w:ind w:left="720" w:hanging="360"/>
      </w:pPr>
    </w:lvl>
    <w:lvl w:ilvl="8" w:tplc="92068186">
      <w:start w:val="1"/>
      <w:numFmt w:val="decimal"/>
      <w:lvlText w:val="%9."/>
      <w:lvlJc w:val="left"/>
      <w:pPr>
        <w:ind w:left="720" w:hanging="360"/>
      </w:pPr>
    </w:lvl>
  </w:abstractNum>
  <w:abstractNum w:abstractNumId="44" w15:restartNumberingAfterBreak="0">
    <w:nsid w:val="729E650A"/>
    <w:multiLevelType w:val="hybridMultilevel"/>
    <w:tmpl w:val="ED94079A"/>
    <w:lvl w:ilvl="0" w:tplc="DF4AD8C6">
      <w:start w:val="1"/>
      <w:numFmt w:val="lowerLetter"/>
      <w:lvlText w:val="%1)"/>
      <w:lvlJc w:val="left"/>
      <w:pPr>
        <w:ind w:left="1800" w:hanging="360"/>
      </w:pPr>
    </w:lvl>
    <w:lvl w:ilvl="1" w:tplc="BA5E341E">
      <w:start w:val="1"/>
      <w:numFmt w:val="lowerLetter"/>
      <w:lvlText w:val="%2)"/>
      <w:lvlJc w:val="left"/>
      <w:pPr>
        <w:ind w:left="1800" w:hanging="360"/>
      </w:pPr>
    </w:lvl>
    <w:lvl w:ilvl="2" w:tplc="BA3C0ED4">
      <w:start w:val="1"/>
      <w:numFmt w:val="lowerLetter"/>
      <w:lvlText w:val="%3)"/>
      <w:lvlJc w:val="left"/>
      <w:pPr>
        <w:ind w:left="1800" w:hanging="360"/>
      </w:pPr>
    </w:lvl>
    <w:lvl w:ilvl="3" w:tplc="47D4E9D8">
      <w:start w:val="1"/>
      <w:numFmt w:val="lowerLetter"/>
      <w:lvlText w:val="%4)"/>
      <w:lvlJc w:val="left"/>
      <w:pPr>
        <w:ind w:left="1800" w:hanging="360"/>
      </w:pPr>
    </w:lvl>
    <w:lvl w:ilvl="4" w:tplc="AFA00E72">
      <w:start w:val="1"/>
      <w:numFmt w:val="lowerLetter"/>
      <w:lvlText w:val="%5)"/>
      <w:lvlJc w:val="left"/>
      <w:pPr>
        <w:ind w:left="1800" w:hanging="360"/>
      </w:pPr>
    </w:lvl>
    <w:lvl w:ilvl="5" w:tplc="B09CF60E">
      <w:start w:val="1"/>
      <w:numFmt w:val="lowerLetter"/>
      <w:lvlText w:val="%6)"/>
      <w:lvlJc w:val="left"/>
      <w:pPr>
        <w:ind w:left="1800" w:hanging="360"/>
      </w:pPr>
    </w:lvl>
    <w:lvl w:ilvl="6" w:tplc="0DB07E32">
      <w:start w:val="1"/>
      <w:numFmt w:val="lowerLetter"/>
      <w:lvlText w:val="%7)"/>
      <w:lvlJc w:val="left"/>
      <w:pPr>
        <w:ind w:left="1800" w:hanging="360"/>
      </w:pPr>
    </w:lvl>
    <w:lvl w:ilvl="7" w:tplc="C1D45CCC">
      <w:start w:val="1"/>
      <w:numFmt w:val="lowerLetter"/>
      <w:lvlText w:val="%8)"/>
      <w:lvlJc w:val="left"/>
      <w:pPr>
        <w:ind w:left="1800" w:hanging="360"/>
      </w:pPr>
    </w:lvl>
    <w:lvl w:ilvl="8" w:tplc="6060D0C6">
      <w:start w:val="1"/>
      <w:numFmt w:val="lowerLetter"/>
      <w:lvlText w:val="%9)"/>
      <w:lvlJc w:val="left"/>
      <w:pPr>
        <w:ind w:left="1800" w:hanging="360"/>
      </w:pPr>
    </w:lvl>
  </w:abstractNum>
  <w:abstractNum w:abstractNumId="45" w15:restartNumberingAfterBreak="0">
    <w:nsid w:val="7E20709F"/>
    <w:multiLevelType w:val="hybridMultilevel"/>
    <w:tmpl w:val="C8EC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10BD7"/>
    <w:multiLevelType w:val="hybridMultilevel"/>
    <w:tmpl w:val="1DDC0A76"/>
    <w:lvl w:ilvl="0" w:tplc="DD7C73AC">
      <w:start w:val="1"/>
      <w:numFmt w:val="lowerRoman"/>
      <w:lvlText w:val="(%1)"/>
      <w:lvlJc w:val="left"/>
      <w:pPr>
        <w:ind w:left="1080" w:hanging="720"/>
      </w:pPr>
      <w:rPr>
        <w:rFonts w:hint="default"/>
        <w:b/>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94123320">
    <w:abstractNumId w:val="42"/>
  </w:num>
  <w:num w:numId="2" w16cid:durableId="1175801720">
    <w:abstractNumId w:val="38"/>
  </w:num>
  <w:num w:numId="3" w16cid:durableId="794720078">
    <w:abstractNumId w:val="27"/>
  </w:num>
  <w:num w:numId="4" w16cid:durableId="2088336650">
    <w:abstractNumId w:val="31"/>
  </w:num>
  <w:num w:numId="5" w16cid:durableId="667637918">
    <w:abstractNumId w:val="45"/>
  </w:num>
  <w:num w:numId="6" w16cid:durableId="560869981">
    <w:abstractNumId w:val="11"/>
  </w:num>
  <w:num w:numId="7" w16cid:durableId="993677692">
    <w:abstractNumId w:val="37"/>
  </w:num>
  <w:num w:numId="8" w16cid:durableId="923801629">
    <w:abstractNumId w:val="23"/>
  </w:num>
  <w:num w:numId="9" w16cid:durableId="1484541762">
    <w:abstractNumId w:val="34"/>
  </w:num>
  <w:num w:numId="10" w16cid:durableId="553857687">
    <w:abstractNumId w:val="8"/>
  </w:num>
  <w:num w:numId="11" w16cid:durableId="20396115">
    <w:abstractNumId w:val="6"/>
  </w:num>
  <w:num w:numId="12" w16cid:durableId="1575093268">
    <w:abstractNumId w:val="44"/>
  </w:num>
  <w:num w:numId="13" w16cid:durableId="419452505">
    <w:abstractNumId w:val="41"/>
  </w:num>
  <w:num w:numId="14" w16cid:durableId="1311904322">
    <w:abstractNumId w:val="5"/>
  </w:num>
  <w:num w:numId="15" w16cid:durableId="1915582367">
    <w:abstractNumId w:val="26"/>
  </w:num>
  <w:num w:numId="16" w16cid:durableId="824861640">
    <w:abstractNumId w:val="15"/>
  </w:num>
  <w:num w:numId="17" w16cid:durableId="1073158434">
    <w:abstractNumId w:val="1"/>
  </w:num>
  <w:num w:numId="18" w16cid:durableId="1075326038">
    <w:abstractNumId w:val="43"/>
  </w:num>
  <w:num w:numId="19" w16cid:durableId="117337974">
    <w:abstractNumId w:val="39"/>
  </w:num>
  <w:num w:numId="20" w16cid:durableId="1590970005">
    <w:abstractNumId w:val="12"/>
  </w:num>
  <w:num w:numId="21" w16cid:durableId="2120682765">
    <w:abstractNumId w:val="7"/>
  </w:num>
  <w:num w:numId="22" w16cid:durableId="1780682251">
    <w:abstractNumId w:val="25"/>
  </w:num>
  <w:num w:numId="23" w16cid:durableId="1566717652">
    <w:abstractNumId w:val="46"/>
  </w:num>
  <w:num w:numId="24" w16cid:durableId="267353940">
    <w:abstractNumId w:val="4"/>
  </w:num>
  <w:num w:numId="25" w16cid:durableId="43677267">
    <w:abstractNumId w:val="33"/>
  </w:num>
  <w:num w:numId="26" w16cid:durableId="684939982">
    <w:abstractNumId w:val="0"/>
  </w:num>
  <w:num w:numId="27" w16cid:durableId="1323775723">
    <w:abstractNumId w:val="16"/>
  </w:num>
  <w:num w:numId="28" w16cid:durableId="297533992">
    <w:abstractNumId w:val="24"/>
  </w:num>
  <w:num w:numId="29" w16cid:durableId="1613632912">
    <w:abstractNumId w:val="10"/>
  </w:num>
  <w:num w:numId="30" w16cid:durableId="1497771385">
    <w:abstractNumId w:val="28"/>
  </w:num>
  <w:num w:numId="31" w16cid:durableId="683556403">
    <w:abstractNumId w:val="35"/>
  </w:num>
  <w:num w:numId="32" w16cid:durableId="1620334570">
    <w:abstractNumId w:val="9"/>
  </w:num>
  <w:num w:numId="33" w16cid:durableId="115680608">
    <w:abstractNumId w:val="13"/>
  </w:num>
  <w:num w:numId="34" w16cid:durableId="290479176">
    <w:abstractNumId w:val="36"/>
  </w:num>
  <w:num w:numId="35" w16cid:durableId="105393892">
    <w:abstractNumId w:val="30"/>
  </w:num>
  <w:num w:numId="36" w16cid:durableId="425729470">
    <w:abstractNumId w:val="29"/>
  </w:num>
  <w:num w:numId="37" w16cid:durableId="735931674">
    <w:abstractNumId w:val="40"/>
  </w:num>
  <w:num w:numId="38" w16cid:durableId="1110050642">
    <w:abstractNumId w:val="18"/>
  </w:num>
  <w:num w:numId="39" w16cid:durableId="2050496904">
    <w:abstractNumId w:val="20"/>
  </w:num>
  <w:num w:numId="40" w16cid:durableId="273290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9764818">
    <w:abstractNumId w:val="32"/>
  </w:num>
  <w:num w:numId="42" w16cid:durableId="1945185439">
    <w:abstractNumId w:val="2"/>
  </w:num>
  <w:num w:numId="43" w16cid:durableId="228074247">
    <w:abstractNumId w:val="14"/>
  </w:num>
  <w:num w:numId="44" w16cid:durableId="2070574098">
    <w:abstractNumId w:val="17"/>
  </w:num>
  <w:num w:numId="45" w16cid:durableId="724832863">
    <w:abstractNumId w:val="19"/>
  </w:num>
  <w:num w:numId="46" w16cid:durableId="1832408677">
    <w:abstractNumId w:val="3"/>
  </w:num>
  <w:num w:numId="47" w16cid:durableId="944269568">
    <w:abstractNumId w:val="22"/>
  </w:num>
  <w:num w:numId="48" w16cid:durableId="288974582">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A4"/>
    <w:rsid w:val="000003A0"/>
    <w:rsid w:val="0000101A"/>
    <w:rsid w:val="0000114A"/>
    <w:rsid w:val="00003B9D"/>
    <w:rsid w:val="00003D1B"/>
    <w:rsid w:val="00003F06"/>
    <w:rsid w:val="000041CF"/>
    <w:rsid w:val="000043F7"/>
    <w:rsid w:val="00005553"/>
    <w:rsid w:val="000056C1"/>
    <w:rsid w:val="000058FC"/>
    <w:rsid w:val="00005D11"/>
    <w:rsid w:val="00006A74"/>
    <w:rsid w:val="00007378"/>
    <w:rsid w:val="00007DDA"/>
    <w:rsid w:val="00010091"/>
    <w:rsid w:val="0001015A"/>
    <w:rsid w:val="00010194"/>
    <w:rsid w:val="00010780"/>
    <w:rsid w:val="000109AA"/>
    <w:rsid w:val="000109FD"/>
    <w:rsid w:val="00011256"/>
    <w:rsid w:val="00011877"/>
    <w:rsid w:val="00012925"/>
    <w:rsid w:val="0001296A"/>
    <w:rsid w:val="00013EAE"/>
    <w:rsid w:val="00014159"/>
    <w:rsid w:val="00014179"/>
    <w:rsid w:val="000143A3"/>
    <w:rsid w:val="00015716"/>
    <w:rsid w:val="000167DA"/>
    <w:rsid w:val="0001680D"/>
    <w:rsid w:val="000169A8"/>
    <w:rsid w:val="000175C5"/>
    <w:rsid w:val="00017EB7"/>
    <w:rsid w:val="00020E7F"/>
    <w:rsid w:val="000214EE"/>
    <w:rsid w:val="00021D40"/>
    <w:rsid w:val="00022A24"/>
    <w:rsid w:val="0002313B"/>
    <w:rsid w:val="00023143"/>
    <w:rsid w:val="00023A05"/>
    <w:rsid w:val="000244E3"/>
    <w:rsid w:val="00025608"/>
    <w:rsid w:val="00025662"/>
    <w:rsid w:val="00025C0B"/>
    <w:rsid w:val="00025E07"/>
    <w:rsid w:val="00026271"/>
    <w:rsid w:val="00026794"/>
    <w:rsid w:val="000275AC"/>
    <w:rsid w:val="00030288"/>
    <w:rsid w:val="000303F2"/>
    <w:rsid w:val="0003093A"/>
    <w:rsid w:val="00030CD4"/>
    <w:rsid w:val="000312C9"/>
    <w:rsid w:val="00031659"/>
    <w:rsid w:val="00032196"/>
    <w:rsid w:val="0003237A"/>
    <w:rsid w:val="00033943"/>
    <w:rsid w:val="00033A97"/>
    <w:rsid w:val="00033AD7"/>
    <w:rsid w:val="00034354"/>
    <w:rsid w:val="000349EB"/>
    <w:rsid w:val="00034E22"/>
    <w:rsid w:val="00035581"/>
    <w:rsid w:val="00035714"/>
    <w:rsid w:val="00035795"/>
    <w:rsid w:val="00035F79"/>
    <w:rsid w:val="0003616F"/>
    <w:rsid w:val="0003660B"/>
    <w:rsid w:val="00036654"/>
    <w:rsid w:val="00036D6B"/>
    <w:rsid w:val="0003741E"/>
    <w:rsid w:val="00037678"/>
    <w:rsid w:val="00040596"/>
    <w:rsid w:val="000406E5"/>
    <w:rsid w:val="000409C4"/>
    <w:rsid w:val="00040ADF"/>
    <w:rsid w:val="00041144"/>
    <w:rsid w:val="00041CDF"/>
    <w:rsid w:val="0004362D"/>
    <w:rsid w:val="00043ADF"/>
    <w:rsid w:val="00043F0E"/>
    <w:rsid w:val="0004595F"/>
    <w:rsid w:val="00045C56"/>
    <w:rsid w:val="00045CD7"/>
    <w:rsid w:val="00046098"/>
    <w:rsid w:val="00046483"/>
    <w:rsid w:val="0004687D"/>
    <w:rsid w:val="00046C18"/>
    <w:rsid w:val="0004768C"/>
    <w:rsid w:val="00047BE1"/>
    <w:rsid w:val="00047C7A"/>
    <w:rsid w:val="00047D94"/>
    <w:rsid w:val="000506C3"/>
    <w:rsid w:val="00051517"/>
    <w:rsid w:val="00051752"/>
    <w:rsid w:val="00051CE2"/>
    <w:rsid w:val="00051CFB"/>
    <w:rsid w:val="00051F6C"/>
    <w:rsid w:val="00052316"/>
    <w:rsid w:val="000528EE"/>
    <w:rsid w:val="00052A7A"/>
    <w:rsid w:val="00052D6F"/>
    <w:rsid w:val="00052EA9"/>
    <w:rsid w:val="00053313"/>
    <w:rsid w:val="00053A0F"/>
    <w:rsid w:val="00053C67"/>
    <w:rsid w:val="000543B3"/>
    <w:rsid w:val="0005467A"/>
    <w:rsid w:val="0005475A"/>
    <w:rsid w:val="00054B48"/>
    <w:rsid w:val="00054D89"/>
    <w:rsid w:val="00055082"/>
    <w:rsid w:val="0005624B"/>
    <w:rsid w:val="000564B8"/>
    <w:rsid w:val="000565FE"/>
    <w:rsid w:val="000574AB"/>
    <w:rsid w:val="00057655"/>
    <w:rsid w:val="00060E4D"/>
    <w:rsid w:val="00060E5C"/>
    <w:rsid w:val="00060E6C"/>
    <w:rsid w:val="0006166C"/>
    <w:rsid w:val="00061789"/>
    <w:rsid w:val="00061AD3"/>
    <w:rsid w:val="00061CA0"/>
    <w:rsid w:val="00062191"/>
    <w:rsid w:val="00062556"/>
    <w:rsid w:val="0006273F"/>
    <w:rsid w:val="00062875"/>
    <w:rsid w:val="00062C13"/>
    <w:rsid w:val="00063805"/>
    <w:rsid w:val="00063B3E"/>
    <w:rsid w:val="0006479C"/>
    <w:rsid w:val="00065182"/>
    <w:rsid w:val="000658A7"/>
    <w:rsid w:val="00065DF6"/>
    <w:rsid w:val="00066932"/>
    <w:rsid w:val="00066E39"/>
    <w:rsid w:val="000670F5"/>
    <w:rsid w:val="000678E8"/>
    <w:rsid w:val="000708CF"/>
    <w:rsid w:val="00070A1F"/>
    <w:rsid w:val="00071456"/>
    <w:rsid w:val="0007164B"/>
    <w:rsid w:val="000718B8"/>
    <w:rsid w:val="000719FC"/>
    <w:rsid w:val="0007296F"/>
    <w:rsid w:val="00072ABC"/>
    <w:rsid w:val="00072BF8"/>
    <w:rsid w:val="00072F06"/>
    <w:rsid w:val="000730D0"/>
    <w:rsid w:val="00073615"/>
    <w:rsid w:val="00073635"/>
    <w:rsid w:val="00073F37"/>
    <w:rsid w:val="00074FE0"/>
    <w:rsid w:val="00075577"/>
    <w:rsid w:val="00075F12"/>
    <w:rsid w:val="000763EE"/>
    <w:rsid w:val="00076756"/>
    <w:rsid w:val="00076DF3"/>
    <w:rsid w:val="000774F0"/>
    <w:rsid w:val="00077811"/>
    <w:rsid w:val="00077D00"/>
    <w:rsid w:val="00077DD5"/>
    <w:rsid w:val="0008070B"/>
    <w:rsid w:val="000819F7"/>
    <w:rsid w:val="00081DDF"/>
    <w:rsid w:val="00082135"/>
    <w:rsid w:val="0008252F"/>
    <w:rsid w:val="00082566"/>
    <w:rsid w:val="00082892"/>
    <w:rsid w:val="00083113"/>
    <w:rsid w:val="000837C7"/>
    <w:rsid w:val="000839B5"/>
    <w:rsid w:val="00083B68"/>
    <w:rsid w:val="00084099"/>
    <w:rsid w:val="0008465F"/>
    <w:rsid w:val="000846BA"/>
    <w:rsid w:val="0008503B"/>
    <w:rsid w:val="00085132"/>
    <w:rsid w:val="0008523A"/>
    <w:rsid w:val="000857E6"/>
    <w:rsid w:val="0008586D"/>
    <w:rsid w:val="000867DC"/>
    <w:rsid w:val="000868E2"/>
    <w:rsid w:val="00086C06"/>
    <w:rsid w:val="00086ED5"/>
    <w:rsid w:val="00087059"/>
    <w:rsid w:val="0008732F"/>
    <w:rsid w:val="00087BFC"/>
    <w:rsid w:val="0009032B"/>
    <w:rsid w:val="00090800"/>
    <w:rsid w:val="00090A61"/>
    <w:rsid w:val="00090BEF"/>
    <w:rsid w:val="00090C15"/>
    <w:rsid w:val="00090CF1"/>
    <w:rsid w:val="000914DA"/>
    <w:rsid w:val="000921D0"/>
    <w:rsid w:val="000922CB"/>
    <w:rsid w:val="0009297B"/>
    <w:rsid w:val="0009328B"/>
    <w:rsid w:val="000935D3"/>
    <w:rsid w:val="00093C16"/>
    <w:rsid w:val="00093C1C"/>
    <w:rsid w:val="00094205"/>
    <w:rsid w:val="00094275"/>
    <w:rsid w:val="00094410"/>
    <w:rsid w:val="00094844"/>
    <w:rsid w:val="00095D0A"/>
    <w:rsid w:val="00095FB6"/>
    <w:rsid w:val="00096A45"/>
    <w:rsid w:val="00096AF8"/>
    <w:rsid w:val="00096CDA"/>
    <w:rsid w:val="000979AD"/>
    <w:rsid w:val="00097CF8"/>
    <w:rsid w:val="00097EDD"/>
    <w:rsid w:val="000A0426"/>
    <w:rsid w:val="000A0D1F"/>
    <w:rsid w:val="000A1ADD"/>
    <w:rsid w:val="000A1C4F"/>
    <w:rsid w:val="000A1F87"/>
    <w:rsid w:val="000A245A"/>
    <w:rsid w:val="000A27CD"/>
    <w:rsid w:val="000A316E"/>
    <w:rsid w:val="000A357C"/>
    <w:rsid w:val="000A36DB"/>
    <w:rsid w:val="000A3EE2"/>
    <w:rsid w:val="000A40B7"/>
    <w:rsid w:val="000A40FF"/>
    <w:rsid w:val="000A5291"/>
    <w:rsid w:val="000A6221"/>
    <w:rsid w:val="000A6346"/>
    <w:rsid w:val="000A69CD"/>
    <w:rsid w:val="000A6E16"/>
    <w:rsid w:val="000A6F82"/>
    <w:rsid w:val="000A710F"/>
    <w:rsid w:val="000A72E0"/>
    <w:rsid w:val="000A7578"/>
    <w:rsid w:val="000A7A18"/>
    <w:rsid w:val="000A7D3C"/>
    <w:rsid w:val="000B023C"/>
    <w:rsid w:val="000B08CD"/>
    <w:rsid w:val="000B19A8"/>
    <w:rsid w:val="000B2461"/>
    <w:rsid w:val="000B28B3"/>
    <w:rsid w:val="000B2DB9"/>
    <w:rsid w:val="000B2FCB"/>
    <w:rsid w:val="000B3105"/>
    <w:rsid w:val="000B357D"/>
    <w:rsid w:val="000B3DC5"/>
    <w:rsid w:val="000B4359"/>
    <w:rsid w:val="000B43D9"/>
    <w:rsid w:val="000B44BF"/>
    <w:rsid w:val="000B47B2"/>
    <w:rsid w:val="000B4AD8"/>
    <w:rsid w:val="000B4E08"/>
    <w:rsid w:val="000B4E98"/>
    <w:rsid w:val="000B5CDE"/>
    <w:rsid w:val="000B5DCE"/>
    <w:rsid w:val="000B5E8A"/>
    <w:rsid w:val="000B6841"/>
    <w:rsid w:val="000B7630"/>
    <w:rsid w:val="000B788A"/>
    <w:rsid w:val="000C021D"/>
    <w:rsid w:val="000C0FD1"/>
    <w:rsid w:val="000C1554"/>
    <w:rsid w:val="000C1754"/>
    <w:rsid w:val="000C18AA"/>
    <w:rsid w:val="000C1A27"/>
    <w:rsid w:val="000C1C5A"/>
    <w:rsid w:val="000C1FC9"/>
    <w:rsid w:val="000C2132"/>
    <w:rsid w:val="000C23D5"/>
    <w:rsid w:val="000C28B4"/>
    <w:rsid w:val="000C2DE7"/>
    <w:rsid w:val="000C2DF9"/>
    <w:rsid w:val="000C3198"/>
    <w:rsid w:val="000C31AE"/>
    <w:rsid w:val="000C33A9"/>
    <w:rsid w:val="000C34F2"/>
    <w:rsid w:val="000C3BF7"/>
    <w:rsid w:val="000C3D6F"/>
    <w:rsid w:val="000C3D90"/>
    <w:rsid w:val="000C45CE"/>
    <w:rsid w:val="000C4941"/>
    <w:rsid w:val="000C4DB2"/>
    <w:rsid w:val="000C4F93"/>
    <w:rsid w:val="000C545A"/>
    <w:rsid w:val="000C58A8"/>
    <w:rsid w:val="000C5C2B"/>
    <w:rsid w:val="000C5EBA"/>
    <w:rsid w:val="000C60CD"/>
    <w:rsid w:val="000C6252"/>
    <w:rsid w:val="000C7A2B"/>
    <w:rsid w:val="000C7C87"/>
    <w:rsid w:val="000D09E5"/>
    <w:rsid w:val="000D0E7E"/>
    <w:rsid w:val="000D0FC2"/>
    <w:rsid w:val="000D11B1"/>
    <w:rsid w:val="000D120D"/>
    <w:rsid w:val="000D1778"/>
    <w:rsid w:val="000D17A5"/>
    <w:rsid w:val="000D1A38"/>
    <w:rsid w:val="000D2A4A"/>
    <w:rsid w:val="000D2F07"/>
    <w:rsid w:val="000D44B2"/>
    <w:rsid w:val="000D4660"/>
    <w:rsid w:val="000D46F6"/>
    <w:rsid w:val="000D48BE"/>
    <w:rsid w:val="000D4A0E"/>
    <w:rsid w:val="000D4EA1"/>
    <w:rsid w:val="000D52E7"/>
    <w:rsid w:val="000D57ED"/>
    <w:rsid w:val="000D6094"/>
    <w:rsid w:val="000D6151"/>
    <w:rsid w:val="000D63CE"/>
    <w:rsid w:val="000D6EFC"/>
    <w:rsid w:val="000D7553"/>
    <w:rsid w:val="000D7F25"/>
    <w:rsid w:val="000E0B1B"/>
    <w:rsid w:val="000E0DE7"/>
    <w:rsid w:val="000E2B90"/>
    <w:rsid w:val="000E2DF7"/>
    <w:rsid w:val="000E37A3"/>
    <w:rsid w:val="000E3EB0"/>
    <w:rsid w:val="000E4729"/>
    <w:rsid w:val="000E4FCB"/>
    <w:rsid w:val="000E5C50"/>
    <w:rsid w:val="000E5F58"/>
    <w:rsid w:val="000E6581"/>
    <w:rsid w:val="000E69AF"/>
    <w:rsid w:val="000E727B"/>
    <w:rsid w:val="000E7875"/>
    <w:rsid w:val="000E799E"/>
    <w:rsid w:val="000E7A84"/>
    <w:rsid w:val="000F005F"/>
    <w:rsid w:val="000F0C37"/>
    <w:rsid w:val="000F0E55"/>
    <w:rsid w:val="000F167C"/>
    <w:rsid w:val="000F1CC3"/>
    <w:rsid w:val="000F1E6B"/>
    <w:rsid w:val="000F2721"/>
    <w:rsid w:val="000F2769"/>
    <w:rsid w:val="000F2C84"/>
    <w:rsid w:val="000F2EB1"/>
    <w:rsid w:val="000F30A4"/>
    <w:rsid w:val="000F316A"/>
    <w:rsid w:val="000F33A9"/>
    <w:rsid w:val="000F354F"/>
    <w:rsid w:val="000F3BB2"/>
    <w:rsid w:val="000F3E6A"/>
    <w:rsid w:val="000F412B"/>
    <w:rsid w:val="000F45B9"/>
    <w:rsid w:val="000F5409"/>
    <w:rsid w:val="000F5ED2"/>
    <w:rsid w:val="000F68EB"/>
    <w:rsid w:val="000F6EB5"/>
    <w:rsid w:val="000F701D"/>
    <w:rsid w:val="000F760C"/>
    <w:rsid w:val="00100102"/>
    <w:rsid w:val="001001B8"/>
    <w:rsid w:val="00100386"/>
    <w:rsid w:val="0010045E"/>
    <w:rsid w:val="00100D67"/>
    <w:rsid w:val="00100E66"/>
    <w:rsid w:val="00100E86"/>
    <w:rsid w:val="00101410"/>
    <w:rsid w:val="00101518"/>
    <w:rsid w:val="00101A1F"/>
    <w:rsid w:val="00101B9F"/>
    <w:rsid w:val="00101D1D"/>
    <w:rsid w:val="0010212A"/>
    <w:rsid w:val="00102FEB"/>
    <w:rsid w:val="00103226"/>
    <w:rsid w:val="0010374E"/>
    <w:rsid w:val="001038F8"/>
    <w:rsid w:val="00104AD5"/>
    <w:rsid w:val="001065FC"/>
    <w:rsid w:val="001065FD"/>
    <w:rsid w:val="00106F50"/>
    <w:rsid w:val="00107140"/>
    <w:rsid w:val="001079A5"/>
    <w:rsid w:val="0011066F"/>
    <w:rsid w:val="00110CA5"/>
    <w:rsid w:val="00110DA6"/>
    <w:rsid w:val="001116E5"/>
    <w:rsid w:val="0011284F"/>
    <w:rsid w:val="00112859"/>
    <w:rsid w:val="00112913"/>
    <w:rsid w:val="00112E53"/>
    <w:rsid w:val="00113670"/>
    <w:rsid w:val="00113B9C"/>
    <w:rsid w:val="001141D3"/>
    <w:rsid w:val="00115077"/>
    <w:rsid w:val="00115268"/>
    <w:rsid w:val="001157B0"/>
    <w:rsid w:val="00115936"/>
    <w:rsid w:val="0011713A"/>
    <w:rsid w:val="001200BB"/>
    <w:rsid w:val="00120534"/>
    <w:rsid w:val="001208D8"/>
    <w:rsid w:val="00121B2C"/>
    <w:rsid w:val="00121D41"/>
    <w:rsid w:val="001221BF"/>
    <w:rsid w:val="0012291E"/>
    <w:rsid w:val="00122D87"/>
    <w:rsid w:val="00123051"/>
    <w:rsid w:val="0012321B"/>
    <w:rsid w:val="001236B8"/>
    <w:rsid w:val="00123CBA"/>
    <w:rsid w:val="0012438F"/>
    <w:rsid w:val="001243EB"/>
    <w:rsid w:val="00124414"/>
    <w:rsid w:val="00124630"/>
    <w:rsid w:val="001247AA"/>
    <w:rsid w:val="00125729"/>
    <w:rsid w:val="0012588F"/>
    <w:rsid w:val="00126146"/>
    <w:rsid w:val="001269D7"/>
    <w:rsid w:val="00126B1C"/>
    <w:rsid w:val="001272E3"/>
    <w:rsid w:val="00127592"/>
    <w:rsid w:val="00127FEC"/>
    <w:rsid w:val="001304F7"/>
    <w:rsid w:val="00130505"/>
    <w:rsid w:val="00130ACF"/>
    <w:rsid w:val="00130C6D"/>
    <w:rsid w:val="001316E9"/>
    <w:rsid w:val="00131EEA"/>
    <w:rsid w:val="0013213B"/>
    <w:rsid w:val="00132238"/>
    <w:rsid w:val="0013231F"/>
    <w:rsid w:val="0013304F"/>
    <w:rsid w:val="001334E8"/>
    <w:rsid w:val="00133B05"/>
    <w:rsid w:val="00133B1D"/>
    <w:rsid w:val="00134359"/>
    <w:rsid w:val="00134505"/>
    <w:rsid w:val="00134578"/>
    <w:rsid w:val="0013480A"/>
    <w:rsid w:val="00134A7B"/>
    <w:rsid w:val="001366BC"/>
    <w:rsid w:val="00136E1E"/>
    <w:rsid w:val="00137F2E"/>
    <w:rsid w:val="00137FAE"/>
    <w:rsid w:val="001412DC"/>
    <w:rsid w:val="00141458"/>
    <w:rsid w:val="001414D5"/>
    <w:rsid w:val="00142C2B"/>
    <w:rsid w:val="00143867"/>
    <w:rsid w:val="00143941"/>
    <w:rsid w:val="00143E61"/>
    <w:rsid w:val="0014443B"/>
    <w:rsid w:val="001451ED"/>
    <w:rsid w:val="00145256"/>
    <w:rsid w:val="00145573"/>
    <w:rsid w:val="001459EF"/>
    <w:rsid w:val="001460D9"/>
    <w:rsid w:val="0014614C"/>
    <w:rsid w:val="00146628"/>
    <w:rsid w:val="00146855"/>
    <w:rsid w:val="00147357"/>
    <w:rsid w:val="00147A22"/>
    <w:rsid w:val="00150107"/>
    <w:rsid w:val="00150454"/>
    <w:rsid w:val="0015065A"/>
    <w:rsid w:val="00150911"/>
    <w:rsid w:val="00150B2C"/>
    <w:rsid w:val="00150B4A"/>
    <w:rsid w:val="00151019"/>
    <w:rsid w:val="00151290"/>
    <w:rsid w:val="00151317"/>
    <w:rsid w:val="00151563"/>
    <w:rsid w:val="00151920"/>
    <w:rsid w:val="00151D35"/>
    <w:rsid w:val="00151EB6"/>
    <w:rsid w:val="0015217F"/>
    <w:rsid w:val="00152EA0"/>
    <w:rsid w:val="0015327B"/>
    <w:rsid w:val="00153298"/>
    <w:rsid w:val="001532C3"/>
    <w:rsid w:val="00154205"/>
    <w:rsid w:val="00154369"/>
    <w:rsid w:val="0015452D"/>
    <w:rsid w:val="00154A02"/>
    <w:rsid w:val="00154B00"/>
    <w:rsid w:val="00154C54"/>
    <w:rsid w:val="001551AE"/>
    <w:rsid w:val="00155220"/>
    <w:rsid w:val="001553F3"/>
    <w:rsid w:val="001555EC"/>
    <w:rsid w:val="00155A76"/>
    <w:rsid w:val="00155E86"/>
    <w:rsid w:val="00155F80"/>
    <w:rsid w:val="001569D0"/>
    <w:rsid w:val="001574EC"/>
    <w:rsid w:val="00157929"/>
    <w:rsid w:val="00157F16"/>
    <w:rsid w:val="00157F4C"/>
    <w:rsid w:val="00160F9E"/>
    <w:rsid w:val="001610DE"/>
    <w:rsid w:val="0016116A"/>
    <w:rsid w:val="0016148B"/>
    <w:rsid w:val="00163004"/>
    <w:rsid w:val="001633CE"/>
    <w:rsid w:val="001634BF"/>
    <w:rsid w:val="00163A07"/>
    <w:rsid w:val="00164817"/>
    <w:rsid w:val="001649EB"/>
    <w:rsid w:val="00164A0D"/>
    <w:rsid w:val="00165879"/>
    <w:rsid w:val="001669D9"/>
    <w:rsid w:val="00167678"/>
    <w:rsid w:val="00167E9C"/>
    <w:rsid w:val="00170280"/>
    <w:rsid w:val="00170BF5"/>
    <w:rsid w:val="0017116A"/>
    <w:rsid w:val="0017126B"/>
    <w:rsid w:val="00171556"/>
    <w:rsid w:val="00171572"/>
    <w:rsid w:val="00171610"/>
    <w:rsid w:val="00171D66"/>
    <w:rsid w:val="00172FC9"/>
    <w:rsid w:val="00173C07"/>
    <w:rsid w:val="00173D3F"/>
    <w:rsid w:val="00173DAD"/>
    <w:rsid w:val="001747F6"/>
    <w:rsid w:val="00174ACD"/>
    <w:rsid w:val="001757E0"/>
    <w:rsid w:val="00175BFE"/>
    <w:rsid w:val="00175C81"/>
    <w:rsid w:val="00176086"/>
    <w:rsid w:val="001764E1"/>
    <w:rsid w:val="00176626"/>
    <w:rsid w:val="00176BD2"/>
    <w:rsid w:val="00176E4D"/>
    <w:rsid w:val="00177053"/>
    <w:rsid w:val="0017735C"/>
    <w:rsid w:val="001778D1"/>
    <w:rsid w:val="00177DF2"/>
    <w:rsid w:val="001813BD"/>
    <w:rsid w:val="00181478"/>
    <w:rsid w:val="001826F5"/>
    <w:rsid w:val="001835A8"/>
    <w:rsid w:val="0018386A"/>
    <w:rsid w:val="0018400F"/>
    <w:rsid w:val="001847B1"/>
    <w:rsid w:val="00185092"/>
    <w:rsid w:val="00185140"/>
    <w:rsid w:val="00185792"/>
    <w:rsid w:val="00185C6E"/>
    <w:rsid w:val="0018661F"/>
    <w:rsid w:val="00186BB7"/>
    <w:rsid w:val="00187D2A"/>
    <w:rsid w:val="00187E50"/>
    <w:rsid w:val="001900C9"/>
    <w:rsid w:val="001908C4"/>
    <w:rsid w:val="00190A00"/>
    <w:rsid w:val="00190BFF"/>
    <w:rsid w:val="0019159D"/>
    <w:rsid w:val="0019179F"/>
    <w:rsid w:val="00191DAF"/>
    <w:rsid w:val="00192194"/>
    <w:rsid w:val="001923F4"/>
    <w:rsid w:val="00192942"/>
    <w:rsid w:val="00192B26"/>
    <w:rsid w:val="001931A9"/>
    <w:rsid w:val="00193481"/>
    <w:rsid w:val="00193510"/>
    <w:rsid w:val="0019366D"/>
    <w:rsid w:val="00193DDA"/>
    <w:rsid w:val="00193E7C"/>
    <w:rsid w:val="00194141"/>
    <w:rsid w:val="00194567"/>
    <w:rsid w:val="00195A34"/>
    <w:rsid w:val="00195F55"/>
    <w:rsid w:val="001969AE"/>
    <w:rsid w:val="001971DC"/>
    <w:rsid w:val="0019746D"/>
    <w:rsid w:val="00197B94"/>
    <w:rsid w:val="00197D29"/>
    <w:rsid w:val="001A0096"/>
    <w:rsid w:val="001A0636"/>
    <w:rsid w:val="001A073F"/>
    <w:rsid w:val="001A0BA6"/>
    <w:rsid w:val="001A1186"/>
    <w:rsid w:val="001A167B"/>
    <w:rsid w:val="001A391E"/>
    <w:rsid w:val="001A3D15"/>
    <w:rsid w:val="001A41D0"/>
    <w:rsid w:val="001A4CF7"/>
    <w:rsid w:val="001A594A"/>
    <w:rsid w:val="001A5A78"/>
    <w:rsid w:val="001A661A"/>
    <w:rsid w:val="001A69F0"/>
    <w:rsid w:val="001A744D"/>
    <w:rsid w:val="001A79CD"/>
    <w:rsid w:val="001A7AAC"/>
    <w:rsid w:val="001B1970"/>
    <w:rsid w:val="001B19D2"/>
    <w:rsid w:val="001B1C1F"/>
    <w:rsid w:val="001B2B29"/>
    <w:rsid w:val="001B2D1A"/>
    <w:rsid w:val="001B2D79"/>
    <w:rsid w:val="001B2E12"/>
    <w:rsid w:val="001B3887"/>
    <w:rsid w:val="001B3E1A"/>
    <w:rsid w:val="001B46AA"/>
    <w:rsid w:val="001B4AB4"/>
    <w:rsid w:val="001B518C"/>
    <w:rsid w:val="001B5ABA"/>
    <w:rsid w:val="001B5FE8"/>
    <w:rsid w:val="001B638A"/>
    <w:rsid w:val="001B6780"/>
    <w:rsid w:val="001C071C"/>
    <w:rsid w:val="001C0C22"/>
    <w:rsid w:val="001C11F6"/>
    <w:rsid w:val="001C15DC"/>
    <w:rsid w:val="001C2029"/>
    <w:rsid w:val="001C227C"/>
    <w:rsid w:val="001C22D6"/>
    <w:rsid w:val="001C236E"/>
    <w:rsid w:val="001C2B12"/>
    <w:rsid w:val="001C2C57"/>
    <w:rsid w:val="001C2ED4"/>
    <w:rsid w:val="001C3034"/>
    <w:rsid w:val="001C312C"/>
    <w:rsid w:val="001C315F"/>
    <w:rsid w:val="001C3346"/>
    <w:rsid w:val="001C4193"/>
    <w:rsid w:val="001C4646"/>
    <w:rsid w:val="001C4D29"/>
    <w:rsid w:val="001C57D3"/>
    <w:rsid w:val="001C61F7"/>
    <w:rsid w:val="001C678A"/>
    <w:rsid w:val="001C7C0F"/>
    <w:rsid w:val="001C7C95"/>
    <w:rsid w:val="001C7E35"/>
    <w:rsid w:val="001D00A8"/>
    <w:rsid w:val="001D0439"/>
    <w:rsid w:val="001D0AA1"/>
    <w:rsid w:val="001D2C74"/>
    <w:rsid w:val="001D2E88"/>
    <w:rsid w:val="001D3EC3"/>
    <w:rsid w:val="001D3EE4"/>
    <w:rsid w:val="001D4A4C"/>
    <w:rsid w:val="001D559F"/>
    <w:rsid w:val="001D77F8"/>
    <w:rsid w:val="001E00F3"/>
    <w:rsid w:val="001E038C"/>
    <w:rsid w:val="001E08FA"/>
    <w:rsid w:val="001E0A02"/>
    <w:rsid w:val="001E13DE"/>
    <w:rsid w:val="001E17E5"/>
    <w:rsid w:val="001E203D"/>
    <w:rsid w:val="001E250A"/>
    <w:rsid w:val="001E26C4"/>
    <w:rsid w:val="001E2A32"/>
    <w:rsid w:val="001E33B7"/>
    <w:rsid w:val="001E390D"/>
    <w:rsid w:val="001E3995"/>
    <w:rsid w:val="001E3C10"/>
    <w:rsid w:val="001E4002"/>
    <w:rsid w:val="001E440F"/>
    <w:rsid w:val="001E4B29"/>
    <w:rsid w:val="001E5462"/>
    <w:rsid w:val="001E7E96"/>
    <w:rsid w:val="001F0EF1"/>
    <w:rsid w:val="001F10BC"/>
    <w:rsid w:val="001F18FB"/>
    <w:rsid w:val="001F1C28"/>
    <w:rsid w:val="001F2010"/>
    <w:rsid w:val="001F20CD"/>
    <w:rsid w:val="001F2192"/>
    <w:rsid w:val="001F22D2"/>
    <w:rsid w:val="001F3078"/>
    <w:rsid w:val="001F3306"/>
    <w:rsid w:val="001F3A57"/>
    <w:rsid w:val="001F3FA0"/>
    <w:rsid w:val="001F430E"/>
    <w:rsid w:val="001F4F10"/>
    <w:rsid w:val="001F4FF0"/>
    <w:rsid w:val="001F5401"/>
    <w:rsid w:val="001F54E5"/>
    <w:rsid w:val="001F5642"/>
    <w:rsid w:val="001F5797"/>
    <w:rsid w:val="001F6029"/>
    <w:rsid w:val="001F6192"/>
    <w:rsid w:val="001F66BB"/>
    <w:rsid w:val="001F687C"/>
    <w:rsid w:val="001F6895"/>
    <w:rsid w:val="001F68B9"/>
    <w:rsid w:val="001F6DDC"/>
    <w:rsid w:val="001F71CE"/>
    <w:rsid w:val="001F7394"/>
    <w:rsid w:val="001F760C"/>
    <w:rsid w:val="001F7BF2"/>
    <w:rsid w:val="00200639"/>
    <w:rsid w:val="00200662"/>
    <w:rsid w:val="00200F38"/>
    <w:rsid w:val="002012A6"/>
    <w:rsid w:val="0020146C"/>
    <w:rsid w:val="00201A6B"/>
    <w:rsid w:val="00201D57"/>
    <w:rsid w:val="00201E7D"/>
    <w:rsid w:val="00201F55"/>
    <w:rsid w:val="00202679"/>
    <w:rsid w:val="00202C33"/>
    <w:rsid w:val="002032E0"/>
    <w:rsid w:val="00203577"/>
    <w:rsid w:val="002035A5"/>
    <w:rsid w:val="00203B09"/>
    <w:rsid w:val="00203F38"/>
    <w:rsid w:val="002047F8"/>
    <w:rsid w:val="00205B0A"/>
    <w:rsid w:val="00205E65"/>
    <w:rsid w:val="00206580"/>
    <w:rsid w:val="00206A95"/>
    <w:rsid w:val="00206CA1"/>
    <w:rsid w:val="00206F92"/>
    <w:rsid w:val="00207525"/>
    <w:rsid w:val="00207BAE"/>
    <w:rsid w:val="00210B10"/>
    <w:rsid w:val="002119D5"/>
    <w:rsid w:val="00211CEB"/>
    <w:rsid w:val="00211DF0"/>
    <w:rsid w:val="00212135"/>
    <w:rsid w:val="00212A1D"/>
    <w:rsid w:val="00213413"/>
    <w:rsid w:val="0021368A"/>
    <w:rsid w:val="0021421D"/>
    <w:rsid w:val="00214473"/>
    <w:rsid w:val="00214825"/>
    <w:rsid w:val="002152D0"/>
    <w:rsid w:val="002159F4"/>
    <w:rsid w:val="00215BCE"/>
    <w:rsid w:val="00216230"/>
    <w:rsid w:val="00216310"/>
    <w:rsid w:val="0021665A"/>
    <w:rsid w:val="0021681A"/>
    <w:rsid w:val="00217279"/>
    <w:rsid w:val="00217A46"/>
    <w:rsid w:val="002204CC"/>
    <w:rsid w:val="002205DA"/>
    <w:rsid w:val="00220AC2"/>
    <w:rsid w:val="00221423"/>
    <w:rsid w:val="0022144B"/>
    <w:rsid w:val="002215A4"/>
    <w:rsid w:val="0022170E"/>
    <w:rsid w:val="0022197C"/>
    <w:rsid w:val="00223999"/>
    <w:rsid w:val="00223C81"/>
    <w:rsid w:val="00223D16"/>
    <w:rsid w:val="00224386"/>
    <w:rsid w:val="0022496C"/>
    <w:rsid w:val="00224CF0"/>
    <w:rsid w:val="0022550B"/>
    <w:rsid w:val="002261C3"/>
    <w:rsid w:val="0022634A"/>
    <w:rsid w:val="00227656"/>
    <w:rsid w:val="0022778A"/>
    <w:rsid w:val="002300F4"/>
    <w:rsid w:val="0023077A"/>
    <w:rsid w:val="0023081A"/>
    <w:rsid w:val="00230AD9"/>
    <w:rsid w:val="00231A2C"/>
    <w:rsid w:val="00231B70"/>
    <w:rsid w:val="0023290E"/>
    <w:rsid w:val="00233666"/>
    <w:rsid w:val="0023368F"/>
    <w:rsid w:val="00233B88"/>
    <w:rsid w:val="00234105"/>
    <w:rsid w:val="00235FC9"/>
    <w:rsid w:val="00236250"/>
    <w:rsid w:val="0023633B"/>
    <w:rsid w:val="00236681"/>
    <w:rsid w:val="0023674C"/>
    <w:rsid w:val="00236869"/>
    <w:rsid w:val="00236C20"/>
    <w:rsid w:val="00236CD4"/>
    <w:rsid w:val="00237E16"/>
    <w:rsid w:val="002405F2"/>
    <w:rsid w:val="002418FE"/>
    <w:rsid w:val="00241B41"/>
    <w:rsid w:val="00241D46"/>
    <w:rsid w:val="00242A56"/>
    <w:rsid w:val="00242A87"/>
    <w:rsid w:val="00242AE7"/>
    <w:rsid w:val="00243282"/>
    <w:rsid w:val="0024368F"/>
    <w:rsid w:val="002436D6"/>
    <w:rsid w:val="00243D0E"/>
    <w:rsid w:val="00243FA2"/>
    <w:rsid w:val="00243FB2"/>
    <w:rsid w:val="00244752"/>
    <w:rsid w:val="00245242"/>
    <w:rsid w:val="0024534C"/>
    <w:rsid w:val="00245653"/>
    <w:rsid w:val="00245DA5"/>
    <w:rsid w:val="00246532"/>
    <w:rsid w:val="00246995"/>
    <w:rsid w:val="00246A48"/>
    <w:rsid w:val="00246A86"/>
    <w:rsid w:val="00247016"/>
    <w:rsid w:val="002470CC"/>
    <w:rsid w:val="0025071E"/>
    <w:rsid w:val="0025082B"/>
    <w:rsid w:val="00250F27"/>
    <w:rsid w:val="0025135E"/>
    <w:rsid w:val="002521C1"/>
    <w:rsid w:val="002521EB"/>
    <w:rsid w:val="00252B15"/>
    <w:rsid w:val="00252F04"/>
    <w:rsid w:val="00253490"/>
    <w:rsid w:val="00253CE8"/>
    <w:rsid w:val="00253E33"/>
    <w:rsid w:val="002542DB"/>
    <w:rsid w:val="00254461"/>
    <w:rsid w:val="0025455E"/>
    <w:rsid w:val="00255066"/>
    <w:rsid w:val="00255AC1"/>
    <w:rsid w:val="00255B0F"/>
    <w:rsid w:val="002562D7"/>
    <w:rsid w:val="00256961"/>
    <w:rsid w:val="00256EB6"/>
    <w:rsid w:val="002570C3"/>
    <w:rsid w:val="00257B1C"/>
    <w:rsid w:val="00257DA0"/>
    <w:rsid w:val="00257EB5"/>
    <w:rsid w:val="00257EC7"/>
    <w:rsid w:val="00260080"/>
    <w:rsid w:val="00260317"/>
    <w:rsid w:val="002603AA"/>
    <w:rsid w:val="00260487"/>
    <w:rsid w:val="00260927"/>
    <w:rsid w:val="00260CA7"/>
    <w:rsid w:val="0026116A"/>
    <w:rsid w:val="00262268"/>
    <w:rsid w:val="002628A3"/>
    <w:rsid w:val="00262965"/>
    <w:rsid w:val="00262E4F"/>
    <w:rsid w:val="00263059"/>
    <w:rsid w:val="0026334C"/>
    <w:rsid w:val="00263707"/>
    <w:rsid w:val="00263767"/>
    <w:rsid w:val="00264188"/>
    <w:rsid w:val="00264453"/>
    <w:rsid w:val="0026533D"/>
    <w:rsid w:val="00265B87"/>
    <w:rsid w:val="00265F3F"/>
    <w:rsid w:val="00266C79"/>
    <w:rsid w:val="00266FCB"/>
    <w:rsid w:val="00267113"/>
    <w:rsid w:val="00270D2C"/>
    <w:rsid w:val="002715A3"/>
    <w:rsid w:val="002719C8"/>
    <w:rsid w:val="00271F84"/>
    <w:rsid w:val="00272186"/>
    <w:rsid w:val="002723AB"/>
    <w:rsid w:val="00272EFA"/>
    <w:rsid w:val="002733EA"/>
    <w:rsid w:val="00273C34"/>
    <w:rsid w:val="00276BA6"/>
    <w:rsid w:val="002779A9"/>
    <w:rsid w:val="00280B60"/>
    <w:rsid w:val="00281454"/>
    <w:rsid w:val="00281925"/>
    <w:rsid w:val="00281DDC"/>
    <w:rsid w:val="002825BB"/>
    <w:rsid w:val="002826FA"/>
    <w:rsid w:val="00282798"/>
    <w:rsid w:val="00282817"/>
    <w:rsid w:val="00282E70"/>
    <w:rsid w:val="00282F55"/>
    <w:rsid w:val="00283917"/>
    <w:rsid w:val="0028415C"/>
    <w:rsid w:val="00284499"/>
    <w:rsid w:val="00284D09"/>
    <w:rsid w:val="00284DDC"/>
    <w:rsid w:val="0028555A"/>
    <w:rsid w:val="00285695"/>
    <w:rsid w:val="002856BB"/>
    <w:rsid w:val="00285A34"/>
    <w:rsid w:val="002865DE"/>
    <w:rsid w:val="00287374"/>
    <w:rsid w:val="00287428"/>
    <w:rsid w:val="00287BBD"/>
    <w:rsid w:val="00287E02"/>
    <w:rsid w:val="00287FF8"/>
    <w:rsid w:val="00290592"/>
    <w:rsid w:val="0029073B"/>
    <w:rsid w:val="002916F7"/>
    <w:rsid w:val="00291D18"/>
    <w:rsid w:val="00292194"/>
    <w:rsid w:val="00293B15"/>
    <w:rsid w:val="002942D3"/>
    <w:rsid w:val="00294335"/>
    <w:rsid w:val="00294747"/>
    <w:rsid w:val="00294B52"/>
    <w:rsid w:val="002951E5"/>
    <w:rsid w:val="00295452"/>
    <w:rsid w:val="00295746"/>
    <w:rsid w:val="00295811"/>
    <w:rsid w:val="00295854"/>
    <w:rsid w:val="002959A0"/>
    <w:rsid w:val="00295D08"/>
    <w:rsid w:val="0029687E"/>
    <w:rsid w:val="00296A67"/>
    <w:rsid w:val="00297054"/>
    <w:rsid w:val="00297263"/>
    <w:rsid w:val="00297ABC"/>
    <w:rsid w:val="002A03C7"/>
    <w:rsid w:val="002A0753"/>
    <w:rsid w:val="002A07F3"/>
    <w:rsid w:val="002A1734"/>
    <w:rsid w:val="002A1F42"/>
    <w:rsid w:val="002A23A5"/>
    <w:rsid w:val="002A23BD"/>
    <w:rsid w:val="002A266B"/>
    <w:rsid w:val="002A266C"/>
    <w:rsid w:val="002A2B7E"/>
    <w:rsid w:val="002A2F90"/>
    <w:rsid w:val="002A343A"/>
    <w:rsid w:val="002A3711"/>
    <w:rsid w:val="002A3905"/>
    <w:rsid w:val="002A397F"/>
    <w:rsid w:val="002A3BB5"/>
    <w:rsid w:val="002A3DB8"/>
    <w:rsid w:val="002A409A"/>
    <w:rsid w:val="002A4511"/>
    <w:rsid w:val="002A487C"/>
    <w:rsid w:val="002A49FA"/>
    <w:rsid w:val="002A5195"/>
    <w:rsid w:val="002A5A92"/>
    <w:rsid w:val="002A62F8"/>
    <w:rsid w:val="002A680E"/>
    <w:rsid w:val="002A78A4"/>
    <w:rsid w:val="002A78B2"/>
    <w:rsid w:val="002A7EDB"/>
    <w:rsid w:val="002B0C63"/>
    <w:rsid w:val="002B0D1C"/>
    <w:rsid w:val="002B1054"/>
    <w:rsid w:val="002B25B7"/>
    <w:rsid w:val="002B2665"/>
    <w:rsid w:val="002B285E"/>
    <w:rsid w:val="002B3B1E"/>
    <w:rsid w:val="002B4688"/>
    <w:rsid w:val="002B4862"/>
    <w:rsid w:val="002B4BC9"/>
    <w:rsid w:val="002B5038"/>
    <w:rsid w:val="002B5217"/>
    <w:rsid w:val="002B5452"/>
    <w:rsid w:val="002B5CB9"/>
    <w:rsid w:val="002B69C6"/>
    <w:rsid w:val="002B6F70"/>
    <w:rsid w:val="002B7445"/>
    <w:rsid w:val="002B74E0"/>
    <w:rsid w:val="002B7D9C"/>
    <w:rsid w:val="002B7DB4"/>
    <w:rsid w:val="002C0370"/>
    <w:rsid w:val="002C0FEA"/>
    <w:rsid w:val="002C14D5"/>
    <w:rsid w:val="002C187C"/>
    <w:rsid w:val="002C2024"/>
    <w:rsid w:val="002C2204"/>
    <w:rsid w:val="002C247B"/>
    <w:rsid w:val="002C2A77"/>
    <w:rsid w:val="002C37E7"/>
    <w:rsid w:val="002C3B98"/>
    <w:rsid w:val="002C4F54"/>
    <w:rsid w:val="002C5880"/>
    <w:rsid w:val="002C6859"/>
    <w:rsid w:val="002C7000"/>
    <w:rsid w:val="002C73D1"/>
    <w:rsid w:val="002C762E"/>
    <w:rsid w:val="002C7BB7"/>
    <w:rsid w:val="002D00D1"/>
    <w:rsid w:val="002D039C"/>
    <w:rsid w:val="002D0E10"/>
    <w:rsid w:val="002D0F39"/>
    <w:rsid w:val="002D1250"/>
    <w:rsid w:val="002D12BF"/>
    <w:rsid w:val="002D1653"/>
    <w:rsid w:val="002D175D"/>
    <w:rsid w:val="002D1FC9"/>
    <w:rsid w:val="002D23A4"/>
    <w:rsid w:val="002D245F"/>
    <w:rsid w:val="002D32F8"/>
    <w:rsid w:val="002D3CCB"/>
    <w:rsid w:val="002D3DBC"/>
    <w:rsid w:val="002D4E8D"/>
    <w:rsid w:val="002D575C"/>
    <w:rsid w:val="002D5D87"/>
    <w:rsid w:val="002D6256"/>
    <w:rsid w:val="002D630C"/>
    <w:rsid w:val="002D76FB"/>
    <w:rsid w:val="002D7BB5"/>
    <w:rsid w:val="002D7C7B"/>
    <w:rsid w:val="002E0479"/>
    <w:rsid w:val="002E0CA9"/>
    <w:rsid w:val="002E11AC"/>
    <w:rsid w:val="002E1398"/>
    <w:rsid w:val="002E1912"/>
    <w:rsid w:val="002E1C52"/>
    <w:rsid w:val="002E3820"/>
    <w:rsid w:val="002E43B5"/>
    <w:rsid w:val="002E496A"/>
    <w:rsid w:val="002E65A2"/>
    <w:rsid w:val="002E69F1"/>
    <w:rsid w:val="002E6BC1"/>
    <w:rsid w:val="002E6F46"/>
    <w:rsid w:val="002E72DD"/>
    <w:rsid w:val="002E74C5"/>
    <w:rsid w:val="002E77A2"/>
    <w:rsid w:val="002E787D"/>
    <w:rsid w:val="002E788B"/>
    <w:rsid w:val="002E7A83"/>
    <w:rsid w:val="002E7B11"/>
    <w:rsid w:val="002E7B7F"/>
    <w:rsid w:val="002E7D86"/>
    <w:rsid w:val="002F0912"/>
    <w:rsid w:val="002F13EE"/>
    <w:rsid w:val="002F1718"/>
    <w:rsid w:val="002F1D03"/>
    <w:rsid w:val="002F272D"/>
    <w:rsid w:val="002F2920"/>
    <w:rsid w:val="002F2A81"/>
    <w:rsid w:val="002F2B45"/>
    <w:rsid w:val="002F3CF2"/>
    <w:rsid w:val="002F4E2B"/>
    <w:rsid w:val="002F5B66"/>
    <w:rsid w:val="002F64ED"/>
    <w:rsid w:val="003002E9"/>
    <w:rsid w:val="003004ED"/>
    <w:rsid w:val="00300581"/>
    <w:rsid w:val="003007B1"/>
    <w:rsid w:val="00300DF6"/>
    <w:rsid w:val="00301F80"/>
    <w:rsid w:val="0030215C"/>
    <w:rsid w:val="00302909"/>
    <w:rsid w:val="003030B4"/>
    <w:rsid w:val="0030389A"/>
    <w:rsid w:val="003044DB"/>
    <w:rsid w:val="003047CD"/>
    <w:rsid w:val="003047D3"/>
    <w:rsid w:val="003049E3"/>
    <w:rsid w:val="00304A48"/>
    <w:rsid w:val="00304AD9"/>
    <w:rsid w:val="0030543E"/>
    <w:rsid w:val="00306D39"/>
    <w:rsid w:val="00306F10"/>
    <w:rsid w:val="003077CE"/>
    <w:rsid w:val="00307A88"/>
    <w:rsid w:val="00307C26"/>
    <w:rsid w:val="003101FF"/>
    <w:rsid w:val="0031033C"/>
    <w:rsid w:val="0031053A"/>
    <w:rsid w:val="00311648"/>
    <w:rsid w:val="0031191F"/>
    <w:rsid w:val="003122C1"/>
    <w:rsid w:val="0031233F"/>
    <w:rsid w:val="0031399A"/>
    <w:rsid w:val="003139BC"/>
    <w:rsid w:val="00314D6B"/>
    <w:rsid w:val="0031508F"/>
    <w:rsid w:val="003151EC"/>
    <w:rsid w:val="00315269"/>
    <w:rsid w:val="003156B8"/>
    <w:rsid w:val="00315AAB"/>
    <w:rsid w:val="00315E00"/>
    <w:rsid w:val="00316C64"/>
    <w:rsid w:val="00316F93"/>
    <w:rsid w:val="00316FA6"/>
    <w:rsid w:val="003170A0"/>
    <w:rsid w:val="003177D5"/>
    <w:rsid w:val="0032089D"/>
    <w:rsid w:val="00320993"/>
    <w:rsid w:val="00320B1B"/>
    <w:rsid w:val="00320DC2"/>
    <w:rsid w:val="00320E0A"/>
    <w:rsid w:val="00320E86"/>
    <w:rsid w:val="0032104E"/>
    <w:rsid w:val="0032162C"/>
    <w:rsid w:val="00321813"/>
    <w:rsid w:val="00321F3B"/>
    <w:rsid w:val="0032224F"/>
    <w:rsid w:val="00322955"/>
    <w:rsid w:val="00322A48"/>
    <w:rsid w:val="00322A54"/>
    <w:rsid w:val="00322FE6"/>
    <w:rsid w:val="00323417"/>
    <w:rsid w:val="003234BF"/>
    <w:rsid w:val="00323CED"/>
    <w:rsid w:val="00324007"/>
    <w:rsid w:val="00324662"/>
    <w:rsid w:val="00324730"/>
    <w:rsid w:val="00324854"/>
    <w:rsid w:val="003249CB"/>
    <w:rsid w:val="00324E71"/>
    <w:rsid w:val="00324FE9"/>
    <w:rsid w:val="00326477"/>
    <w:rsid w:val="00326628"/>
    <w:rsid w:val="0032664C"/>
    <w:rsid w:val="003266EB"/>
    <w:rsid w:val="00326EEE"/>
    <w:rsid w:val="0032739D"/>
    <w:rsid w:val="003278CA"/>
    <w:rsid w:val="003278EC"/>
    <w:rsid w:val="00327E2D"/>
    <w:rsid w:val="00330116"/>
    <w:rsid w:val="0033023A"/>
    <w:rsid w:val="00331603"/>
    <w:rsid w:val="00331866"/>
    <w:rsid w:val="0033186C"/>
    <w:rsid w:val="00331BBE"/>
    <w:rsid w:val="00333462"/>
    <w:rsid w:val="00333768"/>
    <w:rsid w:val="00333890"/>
    <w:rsid w:val="00333FE0"/>
    <w:rsid w:val="00334056"/>
    <w:rsid w:val="0033420D"/>
    <w:rsid w:val="00334519"/>
    <w:rsid w:val="00334CB2"/>
    <w:rsid w:val="00335509"/>
    <w:rsid w:val="00335E43"/>
    <w:rsid w:val="0033610A"/>
    <w:rsid w:val="00336A7E"/>
    <w:rsid w:val="00336DFA"/>
    <w:rsid w:val="00337277"/>
    <w:rsid w:val="0033735A"/>
    <w:rsid w:val="0034088D"/>
    <w:rsid w:val="00341659"/>
    <w:rsid w:val="0034193B"/>
    <w:rsid w:val="00341CEC"/>
    <w:rsid w:val="0034213E"/>
    <w:rsid w:val="00342235"/>
    <w:rsid w:val="003425F2"/>
    <w:rsid w:val="00342654"/>
    <w:rsid w:val="00342B93"/>
    <w:rsid w:val="00343536"/>
    <w:rsid w:val="0034394B"/>
    <w:rsid w:val="003440BB"/>
    <w:rsid w:val="003447A3"/>
    <w:rsid w:val="00344802"/>
    <w:rsid w:val="0034530E"/>
    <w:rsid w:val="00345854"/>
    <w:rsid w:val="0034587C"/>
    <w:rsid w:val="00346178"/>
    <w:rsid w:val="003465AB"/>
    <w:rsid w:val="00346780"/>
    <w:rsid w:val="00346D44"/>
    <w:rsid w:val="00347015"/>
    <w:rsid w:val="00347059"/>
    <w:rsid w:val="0034749C"/>
    <w:rsid w:val="0034799B"/>
    <w:rsid w:val="00347A2E"/>
    <w:rsid w:val="003508F6"/>
    <w:rsid w:val="00350D25"/>
    <w:rsid w:val="00351871"/>
    <w:rsid w:val="00351D0F"/>
    <w:rsid w:val="003520F3"/>
    <w:rsid w:val="003523B0"/>
    <w:rsid w:val="00352A04"/>
    <w:rsid w:val="00352E0C"/>
    <w:rsid w:val="003546AA"/>
    <w:rsid w:val="00354943"/>
    <w:rsid w:val="00355020"/>
    <w:rsid w:val="003558BF"/>
    <w:rsid w:val="00356C14"/>
    <w:rsid w:val="00357272"/>
    <w:rsid w:val="00357C20"/>
    <w:rsid w:val="00361C8A"/>
    <w:rsid w:val="00362013"/>
    <w:rsid w:val="003622CA"/>
    <w:rsid w:val="003630AF"/>
    <w:rsid w:val="003631A1"/>
    <w:rsid w:val="00363684"/>
    <w:rsid w:val="00363DD8"/>
    <w:rsid w:val="00364526"/>
    <w:rsid w:val="003645BF"/>
    <w:rsid w:val="003652A3"/>
    <w:rsid w:val="00365BD4"/>
    <w:rsid w:val="00365E6B"/>
    <w:rsid w:val="00366290"/>
    <w:rsid w:val="00366752"/>
    <w:rsid w:val="00367090"/>
    <w:rsid w:val="003706A2"/>
    <w:rsid w:val="00370B53"/>
    <w:rsid w:val="00370CD9"/>
    <w:rsid w:val="003714FA"/>
    <w:rsid w:val="0037167A"/>
    <w:rsid w:val="00371880"/>
    <w:rsid w:val="00372960"/>
    <w:rsid w:val="0037297B"/>
    <w:rsid w:val="00372CFB"/>
    <w:rsid w:val="00373ADC"/>
    <w:rsid w:val="00373F5F"/>
    <w:rsid w:val="003749F8"/>
    <w:rsid w:val="00374DF3"/>
    <w:rsid w:val="00374F2F"/>
    <w:rsid w:val="00375026"/>
    <w:rsid w:val="0037525D"/>
    <w:rsid w:val="003753E1"/>
    <w:rsid w:val="003766AC"/>
    <w:rsid w:val="003767C6"/>
    <w:rsid w:val="00376B5C"/>
    <w:rsid w:val="00376D7B"/>
    <w:rsid w:val="00376F09"/>
    <w:rsid w:val="0037721B"/>
    <w:rsid w:val="00377420"/>
    <w:rsid w:val="003774E9"/>
    <w:rsid w:val="00380214"/>
    <w:rsid w:val="00380312"/>
    <w:rsid w:val="003804CC"/>
    <w:rsid w:val="00380770"/>
    <w:rsid w:val="00381D9D"/>
    <w:rsid w:val="00382595"/>
    <w:rsid w:val="003830AD"/>
    <w:rsid w:val="00384726"/>
    <w:rsid w:val="0038483B"/>
    <w:rsid w:val="003848FF"/>
    <w:rsid w:val="00385000"/>
    <w:rsid w:val="00385524"/>
    <w:rsid w:val="00385697"/>
    <w:rsid w:val="003859AE"/>
    <w:rsid w:val="00386259"/>
    <w:rsid w:val="0038690C"/>
    <w:rsid w:val="00386AE5"/>
    <w:rsid w:val="0038725F"/>
    <w:rsid w:val="003878B4"/>
    <w:rsid w:val="00387BFB"/>
    <w:rsid w:val="00387BFC"/>
    <w:rsid w:val="00387F31"/>
    <w:rsid w:val="003902A9"/>
    <w:rsid w:val="003903FC"/>
    <w:rsid w:val="00390AC4"/>
    <w:rsid w:val="00390B0C"/>
    <w:rsid w:val="00390E1D"/>
    <w:rsid w:val="00391083"/>
    <w:rsid w:val="003911F7"/>
    <w:rsid w:val="00392D07"/>
    <w:rsid w:val="0039306D"/>
    <w:rsid w:val="0039329B"/>
    <w:rsid w:val="003935B9"/>
    <w:rsid w:val="003939CE"/>
    <w:rsid w:val="003940D6"/>
    <w:rsid w:val="0039498E"/>
    <w:rsid w:val="00394B4B"/>
    <w:rsid w:val="00394D77"/>
    <w:rsid w:val="00395335"/>
    <w:rsid w:val="0039677B"/>
    <w:rsid w:val="003967F2"/>
    <w:rsid w:val="0039687E"/>
    <w:rsid w:val="00396968"/>
    <w:rsid w:val="003969B0"/>
    <w:rsid w:val="00396CD3"/>
    <w:rsid w:val="003974A9"/>
    <w:rsid w:val="003974DA"/>
    <w:rsid w:val="003978C9"/>
    <w:rsid w:val="003A060D"/>
    <w:rsid w:val="003A08B9"/>
    <w:rsid w:val="003A15D2"/>
    <w:rsid w:val="003A1E06"/>
    <w:rsid w:val="003A2318"/>
    <w:rsid w:val="003A23ED"/>
    <w:rsid w:val="003A2468"/>
    <w:rsid w:val="003A2905"/>
    <w:rsid w:val="003A2BA6"/>
    <w:rsid w:val="003A32A7"/>
    <w:rsid w:val="003A38B2"/>
    <w:rsid w:val="003A3980"/>
    <w:rsid w:val="003A46B2"/>
    <w:rsid w:val="003A4860"/>
    <w:rsid w:val="003A4E0F"/>
    <w:rsid w:val="003A4FFE"/>
    <w:rsid w:val="003A6CF4"/>
    <w:rsid w:val="003A705F"/>
    <w:rsid w:val="003A73AA"/>
    <w:rsid w:val="003B0A12"/>
    <w:rsid w:val="003B0F66"/>
    <w:rsid w:val="003B19C0"/>
    <w:rsid w:val="003B1A3A"/>
    <w:rsid w:val="003B1CDF"/>
    <w:rsid w:val="003B1F07"/>
    <w:rsid w:val="003B214B"/>
    <w:rsid w:val="003B25A9"/>
    <w:rsid w:val="003B2D3A"/>
    <w:rsid w:val="003B304C"/>
    <w:rsid w:val="003B308B"/>
    <w:rsid w:val="003B33BB"/>
    <w:rsid w:val="003B3529"/>
    <w:rsid w:val="003B35C4"/>
    <w:rsid w:val="003B5383"/>
    <w:rsid w:val="003B53BE"/>
    <w:rsid w:val="003B5872"/>
    <w:rsid w:val="003B5BD7"/>
    <w:rsid w:val="003B5E29"/>
    <w:rsid w:val="003B652A"/>
    <w:rsid w:val="003B6CE6"/>
    <w:rsid w:val="003B71C9"/>
    <w:rsid w:val="003B77A6"/>
    <w:rsid w:val="003B7C9B"/>
    <w:rsid w:val="003C01DC"/>
    <w:rsid w:val="003C0340"/>
    <w:rsid w:val="003C0710"/>
    <w:rsid w:val="003C1129"/>
    <w:rsid w:val="003C1366"/>
    <w:rsid w:val="003C1812"/>
    <w:rsid w:val="003C18FC"/>
    <w:rsid w:val="003C1E21"/>
    <w:rsid w:val="003C25FF"/>
    <w:rsid w:val="003C310C"/>
    <w:rsid w:val="003C486F"/>
    <w:rsid w:val="003C4B07"/>
    <w:rsid w:val="003C4C75"/>
    <w:rsid w:val="003C4DD2"/>
    <w:rsid w:val="003C51E9"/>
    <w:rsid w:val="003C5256"/>
    <w:rsid w:val="003C5E14"/>
    <w:rsid w:val="003C5E73"/>
    <w:rsid w:val="003C6C47"/>
    <w:rsid w:val="003C7900"/>
    <w:rsid w:val="003C7938"/>
    <w:rsid w:val="003C7D4C"/>
    <w:rsid w:val="003D005A"/>
    <w:rsid w:val="003D0338"/>
    <w:rsid w:val="003D06B8"/>
    <w:rsid w:val="003D0B61"/>
    <w:rsid w:val="003D1BF4"/>
    <w:rsid w:val="003D20ED"/>
    <w:rsid w:val="003D2409"/>
    <w:rsid w:val="003D30DC"/>
    <w:rsid w:val="003D3E84"/>
    <w:rsid w:val="003D4C89"/>
    <w:rsid w:val="003D4CDC"/>
    <w:rsid w:val="003D5146"/>
    <w:rsid w:val="003D5C33"/>
    <w:rsid w:val="003D6099"/>
    <w:rsid w:val="003D640C"/>
    <w:rsid w:val="003D7515"/>
    <w:rsid w:val="003D764C"/>
    <w:rsid w:val="003E05AE"/>
    <w:rsid w:val="003E062B"/>
    <w:rsid w:val="003E0E34"/>
    <w:rsid w:val="003E0FF1"/>
    <w:rsid w:val="003E113F"/>
    <w:rsid w:val="003E13B9"/>
    <w:rsid w:val="003E15D9"/>
    <w:rsid w:val="003E1B3F"/>
    <w:rsid w:val="003E1D48"/>
    <w:rsid w:val="003E1E6E"/>
    <w:rsid w:val="003E1E79"/>
    <w:rsid w:val="003E1EF0"/>
    <w:rsid w:val="003E2152"/>
    <w:rsid w:val="003E2615"/>
    <w:rsid w:val="003E3122"/>
    <w:rsid w:val="003E325B"/>
    <w:rsid w:val="003E437A"/>
    <w:rsid w:val="003E4534"/>
    <w:rsid w:val="003E4AD4"/>
    <w:rsid w:val="003E516C"/>
    <w:rsid w:val="003E52D5"/>
    <w:rsid w:val="003E5A22"/>
    <w:rsid w:val="003E5F47"/>
    <w:rsid w:val="003E60AE"/>
    <w:rsid w:val="003E6CF7"/>
    <w:rsid w:val="003E6D8F"/>
    <w:rsid w:val="003E6F2F"/>
    <w:rsid w:val="003E74AA"/>
    <w:rsid w:val="003E7858"/>
    <w:rsid w:val="003E7CDA"/>
    <w:rsid w:val="003E7DC3"/>
    <w:rsid w:val="003F15A1"/>
    <w:rsid w:val="003F1E41"/>
    <w:rsid w:val="003F1EE7"/>
    <w:rsid w:val="003F20BE"/>
    <w:rsid w:val="003F316D"/>
    <w:rsid w:val="003F3179"/>
    <w:rsid w:val="003F323A"/>
    <w:rsid w:val="003F361E"/>
    <w:rsid w:val="003F3A5F"/>
    <w:rsid w:val="003F3DCD"/>
    <w:rsid w:val="003F4250"/>
    <w:rsid w:val="003F4710"/>
    <w:rsid w:val="003F4A06"/>
    <w:rsid w:val="003F4C8E"/>
    <w:rsid w:val="003F4E9B"/>
    <w:rsid w:val="003F4FB1"/>
    <w:rsid w:val="003F53EE"/>
    <w:rsid w:val="003F5BF9"/>
    <w:rsid w:val="003F5FC8"/>
    <w:rsid w:val="003F6A1D"/>
    <w:rsid w:val="003F6F78"/>
    <w:rsid w:val="003F70F6"/>
    <w:rsid w:val="003F793E"/>
    <w:rsid w:val="00401438"/>
    <w:rsid w:val="00401647"/>
    <w:rsid w:val="00401FEC"/>
    <w:rsid w:val="00402395"/>
    <w:rsid w:val="00402526"/>
    <w:rsid w:val="004025A1"/>
    <w:rsid w:val="00402C72"/>
    <w:rsid w:val="004035F0"/>
    <w:rsid w:val="0040374B"/>
    <w:rsid w:val="00403F0E"/>
    <w:rsid w:val="00403F5F"/>
    <w:rsid w:val="00403FE4"/>
    <w:rsid w:val="00404802"/>
    <w:rsid w:val="0040496E"/>
    <w:rsid w:val="00404B55"/>
    <w:rsid w:val="00405452"/>
    <w:rsid w:val="0040550A"/>
    <w:rsid w:val="004060DD"/>
    <w:rsid w:val="004067A0"/>
    <w:rsid w:val="00407D20"/>
    <w:rsid w:val="00407E2D"/>
    <w:rsid w:val="004102AA"/>
    <w:rsid w:val="004112CC"/>
    <w:rsid w:val="00411640"/>
    <w:rsid w:val="00412581"/>
    <w:rsid w:val="0041264D"/>
    <w:rsid w:val="00412BF5"/>
    <w:rsid w:val="00413043"/>
    <w:rsid w:val="00413234"/>
    <w:rsid w:val="00413947"/>
    <w:rsid w:val="00413D05"/>
    <w:rsid w:val="00413EDA"/>
    <w:rsid w:val="004145DD"/>
    <w:rsid w:val="00414AC9"/>
    <w:rsid w:val="004156E4"/>
    <w:rsid w:val="00415BDA"/>
    <w:rsid w:val="004165C8"/>
    <w:rsid w:val="00416E61"/>
    <w:rsid w:val="0042076F"/>
    <w:rsid w:val="00420BB3"/>
    <w:rsid w:val="00420EC3"/>
    <w:rsid w:val="004215F3"/>
    <w:rsid w:val="00421C03"/>
    <w:rsid w:val="004224F1"/>
    <w:rsid w:val="00422693"/>
    <w:rsid w:val="0042279B"/>
    <w:rsid w:val="00423837"/>
    <w:rsid w:val="00423A90"/>
    <w:rsid w:val="00423D6B"/>
    <w:rsid w:val="00423EF6"/>
    <w:rsid w:val="004246BF"/>
    <w:rsid w:val="004247F1"/>
    <w:rsid w:val="00425B06"/>
    <w:rsid w:val="00425C47"/>
    <w:rsid w:val="00425CB4"/>
    <w:rsid w:val="00425D55"/>
    <w:rsid w:val="00425F32"/>
    <w:rsid w:val="004263E0"/>
    <w:rsid w:val="0042687D"/>
    <w:rsid w:val="00426C26"/>
    <w:rsid w:val="00426E67"/>
    <w:rsid w:val="004279B0"/>
    <w:rsid w:val="00430108"/>
    <w:rsid w:val="0043013E"/>
    <w:rsid w:val="004303E2"/>
    <w:rsid w:val="0043046F"/>
    <w:rsid w:val="0043071D"/>
    <w:rsid w:val="00430D50"/>
    <w:rsid w:val="00430FEC"/>
    <w:rsid w:val="004314BA"/>
    <w:rsid w:val="004329C7"/>
    <w:rsid w:val="004329CF"/>
    <w:rsid w:val="00432DC0"/>
    <w:rsid w:val="00433236"/>
    <w:rsid w:val="00433455"/>
    <w:rsid w:val="0043388C"/>
    <w:rsid w:val="0043412C"/>
    <w:rsid w:val="004347AF"/>
    <w:rsid w:val="00434DED"/>
    <w:rsid w:val="00434E54"/>
    <w:rsid w:val="00435029"/>
    <w:rsid w:val="00435E55"/>
    <w:rsid w:val="0043657D"/>
    <w:rsid w:val="00436D86"/>
    <w:rsid w:val="00436E02"/>
    <w:rsid w:val="00437184"/>
    <w:rsid w:val="00437D6B"/>
    <w:rsid w:val="004402F1"/>
    <w:rsid w:val="00440569"/>
    <w:rsid w:val="0044057A"/>
    <w:rsid w:val="0044066D"/>
    <w:rsid w:val="004414EC"/>
    <w:rsid w:val="00441510"/>
    <w:rsid w:val="00441DFD"/>
    <w:rsid w:val="004425A2"/>
    <w:rsid w:val="00442673"/>
    <w:rsid w:val="0044399D"/>
    <w:rsid w:val="004440C9"/>
    <w:rsid w:val="0044435A"/>
    <w:rsid w:val="00444541"/>
    <w:rsid w:val="00444EEA"/>
    <w:rsid w:val="004452F9"/>
    <w:rsid w:val="004453E1"/>
    <w:rsid w:val="00445490"/>
    <w:rsid w:val="00446016"/>
    <w:rsid w:val="00446132"/>
    <w:rsid w:val="00446976"/>
    <w:rsid w:val="00446FB6"/>
    <w:rsid w:val="00447A3C"/>
    <w:rsid w:val="00447E3D"/>
    <w:rsid w:val="004503C1"/>
    <w:rsid w:val="00450B36"/>
    <w:rsid w:val="00450D75"/>
    <w:rsid w:val="00450E02"/>
    <w:rsid w:val="00451168"/>
    <w:rsid w:val="00451545"/>
    <w:rsid w:val="00451581"/>
    <w:rsid w:val="004519B9"/>
    <w:rsid w:val="004522D5"/>
    <w:rsid w:val="00452428"/>
    <w:rsid w:val="0045270A"/>
    <w:rsid w:val="00452BF0"/>
    <w:rsid w:val="00452F4B"/>
    <w:rsid w:val="004536F1"/>
    <w:rsid w:val="004537C0"/>
    <w:rsid w:val="00453E79"/>
    <w:rsid w:val="00453F53"/>
    <w:rsid w:val="0045491D"/>
    <w:rsid w:val="00455323"/>
    <w:rsid w:val="0045538F"/>
    <w:rsid w:val="0045590D"/>
    <w:rsid w:val="00455F76"/>
    <w:rsid w:val="00456158"/>
    <w:rsid w:val="00456C5A"/>
    <w:rsid w:val="00456FBC"/>
    <w:rsid w:val="00457F13"/>
    <w:rsid w:val="004600CA"/>
    <w:rsid w:val="004600CD"/>
    <w:rsid w:val="004606B1"/>
    <w:rsid w:val="00460734"/>
    <w:rsid w:val="0046077E"/>
    <w:rsid w:val="004607AD"/>
    <w:rsid w:val="00460A96"/>
    <w:rsid w:val="00460C9F"/>
    <w:rsid w:val="0046117B"/>
    <w:rsid w:val="00461486"/>
    <w:rsid w:val="0046210A"/>
    <w:rsid w:val="004627C0"/>
    <w:rsid w:val="0046349E"/>
    <w:rsid w:val="00463BB2"/>
    <w:rsid w:val="00463CC1"/>
    <w:rsid w:val="00463D6C"/>
    <w:rsid w:val="004642C3"/>
    <w:rsid w:val="004645BB"/>
    <w:rsid w:val="004645E8"/>
    <w:rsid w:val="00465839"/>
    <w:rsid w:val="00465AEA"/>
    <w:rsid w:val="00465CB3"/>
    <w:rsid w:val="00465D02"/>
    <w:rsid w:val="004665D6"/>
    <w:rsid w:val="004667A2"/>
    <w:rsid w:val="0046691D"/>
    <w:rsid w:val="00466F72"/>
    <w:rsid w:val="004672EE"/>
    <w:rsid w:val="0046737E"/>
    <w:rsid w:val="00470590"/>
    <w:rsid w:val="00471063"/>
    <w:rsid w:val="0047134B"/>
    <w:rsid w:val="004713B1"/>
    <w:rsid w:val="004718DC"/>
    <w:rsid w:val="00471ABA"/>
    <w:rsid w:val="004721EC"/>
    <w:rsid w:val="004729BB"/>
    <w:rsid w:val="00472ADD"/>
    <w:rsid w:val="0047373A"/>
    <w:rsid w:val="00473A09"/>
    <w:rsid w:val="00473EC9"/>
    <w:rsid w:val="00474922"/>
    <w:rsid w:val="004749DD"/>
    <w:rsid w:val="00474A5F"/>
    <w:rsid w:val="00474C24"/>
    <w:rsid w:val="00474D31"/>
    <w:rsid w:val="00475098"/>
    <w:rsid w:val="004752F5"/>
    <w:rsid w:val="00475D6A"/>
    <w:rsid w:val="00476423"/>
    <w:rsid w:val="00476462"/>
    <w:rsid w:val="00477BCF"/>
    <w:rsid w:val="004814A5"/>
    <w:rsid w:val="0048192F"/>
    <w:rsid w:val="00482008"/>
    <w:rsid w:val="0048250A"/>
    <w:rsid w:val="004825D8"/>
    <w:rsid w:val="004825DE"/>
    <w:rsid w:val="00482660"/>
    <w:rsid w:val="00482A2C"/>
    <w:rsid w:val="004832C7"/>
    <w:rsid w:val="0048362F"/>
    <w:rsid w:val="00483A82"/>
    <w:rsid w:val="00483B98"/>
    <w:rsid w:val="00484597"/>
    <w:rsid w:val="0048460E"/>
    <w:rsid w:val="004854A6"/>
    <w:rsid w:val="00485E06"/>
    <w:rsid w:val="00485E7A"/>
    <w:rsid w:val="00485F11"/>
    <w:rsid w:val="00485F59"/>
    <w:rsid w:val="00486A04"/>
    <w:rsid w:val="00486F75"/>
    <w:rsid w:val="00486FFF"/>
    <w:rsid w:val="00487D61"/>
    <w:rsid w:val="00490475"/>
    <w:rsid w:val="004905C7"/>
    <w:rsid w:val="004918BC"/>
    <w:rsid w:val="004918D9"/>
    <w:rsid w:val="00491ADB"/>
    <w:rsid w:val="00491CFE"/>
    <w:rsid w:val="00491F28"/>
    <w:rsid w:val="0049216E"/>
    <w:rsid w:val="00492A6F"/>
    <w:rsid w:val="00492BE0"/>
    <w:rsid w:val="00493B46"/>
    <w:rsid w:val="00493D6C"/>
    <w:rsid w:val="00494208"/>
    <w:rsid w:val="004948C3"/>
    <w:rsid w:val="00495094"/>
    <w:rsid w:val="00495C4A"/>
    <w:rsid w:val="004963CD"/>
    <w:rsid w:val="004963F9"/>
    <w:rsid w:val="004964BB"/>
    <w:rsid w:val="00496638"/>
    <w:rsid w:val="004967FA"/>
    <w:rsid w:val="00497400"/>
    <w:rsid w:val="004975D3"/>
    <w:rsid w:val="004976AB"/>
    <w:rsid w:val="00497B44"/>
    <w:rsid w:val="004A03DA"/>
    <w:rsid w:val="004A0904"/>
    <w:rsid w:val="004A0A00"/>
    <w:rsid w:val="004A0FF5"/>
    <w:rsid w:val="004A110E"/>
    <w:rsid w:val="004A1CB0"/>
    <w:rsid w:val="004A1DDC"/>
    <w:rsid w:val="004A1FAE"/>
    <w:rsid w:val="004A26C9"/>
    <w:rsid w:val="004A28A5"/>
    <w:rsid w:val="004A2B9E"/>
    <w:rsid w:val="004A3177"/>
    <w:rsid w:val="004A3350"/>
    <w:rsid w:val="004A3996"/>
    <w:rsid w:val="004A3997"/>
    <w:rsid w:val="004A3EB2"/>
    <w:rsid w:val="004A47A7"/>
    <w:rsid w:val="004A4B3B"/>
    <w:rsid w:val="004A5D3C"/>
    <w:rsid w:val="004A5FC7"/>
    <w:rsid w:val="004A665A"/>
    <w:rsid w:val="004A6C99"/>
    <w:rsid w:val="004A6DC5"/>
    <w:rsid w:val="004A7024"/>
    <w:rsid w:val="004A7A0F"/>
    <w:rsid w:val="004A7C46"/>
    <w:rsid w:val="004B02F1"/>
    <w:rsid w:val="004B04AF"/>
    <w:rsid w:val="004B0542"/>
    <w:rsid w:val="004B07D2"/>
    <w:rsid w:val="004B0C0B"/>
    <w:rsid w:val="004B0C95"/>
    <w:rsid w:val="004B25AD"/>
    <w:rsid w:val="004B2752"/>
    <w:rsid w:val="004B2871"/>
    <w:rsid w:val="004B3101"/>
    <w:rsid w:val="004B3774"/>
    <w:rsid w:val="004B3A9A"/>
    <w:rsid w:val="004B3C27"/>
    <w:rsid w:val="004B3FB7"/>
    <w:rsid w:val="004B401C"/>
    <w:rsid w:val="004B4259"/>
    <w:rsid w:val="004B4C2D"/>
    <w:rsid w:val="004B53E3"/>
    <w:rsid w:val="004B563A"/>
    <w:rsid w:val="004B5703"/>
    <w:rsid w:val="004B57B1"/>
    <w:rsid w:val="004B59C8"/>
    <w:rsid w:val="004B5DB9"/>
    <w:rsid w:val="004B5E38"/>
    <w:rsid w:val="004B679D"/>
    <w:rsid w:val="004B6867"/>
    <w:rsid w:val="004B6C92"/>
    <w:rsid w:val="004B7236"/>
    <w:rsid w:val="004B7366"/>
    <w:rsid w:val="004B73F4"/>
    <w:rsid w:val="004C008F"/>
    <w:rsid w:val="004C04B5"/>
    <w:rsid w:val="004C05B5"/>
    <w:rsid w:val="004C05B9"/>
    <w:rsid w:val="004C0901"/>
    <w:rsid w:val="004C0BC0"/>
    <w:rsid w:val="004C1159"/>
    <w:rsid w:val="004C1214"/>
    <w:rsid w:val="004C1807"/>
    <w:rsid w:val="004C1FFA"/>
    <w:rsid w:val="004C2499"/>
    <w:rsid w:val="004C26BD"/>
    <w:rsid w:val="004C2C2B"/>
    <w:rsid w:val="004C32CF"/>
    <w:rsid w:val="004C33B9"/>
    <w:rsid w:val="004C3B02"/>
    <w:rsid w:val="004C4497"/>
    <w:rsid w:val="004C54D4"/>
    <w:rsid w:val="004C572F"/>
    <w:rsid w:val="004C596C"/>
    <w:rsid w:val="004C6033"/>
    <w:rsid w:val="004C60BF"/>
    <w:rsid w:val="004C63A9"/>
    <w:rsid w:val="004C7250"/>
    <w:rsid w:val="004D0727"/>
    <w:rsid w:val="004D09AC"/>
    <w:rsid w:val="004D09FA"/>
    <w:rsid w:val="004D1179"/>
    <w:rsid w:val="004D191F"/>
    <w:rsid w:val="004D1C87"/>
    <w:rsid w:val="004D1FD3"/>
    <w:rsid w:val="004D20AA"/>
    <w:rsid w:val="004D2257"/>
    <w:rsid w:val="004D2CD2"/>
    <w:rsid w:val="004D2EA2"/>
    <w:rsid w:val="004D309D"/>
    <w:rsid w:val="004D337F"/>
    <w:rsid w:val="004D374D"/>
    <w:rsid w:val="004D3B48"/>
    <w:rsid w:val="004D3F5C"/>
    <w:rsid w:val="004D40DD"/>
    <w:rsid w:val="004D5371"/>
    <w:rsid w:val="004D5725"/>
    <w:rsid w:val="004D584A"/>
    <w:rsid w:val="004D5CF6"/>
    <w:rsid w:val="004D6A59"/>
    <w:rsid w:val="004D7228"/>
    <w:rsid w:val="004D73FB"/>
    <w:rsid w:val="004D74A1"/>
    <w:rsid w:val="004D751C"/>
    <w:rsid w:val="004D7E02"/>
    <w:rsid w:val="004E0384"/>
    <w:rsid w:val="004E093F"/>
    <w:rsid w:val="004E0BE3"/>
    <w:rsid w:val="004E0BF0"/>
    <w:rsid w:val="004E0CBC"/>
    <w:rsid w:val="004E0F00"/>
    <w:rsid w:val="004E106D"/>
    <w:rsid w:val="004E1556"/>
    <w:rsid w:val="004E1BF8"/>
    <w:rsid w:val="004E1CCE"/>
    <w:rsid w:val="004E1DDF"/>
    <w:rsid w:val="004E23DF"/>
    <w:rsid w:val="004E2501"/>
    <w:rsid w:val="004E36BF"/>
    <w:rsid w:val="004E3739"/>
    <w:rsid w:val="004E41BF"/>
    <w:rsid w:val="004E4D65"/>
    <w:rsid w:val="004E5423"/>
    <w:rsid w:val="004E6582"/>
    <w:rsid w:val="004E6798"/>
    <w:rsid w:val="004E6B04"/>
    <w:rsid w:val="004E70B6"/>
    <w:rsid w:val="004E70CA"/>
    <w:rsid w:val="004E70F0"/>
    <w:rsid w:val="004E71DA"/>
    <w:rsid w:val="004E7631"/>
    <w:rsid w:val="004E7A01"/>
    <w:rsid w:val="004E7FA4"/>
    <w:rsid w:val="004F0A64"/>
    <w:rsid w:val="004F1EAC"/>
    <w:rsid w:val="004F1FDE"/>
    <w:rsid w:val="004F2C6B"/>
    <w:rsid w:val="004F2DC0"/>
    <w:rsid w:val="004F3835"/>
    <w:rsid w:val="004F3C35"/>
    <w:rsid w:val="004F3F13"/>
    <w:rsid w:val="004F3FD3"/>
    <w:rsid w:val="004F405C"/>
    <w:rsid w:val="004F409E"/>
    <w:rsid w:val="004F467F"/>
    <w:rsid w:val="004F4CE8"/>
    <w:rsid w:val="004F595E"/>
    <w:rsid w:val="004F6785"/>
    <w:rsid w:val="004F6A55"/>
    <w:rsid w:val="004F6D13"/>
    <w:rsid w:val="004F7062"/>
    <w:rsid w:val="004F7227"/>
    <w:rsid w:val="004F724A"/>
    <w:rsid w:val="004F75F7"/>
    <w:rsid w:val="004F7A99"/>
    <w:rsid w:val="005005C2"/>
    <w:rsid w:val="005008BE"/>
    <w:rsid w:val="00500FEF"/>
    <w:rsid w:val="005013B6"/>
    <w:rsid w:val="00502F48"/>
    <w:rsid w:val="005032D7"/>
    <w:rsid w:val="00503A39"/>
    <w:rsid w:val="00504490"/>
    <w:rsid w:val="005049D2"/>
    <w:rsid w:val="00504F98"/>
    <w:rsid w:val="00505056"/>
    <w:rsid w:val="005050ED"/>
    <w:rsid w:val="00505650"/>
    <w:rsid w:val="0050621C"/>
    <w:rsid w:val="00506A85"/>
    <w:rsid w:val="0051118A"/>
    <w:rsid w:val="005115DA"/>
    <w:rsid w:val="00511811"/>
    <w:rsid w:val="00511B4A"/>
    <w:rsid w:val="00512020"/>
    <w:rsid w:val="00512763"/>
    <w:rsid w:val="00512836"/>
    <w:rsid w:val="00513114"/>
    <w:rsid w:val="005132D7"/>
    <w:rsid w:val="00513FCF"/>
    <w:rsid w:val="00514644"/>
    <w:rsid w:val="00514ACD"/>
    <w:rsid w:val="00514F69"/>
    <w:rsid w:val="00515169"/>
    <w:rsid w:val="00515FAC"/>
    <w:rsid w:val="005160D6"/>
    <w:rsid w:val="005165C1"/>
    <w:rsid w:val="00516671"/>
    <w:rsid w:val="00516D16"/>
    <w:rsid w:val="00516DC5"/>
    <w:rsid w:val="00520430"/>
    <w:rsid w:val="00520B7D"/>
    <w:rsid w:val="00521062"/>
    <w:rsid w:val="0052141D"/>
    <w:rsid w:val="00521748"/>
    <w:rsid w:val="00521A89"/>
    <w:rsid w:val="00521B7B"/>
    <w:rsid w:val="00521C53"/>
    <w:rsid w:val="00522FC4"/>
    <w:rsid w:val="0052300B"/>
    <w:rsid w:val="00523219"/>
    <w:rsid w:val="00523B23"/>
    <w:rsid w:val="005240A6"/>
    <w:rsid w:val="005242AB"/>
    <w:rsid w:val="005245CA"/>
    <w:rsid w:val="00524E24"/>
    <w:rsid w:val="0052578D"/>
    <w:rsid w:val="005257F1"/>
    <w:rsid w:val="0052583F"/>
    <w:rsid w:val="00525A00"/>
    <w:rsid w:val="00525F6B"/>
    <w:rsid w:val="00526225"/>
    <w:rsid w:val="00526766"/>
    <w:rsid w:val="005269F6"/>
    <w:rsid w:val="00527EF2"/>
    <w:rsid w:val="00527F45"/>
    <w:rsid w:val="00530097"/>
    <w:rsid w:val="0053028F"/>
    <w:rsid w:val="0053068C"/>
    <w:rsid w:val="00530AE9"/>
    <w:rsid w:val="00530D98"/>
    <w:rsid w:val="00531D19"/>
    <w:rsid w:val="005321A8"/>
    <w:rsid w:val="005322FB"/>
    <w:rsid w:val="005332CC"/>
    <w:rsid w:val="00533956"/>
    <w:rsid w:val="00533BF0"/>
    <w:rsid w:val="005343CC"/>
    <w:rsid w:val="005349BF"/>
    <w:rsid w:val="00534C77"/>
    <w:rsid w:val="00535110"/>
    <w:rsid w:val="005356ED"/>
    <w:rsid w:val="00536D97"/>
    <w:rsid w:val="00537F9C"/>
    <w:rsid w:val="0054010D"/>
    <w:rsid w:val="00540E5D"/>
    <w:rsid w:val="005419B5"/>
    <w:rsid w:val="005420F8"/>
    <w:rsid w:val="005424B7"/>
    <w:rsid w:val="00542C9A"/>
    <w:rsid w:val="0054346E"/>
    <w:rsid w:val="005437C2"/>
    <w:rsid w:val="00543B6A"/>
    <w:rsid w:val="0054476D"/>
    <w:rsid w:val="00544D4B"/>
    <w:rsid w:val="005451DE"/>
    <w:rsid w:val="005454B7"/>
    <w:rsid w:val="0054592E"/>
    <w:rsid w:val="00546019"/>
    <w:rsid w:val="00546756"/>
    <w:rsid w:val="00546E9D"/>
    <w:rsid w:val="00550409"/>
    <w:rsid w:val="005505EF"/>
    <w:rsid w:val="00550A22"/>
    <w:rsid w:val="00550AC5"/>
    <w:rsid w:val="00550E76"/>
    <w:rsid w:val="00550F89"/>
    <w:rsid w:val="00551110"/>
    <w:rsid w:val="0055143A"/>
    <w:rsid w:val="00551BB6"/>
    <w:rsid w:val="00551C1C"/>
    <w:rsid w:val="00552051"/>
    <w:rsid w:val="00552A37"/>
    <w:rsid w:val="00552CA4"/>
    <w:rsid w:val="00554019"/>
    <w:rsid w:val="00554426"/>
    <w:rsid w:val="005545F7"/>
    <w:rsid w:val="00554747"/>
    <w:rsid w:val="00554803"/>
    <w:rsid w:val="005550BC"/>
    <w:rsid w:val="00555861"/>
    <w:rsid w:val="00555B4E"/>
    <w:rsid w:val="00555CE0"/>
    <w:rsid w:val="00555FC6"/>
    <w:rsid w:val="0055644B"/>
    <w:rsid w:val="005568D2"/>
    <w:rsid w:val="00556ADA"/>
    <w:rsid w:val="00557032"/>
    <w:rsid w:val="0055729C"/>
    <w:rsid w:val="0055742F"/>
    <w:rsid w:val="00560180"/>
    <w:rsid w:val="005602F0"/>
    <w:rsid w:val="0056047E"/>
    <w:rsid w:val="00560965"/>
    <w:rsid w:val="00560B3D"/>
    <w:rsid w:val="00560BD0"/>
    <w:rsid w:val="00560F27"/>
    <w:rsid w:val="00561144"/>
    <w:rsid w:val="00561221"/>
    <w:rsid w:val="0056151C"/>
    <w:rsid w:val="005617F5"/>
    <w:rsid w:val="005618E2"/>
    <w:rsid w:val="00561A34"/>
    <w:rsid w:val="00561D93"/>
    <w:rsid w:val="00562526"/>
    <w:rsid w:val="00562A06"/>
    <w:rsid w:val="00562A5E"/>
    <w:rsid w:val="00563190"/>
    <w:rsid w:val="00563C09"/>
    <w:rsid w:val="005642A0"/>
    <w:rsid w:val="005655F8"/>
    <w:rsid w:val="0056590E"/>
    <w:rsid w:val="005661F2"/>
    <w:rsid w:val="00566A10"/>
    <w:rsid w:val="00566FBB"/>
    <w:rsid w:val="00567551"/>
    <w:rsid w:val="005675A8"/>
    <w:rsid w:val="005676FF"/>
    <w:rsid w:val="00567864"/>
    <w:rsid w:val="0056789E"/>
    <w:rsid w:val="00567BBF"/>
    <w:rsid w:val="00570E73"/>
    <w:rsid w:val="005716B9"/>
    <w:rsid w:val="00571B12"/>
    <w:rsid w:val="00571FE3"/>
    <w:rsid w:val="00572378"/>
    <w:rsid w:val="0057264F"/>
    <w:rsid w:val="00572C3C"/>
    <w:rsid w:val="0057304A"/>
    <w:rsid w:val="005732A0"/>
    <w:rsid w:val="005732C7"/>
    <w:rsid w:val="00573561"/>
    <w:rsid w:val="0057436A"/>
    <w:rsid w:val="005747C0"/>
    <w:rsid w:val="00574B8B"/>
    <w:rsid w:val="00574EB0"/>
    <w:rsid w:val="0057583D"/>
    <w:rsid w:val="00575BD2"/>
    <w:rsid w:val="00575F61"/>
    <w:rsid w:val="0057664F"/>
    <w:rsid w:val="00576B3C"/>
    <w:rsid w:val="005770A3"/>
    <w:rsid w:val="00577502"/>
    <w:rsid w:val="00577752"/>
    <w:rsid w:val="00577E32"/>
    <w:rsid w:val="005806E3"/>
    <w:rsid w:val="0058083C"/>
    <w:rsid w:val="00580943"/>
    <w:rsid w:val="005817FE"/>
    <w:rsid w:val="00581B99"/>
    <w:rsid w:val="005822E1"/>
    <w:rsid w:val="00582316"/>
    <w:rsid w:val="0058243B"/>
    <w:rsid w:val="00582790"/>
    <w:rsid w:val="00582E22"/>
    <w:rsid w:val="005830CE"/>
    <w:rsid w:val="005834B9"/>
    <w:rsid w:val="00583742"/>
    <w:rsid w:val="00584749"/>
    <w:rsid w:val="00584CDA"/>
    <w:rsid w:val="00584D91"/>
    <w:rsid w:val="00585006"/>
    <w:rsid w:val="005854A7"/>
    <w:rsid w:val="005859F7"/>
    <w:rsid w:val="00585A3F"/>
    <w:rsid w:val="00585E8E"/>
    <w:rsid w:val="00585F07"/>
    <w:rsid w:val="005862D3"/>
    <w:rsid w:val="0058638E"/>
    <w:rsid w:val="00586D6D"/>
    <w:rsid w:val="00587FA4"/>
    <w:rsid w:val="0059011C"/>
    <w:rsid w:val="005906CF"/>
    <w:rsid w:val="00591963"/>
    <w:rsid w:val="00591C2B"/>
    <w:rsid w:val="00591E2D"/>
    <w:rsid w:val="00592FAD"/>
    <w:rsid w:val="0059323E"/>
    <w:rsid w:val="00593B9F"/>
    <w:rsid w:val="00593D2E"/>
    <w:rsid w:val="00593ED3"/>
    <w:rsid w:val="00594734"/>
    <w:rsid w:val="0059476A"/>
    <w:rsid w:val="00594C68"/>
    <w:rsid w:val="00595035"/>
    <w:rsid w:val="005951EE"/>
    <w:rsid w:val="005953E7"/>
    <w:rsid w:val="00595444"/>
    <w:rsid w:val="00595ABC"/>
    <w:rsid w:val="00595CE9"/>
    <w:rsid w:val="00596467"/>
    <w:rsid w:val="00596543"/>
    <w:rsid w:val="0059684B"/>
    <w:rsid w:val="00596E78"/>
    <w:rsid w:val="0059764B"/>
    <w:rsid w:val="00597B2E"/>
    <w:rsid w:val="00597B33"/>
    <w:rsid w:val="005A028A"/>
    <w:rsid w:val="005A0D22"/>
    <w:rsid w:val="005A0FE3"/>
    <w:rsid w:val="005A15FF"/>
    <w:rsid w:val="005A2096"/>
    <w:rsid w:val="005A287A"/>
    <w:rsid w:val="005A31E5"/>
    <w:rsid w:val="005A33BA"/>
    <w:rsid w:val="005A33F1"/>
    <w:rsid w:val="005A36C7"/>
    <w:rsid w:val="005A3907"/>
    <w:rsid w:val="005A4096"/>
    <w:rsid w:val="005A4194"/>
    <w:rsid w:val="005A41C9"/>
    <w:rsid w:val="005A497F"/>
    <w:rsid w:val="005A5190"/>
    <w:rsid w:val="005A6141"/>
    <w:rsid w:val="005A635A"/>
    <w:rsid w:val="005A6426"/>
    <w:rsid w:val="005A64A4"/>
    <w:rsid w:val="005A6AE1"/>
    <w:rsid w:val="005A75A1"/>
    <w:rsid w:val="005A7DBE"/>
    <w:rsid w:val="005B01F3"/>
    <w:rsid w:val="005B12A9"/>
    <w:rsid w:val="005B1760"/>
    <w:rsid w:val="005B179E"/>
    <w:rsid w:val="005B1818"/>
    <w:rsid w:val="005B181B"/>
    <w:rsid w:val="005B1C1E"/>
    <w:rsid w:val="005B1C8E"/>
    <w:rsid w:val="005B1E64"/>
    <w:rsid w:val="005B212C"/>
    <w:rsid w:val="005B266D"/>
    <w:rsid w:val="005B2738"/>
    <w:rsid w:val="005B2CEA"/>
    <w:rsid w:val="005B382B"/>
    <w:rsid w:val="005B3BC2"/>
    <w:rsid w:val="005B40C9"/>
    <w:rsid w:val="005B40D6"/>
    <w:rsid w:val="005B434D"/>
    <w:rsid w:val="005B483A"/>
    <w:rsid w:val="005B50C3"/>
    <w:rsid w:val="005B55FD"/>
    <w:rsid w:val="005B6C96"/>
    <w:rsid w:val="005B727E"/>
    <w:rsid w:val="005B7D9B"/>
    <w:rsid w:val="005C097F"/>
    <w:rsid w:val="005C0A99"/>
    <w:rsid w:val="005C148D"/>
    <w:rsid w:val="005C18C4"/>
    <w:rsid w:val="005C1947"/>
    <w:rsid w:val="005C1A48"/>
    <w:rsid w:val="005C209E"/>
    <w:rsid w:val="005C2572"/>
    <w:rsid w:val="005C2C35"/>
    <w:rsid w:val="005C311E"/>
    <w:rsid w:val="005C320A"/>
    <w:rsid w:val="005C32C6"/>
    <w:rsid w:val="005C3589"/>
    <w:rsid w:val="005C36FA"/>
    <w:rsid w:val="005C39B3"/>
    <w:rsid w:val="005C39C6"/>
    <w:rsid w:val="005C40EA"/>
    <w:rsid w:val="005C43F5"/>
    <w:rsid w:val="005C465D"/>
    <w:rsid w:val="005C4B25"/>
    <w:rsid w:val="005C4C48"/>
    <w:rsid w:val="005C4C88"/>
    <w:rsid w:val="005C4D2B"/>
    <w:rsid w:val="005C50F9"/>
    <w:rsid w:val="005C5218"/>
    <w:rsid w:val="005C5FAB"/>
    <w:rsid w:val="005C6356"/>
    <w:rsid w:val="005C64D7"/>
    <w:rsid w:val="005C658C"/>
    <w:rsid w:val="005C65D7"/>
    <w:rsid w:val="005C68A2"/>
    <w:rsid w:val="005C6DB2"/>
    <w:rsid w:val="005C7389"/>
    <w:rsid w:val="005C7503"/>
    <w:rsid w:val="005C7E47"/>
    <w:rsid w:val="005D0242"/>
    <w:rsid w:val="005D05FD"/>
    <w:rsid w:val="005D28E8"/>
    <w:rsid w:val="005D3291"/>
    <w:rsid w:val="005D32B2"/>
    <w:rsid w:val="005D3784"/>
    <w:rsid w:val="005D442A"/>
    <w:rsid w:val="005D4FDA"/>
    <w:rsid w:val="005D546F"/>
    <w:rsid w:val="005D5B78"/>
    <w:rsid w:val="005D5F47"/>
    <w:rsid w:val="005D6636"/>
    <w:rsid w:val="005D6806"/>
    <w:rsid w:val="005D7258"/>
    <w:rsid w:val="005D7D99"/>
    <w:rsid w:val="005D7E72"/>
    <w:rsid w:val="005E01FA"/>
    <w:rsid w:val="005E05EE"/>
    <w:rsid w:val="005E0882"/>
    <w:rsid w:val="005E13AE"/>
    <w:rsid w:val="005E13C0"/>
    <w:rsid w:val="005E1A6D"/>
    <w:rsid w:val="005E27BB"/>
    <w:rsid w:val="005E32F5"/>
    <w:rsid w:val="005E5085"/>
    <w:rsid w:val="005E5F08"/>
    <w:rsid w:val="005E621B"/>
    <w:rsid w:val="005E68EE"/>
    <w:rsid w:val="005E71E4"/>
    <w:rsid w:val="005E7D7A"/>
    <w:rsid w:val="005F003E"/>
    <w:rsid w:val="005F02EF"/>
    <w:rsid w:val="005F030B"/>
    <w:rsid w:val="005F0D3D"/>
    <w:rsid w:val="005F11FD"/>
    <w:rsid w:val="005F1411"/>
    <w:rsid w:val="005F1514"/>
    <w:rsid w:val="005F1721"/>
    <w:rsid w:val="005F1D2D"/>
    <w:rsid w:val="005F1D48"/>
    <w:rsid w:val="005F1D6B"/>
    <w:rsid w:val="005F1E34"/>
    <w:rsid w:val="005F1FF9"/>
    <w:rsid w:val="005F266D"/>
    <w:rsid w:val="005F3098"/>
    <w:rsid w:val="005F3405"/>
    <w:rsid w:val="005F3572"/>
    <w:rsid w:val="005F3CEB"/>
    <w:rsid w:val="005F3DEF"/>
    <w:rsid w:val="005F4082"/>
    <w:rsid w:val="005F456E"/>
    <w:rsid w:val="005F4CA8"/>
    <w:rsid w:val="005F5BE4"/>
    <w:rsid w:val="005F5F87"/>
    <w:rsid w:val="005F618D"/>
    <w:rsid w:val="005F6278"/>
    <w:rsid w:val="005F6991"/>
    <w:rsid w:val="005F7D57"/>
    <w:rsid w:val="006004DA"/>
    <w:rsid w:val="006005D8"/>
    <w:rsid w:val="0060188D"/>
    <w:rsid w:val="00601DA1"/>
    <w:rsid w:val="00601F0A"/>
    <w:rsid w:val="006039E4"/>
    <w:rsid w:val="00603D42"/>
    <w:rsid w:val="00603E4A"/>
    <w:rsid w:val="00603FC8"/>
    <w:rsid w:val="0060402E"/>
    <w:rsid w:val="00604235"/>
    <w:rsid w:val="006042E8"/>
    <w:rsid w:val="00604323"/>
    <w:rsid w:val="0060466C"/>
    <w:rsid w:val="006046C2"/>
    <w:rsid w:val="00604728"/>
    <w:rsid w:val="00606042"/>
    <w:rsid w:val="0060646C"/>
    <w:rsid w:val="006067E0"/>
    <w:rsid w:val="00606AAC"/>
    <w:rsid w:val="00606CE8"/>
    <w:rsid w:val="00607D2B"/>
    <w:rsid w:val="00610034"/>
    <w:rsid w:val="00610792"/>
    <w:rsid w:val="00610B57"/>
    <w:rsid w:val="006116A4"/>
    <w:rsid w:val="00612316"/>
    <w:rsid w:val="0061252C"/>
    <w:rsid w:val="00612869"/>
    <w:rsid w:val="00612998"/>
    <w:rsid w:val="00612EA1"/>
    <w:rsid w:val="0061336E"/>
    <w:rsid w:val="00613AEB"/>
    <w:rsid w:val="00613C73"/>
    <w:rsid w:val="00613E69"/>
    <w:rsid w:val="00615224"/>
    <w:rsid w:val="006154E1"/>
    <w:rsid w:val="00615837"/>
    <w:rsid w:val="006158C0"/>
    <w:rsid w:val="00615BC2"/>
    <w:rsid w:val="00615C3C"/>
    <w:rsid w:val="006160F1"/>
    <w:rsid w:val="006163C3"/>
    <w:rsid w:val="0061651D"/>
    <w:rsid w:val="00616A6A"/>
    <w:rsid w:val="00616FA0"/>
    <w:rsid w:val="0061734B"/>
    <w:rsid w:val="006176CF"/>
    <w:rsid w:val="006178B3"/>
    <w:rsid w:val="00617B6C"/>
    <w:rsid w:val="00617C94"/>
    <w:rsid w:val="00617DEC"/>
    <w:rsid w:val="00617F4C"/>
    <w:rsid w:val="0062040C"/>
    <w:rsid w:val="006206B9"/>
    <w:rsid w:val="006207F4"/>
    <w:rsid w:val="00620E3A"/>
    <w:rsid w:val="00621427"/>
    <w:rsid w:val="00621B93"/>
    <w:rsid w:val="00621D73"/>
    <w:rsid w:val="00621DCF"/>
    <w:rsid w:val="00622164"/>
    <w:rsid w:val="00622178"/>
    <w:rsid w:val="0062285D"/>
    <w:rsid w:val="00622C3A"/>
    <w:rsid w:val="00622F98"/>
    <w:rsid w:val="006236C2"/>
    <w:rsid w:val="00624224"/>
    <w:rsid w:val="00624CEE"/>
    <w:rsid w:val="00624FD1"/>
    <w:rsid w:val="00625670"/>
    <w:rsid w:val="00625A4B"/>
    <w:rsid w:val="00625FE6"/>
    <w:rsid w:val="00626CCF"/>
    <w:rsid w:val="00626D5C"/>
    <w:rsid w:val="00627894"/>
    <w:rsid w:val="00627A32"/>
    <w:rsid w:val="006300C0"/>
    <w:rsid w:val="0063091D"/>
    <w:rsid w:val="00630AF5"/>
    <w:rsid w:val="00630F7A"/>
    <w:rsid w:val="00631808"/>
    <w:rsid w:val="006318FA"/>
    <w:rsid w:val="00631B12"/>
    <w:rsid w:val="00632059"/>
    <w:rsid w:val="006320FC"/>
    <w:rsid w:val="00632120"/>
    <w:rsid w:val="00632159"/>
    <w:rsid w:val="00633B4B"/>
    <w:rsid w:val="00633D65"/>
    <w:rsid w:val="006344F3"/>
    <w:rsid w:val="0063495B"/>
    <w:rsid w:val="00634D0B"/>
    <w:rsid w:val="00634EB3"/>
    <w:rsid w:val="00634FAE"/>
    <w:rsid w:val="00635D66"/>
    <w:rsid w:val="0063642E"/>
    <w:rsid w:val="006364A5"/>
    <w:rsid w:val="00636A21"/>
    <w:rsid w:val="00636BF3"/>
    <w:rsid w:val="00637672"/>
    <w:rsid w:val="0063785B"/>
    <w:rsid w:val="00637DA4"/>
    <w:rsid w:val="00637DA8"/>
    <w:rsid w:val="0064015C"/>
    <w:rsid w:val="0064041C"/>
    <w:rsid w:val="0064069C"/>
    <w:rsid w:val="00641648"/>
    <w:rsid w:val="00641DA3"/>
    <w:rsid w:val="006429E7"/>
    <w:rsid w:val="0064464F"/>
    <w:rsid w:val="006449D0"/>
    <w:rsid w:val="00644A4B"/>
    <w:rsid w:val="00645935"/>
    <w:rsid w:val="00645ECF"/>
    <w:rsid w:val="006462E6"/>
    <w:rsid w:val="006463F8"/>
    <w:rsid w:val="0064659A"/>
    <w:rsid w:val="006474E1"/>
    <w:rsid w:val="0064779B"/>
    <w:rsid w:val="00647A14"/>
    <w:rsid w:val="00647A7D"/>
    <w:rsid w:val="00650292"/>
    <w:rsid w:val="00650763"/>
    <w:rsid w:val="00650CEE"/>
    <w:rsid w:val="0065151A"/>
    <w:rsid w:val="00651554"/>
    <w:rsid w:val="006519F9"/>
    <w:rsid w:val="006531F8"/>
    <w:rsid w:val="00654C4E"/>
    <w:rsid w:val="00654D2E"/>
    <w:rsid w:val="00654E20"/>
    <w:rsid w:val="006554F5"/>
    <w:rsid w:val="006557AC"/>
    <w:rsid w:val="006561D9"/>
    <w:rsid w:val="006562BD"/>
    <w:rsid w:val="00656783"/>
    <w:rsid w:val="0065696A"/>
    <w:rsid w:val="006573B3"/>
    <w:rsid w:val="006576A6"/>
    <w:rsid w:val="0065788E"/>
    <w:rsid w:val="0066092D"/>
    <w:rsid w:val="00660F3E"/>
    <w:rsid w:val="00660F79"/>
    <w:rsid w:val="006625A9"/>
    <w:rsid w:val="00662D00"/>
    <w:rsid w:val="00662FF9"/>
    <w:rsid w:val="006631A3"/>
    <w:rsid w:val="00663357"/>
    <w:rsid w:val="006633E4"/>
    <w:rsid w:val="00663EC8"/>
    <w:rsid w:val="006644C3"/>
    <w:rsid w:val="006645F2"/>
    <w:rsid w:val="006651DE"/>
    <w:rsid w:val="0066648C"/>
    <w:rsid w:val="00666B68"/>
    <w:rsid w:val="00667449"/>
    <w:rsid w:val="006678BE"/>
    <w:rsid w:val="00667BC6"/>
    <w:rsid w:val="006703BE"/>
    <w:rsid w:val="0067129C"/>
    <w:rsid w:val="0067139A"/>
    <w:rsid w:val="00671420"/>
    <w:rsid w:val="00671441"/>
    <w:rsid w:val="0067217F"/>
    <w:rsid w:val="00672A6E"/>
    <w:rsid w:val="00673991"/>
    <w:rsid w:val="00673A68"/>
    <w:rsid w:val="0067413E"/>
    <w:rsid w:val="006746D5"/>
    <w:rsid w:val="00674DB4"/>
    <w:rsid w:val="00674F3C"/>
    <w:rsid w:val="006759A6"/>
    <w:rsid w:val="00675C7E"/>
    <w:rsid w:val="0067631E"/>
    <w:rsid w:val="00676DE5"/>
    <w:rsid w:val="00676E16"/>
    <w:rsid w:val="00677618"/>
    <w:rsid w:val="00677CEE"/>
    <w:rsid w:val="00677F4D"/>
    <w:rsid w:val="0068066C"/>
    <w:rsid w:val="00680CF7"/>
    <w:rsid w:val="006810F0"/>
    <w:rsid w:val="006820AB"/>
    <w:rsid w:val="00682275"/>
    <w:rsid w:val="00682EDE"/>
    <w:rsid w:val="00682F29"/>
    <w:rsid w:val="006833CC"/>
    <w:rsid w:val="0068349F"/>
    <w:rsid w:val="006835EB"/>
    <w:rsid w:val="006837F0"/>
    <w:rsid w:val="00683829"/>
    <w:rsid w:val="00683853"/>
    <w:rsid w:val="00683AA6"/>
    <w:rsid w:val="00683C99"/>
    <w:rsid w:val="006844B1"/>
    <w:rsid w:val="0068489F"/>
    <w:rsid w:val="00684D96"/>
    <w:rsid w:val="00684F51"/>
    <w:rsid w:val="0068553D"/>
    <w:rsid w:val="006855B9"/>
    <w:rsid w:val="00685616"/>
    <w:rsid w:val="00685E29"/>
    <w:rsid w:val="00686729"/>
    <w:rsid w:val="006869CC"/>
    <w:rsid w:val="00686D3A"/>
    <w:rsid w:val="00686EDE"/>
    <w:rsid w:val="006873D7"/>
    <w:rsid w:val="0068746D"/>
    <w:rsid w:val="00687C6A"/>
    <w:rsid w:val="00690178"/>
    <w:rsid w:val="00690977"/>
    <w:rsid w:val="00691221"/>
    <w:rsid w:val="00691278"/>
    <w:rsid w:val="0069140F"/>
    <w:rsid w:val="00691952"/>
    <w:rsid w:val="0069209B"/>
    <w:rsid w:val="0069223C"/>
    <w:rsid w:val="0069306E"/>
    <w:rsid w:val="0069397F"/>
    <w:rsid w:val="006939A1"/>
    <w:rsid w:val="0069427C"/>
    <w:rsid w:val="00694705"/>
    <w:rsid w:val="00694A03"/>
    <w:rsid w:val="0069637B"/>
    <w:rsid w:val="00696BD4"/>
    <w:rsid w:val="00696E0D"/>
    <w:rsid w:val="00697030"/>
    <w:rsid w:val="00697134"/>
    <w:rsid w:val="00697305"/>
    <w:rsid w:val="00697AAF"/>
    <w:rsid w:val="00697CE2"/>
    <w:rsid w:val="006A093E"/>
    <w:rsid w:val="006A0FB0"/>
    <w:rsid w:val="006A1260"/>
    <w:rsid w:val="006A141F"/>
    <w:rsid w:val="006A147B"/>
    <w:rsid w:val="006A16CD"/>
    <w:rsid w:val="006A1746"/>
    <w:rsid w:val="006A1E7A"/>
    <w:rsid w:val="006A29B1"/>
    <w:rsid w:val="006A2DDC"/>
    <w:rsid w:val="006A2E5C"/>
    <w:rsid w:val="006A36CE"/>
    <w:rsid w:val="006A4079"/>
    <w:rsid w:val="006A40F4"/>
    <w:rsid w:val="006A433E"/>
    <w:rsid w:val="006A44B9"/>
    <w:rsid w:val="006A4989"/>
    <w:rsid w:val="006A4A11"/>
    <w:rsid w:val="006A4CF4"/>
    <w:rsid w:val="006A5160"/>
    <w:rsid w:val="006A56B6"/>
    <w:rsid w:val="006A5D78"/>
    <w:rsid w:val="006A63DE"/>
    <w:rsid w:val="006A6741"/>
    <w:rsid w:val="006A700B"/>
    <w:rsid w:val="006A73F1"/>
    <w:rsid w:val="006A7B33"/>
    <w:rsid w:val="006A7CC9"/>
    <w:rsid w:val="006B0471"/>
    <w:rsid w:val="006B0B2F"/>
    <w:rsid w:val="006B0C0D"/>
    <w:rsid w:val="006B2016"/>
    <w:rsid w:val="006B26EC"/>
    <w:rsid w:val="006B29F5"/>
    <w:rsid w:val="006B2FD9"/>
    <w:rsid w:val="006B3007"/>
    <w:rsid w:val="006B353D"/>
    <w:rsid w:val="006B35B5"/>
    <w:rsid w:val="006B46A6"/>
    <w:rsid w:val="006B540E"/>
    <w:rsid w:val="006B5D81"/>
    <w:rsid w:val="006B6BBB"/>
    <w:rsid w:val="006B6BC2"/>
    <w:rsid w:val="006B6BEF"/>
    <w:rsid w:val="006B7B26"/>
    <w:rsid w:val="006B7F56"/>
    <w:rsid w:val="006C02EE"/>
    <w:rsid w:val="006C0CB6"/>
    <w:rsid w:val="006C0CD7"/>
    <w:rsid w:val="006C10EE"/>
    <w:rsid w:val="006C12C5"/>
    <w:rsid w:val="006C160A"/>
    <w:rsid w:val="006C1BC2"/>
    <w:rsid w:val="006C206F"/>
    <w:rsid w:val="006C24BD"/>
    <w:rsid w:val="006C26D8"/>
    <w:rsid w:val="006C298D"/>
    <w:rsid w:val="006C29AA"/>
    <w:rsid w:val="006C29EB"/>
    <w:rsid w:val="006C2E3C"/>
    <w:rsid w:val="006C35E9"/>
    <w:rsid w:val="006C4696"/>
    <w:rsid w:val="006C5808"/>
    <w:rsid w:val="006C59C2"/>
    <w:rsid w:val="006C5A91"/>
    <w:rsid w:val="006C6827"/>
    <w:rsid w:val="006C71DE"/>
    <w:rsid w:val="006C76F7"/>
    <w:rsid w:val="006D01A8"/>
    <w:rsid w:val="006D03C5"/>
    <w:rsid w:val="006D0CDD"/>
    <w:rsid w:val="006D111A"/>
    <w:rsid w:val="006D15E3"/>
    <w:rsid w:val="006D1C0D"/>
    <w:rsid w:val="006D1E95"/>
    <w:rsid w:val="006D2540"/>
    <w:rsid w:val="006D278F"/>
    <w:rsid w:val="006D2FEC"/>
    <w:rsid w:val="006D415C"/>
    <w:rsid w:val="006D4B8E"/>
    <w:rsid w:val="006D4C4A"/>
    <w:rsid w:val="006D520C"/>
    <w:rsid w:val="006D56BF"/>
    <w:rsid w:val="006D59A6"/>
    <w:rsid w:val="006D5C2D"/>
    <w:rsid w:val="006D5E44"/>
    <w:rsid w:val="006D63CB"/>
    <w:rsid w:val="006D643D"/>
    <w:rsid w:val="006D67FB"/>
    <w:rsid w:val="006D6DCE"/>
    <w:rsid w:val="006D7E39"/>
    <w:rsid w:val="006D7E8D"/>
    <w:rsid w:val="006D7EFB"/>
    <w:rsid w:val="006E0210"/>
    <w:rsid w:val="006E04F9"/>
    <w:rsid w:val="006E1305"/>
    <w:rsid w:val="006E196C"/>
    <w:rsid w:val="006E1DB1"/>
    <w:rsid w:val="006E1F76"/>
    <w:rsid w:val="006E2861"/>
    <w:rsid w:val="006E29CE"/>
    <w:rsid w:val="006E2EBE"/>
    <w:rsid w:val="006E3E99"/>
    <w:rsid w:val="006E40A5"/>
    <w:rsid w:val="006E4EC6"/>
    <w:rsid w:val="006E5220"/>
    <w:rsid w:val="006E5689"/>
    <w:rsid w:val="006E5FDB"/>
    <w:rsid w:val="006E64EC"/>
    <w:rsid w:val="006E6D5F"/>
    <w:rsid w:val="006E7751"/>
    <w:rsid w:val="006E7794"/>
    <w:rsid w:val="006E7C43"/>
    <w:rsid w:val="006E7C84"/>
    <w:rsid w:val="006E7F7D"/>
    <w:rsid w:val="006F094E"/>
    <w:rsid w:val="006F0CE3"/>
    <w:rsid w:val="006F0E0B"/>
    <w:rsid w:val="006F0E27"/>
    <w:rsid w:val="006F1071"/>
    <w:rsid w:val="006F1276"/>
    <w:rsid w:val="006F1609"/>
    <w:rsid w:val="006F1794"/>
    <w:rsid w:val="006F17E9"/>
    <w:rsid w:val="006F1EA4"/>
    <w:rsid w:val="006F1F0C"/>
    <w:rsid w:val="006F28A6"/>
    <w:rsid w:val="006F2907"/>
    <w:rsid w:val="006F2B45"/>
    <w:rsid w:val="006F2C3A"/>
    <w:rsid w:val="006F2DBD"/>
    <w:rsid w:val="006F2DD9"/>
    <w:rsid w:val="006F3CB2"/>
    <w:rsid w:val="006F42F3"/>
    <w:rsid w:val="006F455C"/>
    <w:rsid w:val="006F455D"/>
    <w:rsid w:val="006F45FD"/>
    <w:rsid w:val="006F48A8"/>
    <w:rsid w:val="006F48B5"/>
    <w:rsid w:val="006F4A50"/>
    <w:rsid w:val="006F539A"/>
    <w:rsid w:val="006F58EE"/>
    <w:rsid w:val="006F5AA1"/>
    <w:rsid w:val="006F6F12"/>
    <w:rsid w:val="006F6FF1"/>
    <w:rsid w:val="006F74D5"/>
    <w:rsid w:val="006F7853"/>
    <w:rsid w:val="006F7AD0"/>
    <w:rsid w:val="006F7B3D"/>
    <w:rsid w:val="006F7CAF"/>
    <w:rsid w:val="00700490"/>
    <w:rsid w:val="00700C15"/>
    <w:rsid w:val="00700C91"/>
    <w:rsid w:val="00700D76"/>
    <w:rsid w:val="00700FAA"/>
    <w:rsid w:val="00701366"/>
    <w:rsid w:val="007016F1"/>
    <w:rsid w:val="0070199A"/>
    <w:rsid w:val="00702289"/>
    <w:rsid w:val="007029F4"/>
    <w:rsid w:val="00702DC0"/>
    <w:rsid w:val="00704687"/>
    <w:rsid w:val="00704B82"/>
    <w:rsid w:val="0070585C"/>
    <w:rsid w:val="00705DDB"/>
    <w:rsid w:val="00706907"/>
    <w:rsid w:val="00707318"/>
    <w:rsid w:val="00707744"/>
    <w:rsid w:val="00707AEF"/>
    <w:rsid w:val="00707B99"/>
    <w:rsid w:val="00707F8B"/>
    <w:rsid w:val="00710AE7"/>
    <w:rsid w:val="00711022"/>
    <w:rsid w:val="0071131D"/>
    <w:rsid w:val="00711516"/>
    <w:rsid w:val="00712281"/>
    <w:rsid w:val="0071251B"/>
    <w:rsid w:val="00712C72"/>
    <w:rsid w:val="00712D10"/>
    <w:rsid w:val="00713882"/>
    <w:rsid w:val="00713FAD"/>
    <w:rsid w:val="007141A4"/>
    <w:rsid w:val="007144AF"/>
    <w:rsid w:val="007145C4"/>
    <w:rsid w:val="007160C4"/>
    <w:rsid w:val="007160F9"/>
    <w:rsid w:val="00716809"/>
    <w:rsid w:val="00716905"/>
    <w:rsid w:val="00716A7A"/>
    <w:rsid w:val="00716C5E"/>
    <w:rsid w:val="00717045"/>
    <w:rsid w:val="007218BF"/>
    <w:rsid w:val="00721A50"/>
    <w:rsid w:val="00721B23"/>
    <w:rsid w:val="00721EA6"/>
    <w:rsid w:val="00722238"/>
    <w:rsid w:val="00722B92"/>
    <w:rsid w:val="00723496"/>
    <w:rsid w:val="007236CD"/>
    <w:rsid w:val="00723E58"/>
    <w:rsid w:val="0072426A"/>
    <w:rsid w:val="007242C4"/>
    <w:rsid w:val="0072453B"/>
    <w:rsid w:val="007246AE"/>
    <w:rsid w:val="00724991"/>
    <w:rsid w:val="007249B2"/>
    <w:rsid w:val="00725195"/>
    <w:rsid w:val="007269AC"/>
    <w:rsid w:val="00726ACB"/>
    <w:rsid w:val="007271A5"/>
    <w:rsid w:val="00727493"/>
    <w:rsid w:val="00730A9F"/>
    <w:rsid w:val="00730ED4"/>
    <w:rsid w:val="007312D5"/>
    <w:rsid w:val="007313E6"/>
    <w:rsid w:val="00731680"/>
    <w:rsid w:val="0073188F"/>
    <w:rsid w:val="00731C43"/>
    <w:rsid w:val="00731CAB"/>
    <w:rsid w:val="007321FE"/>
    <w:rsid w:val="007322FA"/>
    <w:rsid w:val="007328FA"/>
    <w:rsid w:val="007328FB"/>
    <w:rsid w:val="00733826"/>
    <w:rsid w:val="00733B4F"/>
    <w:rsid w:val="00733DBC"/>
    <w:rsid w:val="00733EF6"/>
    <w:rsid w:val="007347B5"/>
    <w:rsid w:val="007349DA"/>
    <w:rsid w:val="00734EB7"/>
    <w:rsid w:val="007355F6"/>
    <w:rsid w:val="00735D72"/>
    <w:rsid w:val="00736039"/>
    <w:rsid w:val="0073644E"/>
    <w:rsid w:val="00736B77"/>
    <w:rsid w:val="00736DC2"/>
    <w:rsid w:val="00737250"/>
    <w:rsid w:val="007378E5"/>
    <w:rsid w:val="00737D29"/>
    <w:rsid w:val="007402B2"/>
    <w:rsid w:val="007403C1"/>
    <w:rsid w:val="00740895"/>
    <w:rsid w:val="0074104E"/>
    <w:rsid w:val="00741AA8"/>
    <w:rsid w:val="00741EB0"/>
    <w:rsid w:val="00742255"/>
    <w:rsid w:val="00742E87"/>
    <w:rsid w:val="00742FCC"/>
    <w:rsid w:val="00742FD4"/>
    <w:rsid w:val="007431F7"/>
    <w:rsid w:val="007435BB"/>
    <w:rsid w:val="00744112"/>
    <w:rsid w:val="007444F8"/>
    <w:rsid w:val="007446E0"/>
    <w:rsid w:val="00744B48"/>
    <w:rsid w:val="00744E95"/>
    <w:rsid w:val="00745501"/>
    <w:rsid w:val="007457B0"/>
    <w:rsid w:val="00745A1A"/>
    <w:rsid w:val="00745AC5"/>
    <w:rsid w:val="00745B30"/>
    <w:rsid w:val="00745B54"/>
    <w:rsid w:val="00746821"/>
    <w:rsid w:val="00746B25"/>
    <w:rsid w:val="00746B4E"/>
    <w:rsid w:val="00746CEA"/>
    <w:rsid w:val="0074700C"/>
    <w:rsid w:val="00747153"/>
    <w:rsid w:val="00747E17"/>
    <w:rsid w:val="00750DC9"/>
    <w:rsid w:val="007515AA"/>
    <w:rsid w:val="00751AAD"/>
    <w:rsid w:val="00752B81"/>
    <w:rsid w:val="00753748"/>
    <w:rsid w:val="00753818"/>
    <w:rsid w:val="00753885"/>
    <w:rsid w:val="0075481A"/>
    <w:rsid w:val="00754963"/>
    <w:rsid w:val="00754A3D"/>
    <w:rsid w:val="00754F03"/>
    <w:rsid w:val="00755321"/>
    <w:rsid w:val="0075574B"/>
    <w:rsid w:val="00755FD2"/>
    <w:rsid w:val="007561B2"/>
    <w:rsid w:val="007564ED"/>
    <w:rsid w:val="00756C9B"/>
    <w:rsid w:val="00757891"/>
    <w:rsid w:val="00757EEF"/>
    <w:rsid w:val="007607B5"/>
    <w:rsid w:val="00760D1B"/>
    <w:rsid w:val="00761348"/>
    <w:rsid w:val="00761431"/>
    <w:rsid w:val="00761962"/>
    <w:rsid w:val="007624E3"/>
    <w:rsid w:val="00762F30"/>
    <w:rsid w:val="00763387"/>
    <w:rsid w:val="0076338F"/>
    <w:rsid w:val="00763DA1"/>
    <w:rsid w:val="00763F3F"/>
    <w:rsid w:val="0076421D"/>
    <w:rsid w:val="0076458B"/>
    <w:rsid w:val="007648AB"/>
    <w:rsid w:val="00764FF4"/>
    <w:rsid w:val="0076516B"/>
    <w:rsid w:val="007653BF"/>
    <w:rsid w:val="007657CB"/>
    <w:rsid w:val="00765C11"/>
    <w:rsid w:val="00765CB4"/>
    <w:rsid w:val="00766156"/>
    <w:rsid w:val="00766187"/>
    <w:rsid w:val="007664A4"/>
    <w:rsid w:val="00766BC3"/>
    <w:rsid w:val="0076727C"/>
    <w:rsid w:val="007679E5"/>
    <w:rsid w:val="0077033E"/>
    <w:rsid w:val="0077063A"/>
    <w:rsid w:val="00770E04"/>
    <w:rsid w:val="0077128A"/>
    <w:rsid w:val="007716F6"/>
    <w:rsid w:val="007719D1"/>
    <w:rsid w:val="00771AD9"/>
    <w:rsid w:val="007722D1"/>
    <w:rsid w:val="00772463"/>
    <w:rsid w:val="0077287A"/>
    <w:rsid w:val="00772DA9"/>
    <w:rsid w:val="00773005"/>
    <w:rsid w:val="00773363"/>
    <w:rsid w:val="00774121"/>
    <w:rsid w:val="007741E5"/>
    <w:rsid w:val="00774305"/>
    <w:rsid w:val="0077561D"/>
    <w:rsid w:val="007759B6"/>
    <w:rsid w:val="00775D24"/>
    <w:rsid w:val="00776663"/>
    <w:rsid w:val="00776A2F"/>
    <w:rsid w:val="00776DFD"/>
    <w:rsid w:val="00776FBA"/>
    <w:rsid w:val="0077763F"/>
    <w:rsid w:val="007779D2"/>
    <w:rsid w:val="00777B13"/>
    <w:rsid w:val="00777F44"/>
    <w:rsid w:val="0078009A"/>
    <w:rsid w:val="007806AF"/>
    <w:rsid w:val="00780B72"/>
    <w:rsid w:val="0078114F"/>
    <w:rsid w:val="0078159E"/>
    <w:rsid w:val="00781AD7"/>
    <w:rsid w:val="00781CD1"/>
    <w:rsid w:val="0078283B"/>
    <w:rsid w:val="007834CB"/>
    <w:rsid w:val="00783DE5"/>
    <w:rsid w:val="00784532"/>
    <w:rsid w:val="007845C7"/>
    <w:rsid w:val="00784749"/>
    <w:rsid w:val="0078493F"/>
    <w:rsid w:val="00784A57"/>
    <w:rsid w:val="007856E6"/>
    <w:rsid w:val="00785B80"/>
    <w:rsid w:val="00786340"/>
    <w:rsid w:val="0078660D"/>
    <w:rsid w:val="00786A80"/>
    <w:rsid w:val="00786A88"/>
    <w:rsid w:val="00786C4F"/>
    <w:rsid w:val="00787314"/>
    <w:rsid w:val="007876A4"/>
    <w:rsid w:val="00787897"/>
    <w:rsid w:val="00790551"/>
    <w:rsid w:val="00790CEE"/>
    <w:rsid w:val="00791635"/>
    <w:rsid w:val="00791BF9"/>
    <w:rsid w:val="0079228A"/>
    <w:rsid w:val="0079247E"/>
    <w:rsid w:val="0079282B"/>
    <w:rsid w:val="00792C3F"/>
    <w:rsid w:val="00793423"/>
    <w:rsid w:val="0079397B"/>
    <w:rsid w:val="00793986"/>
    <w:rsid w:val="00793DEA"/>
    <w:rsid w:val="00794071"/>
    <w:rsid w:val="007942AF"/>
    <w:rsid w:val="0079433A"/>
    <w:rsid w:val="00794952"/>
    <w:rsid w:val="0079525F"/>
    <w:rsid w:val="007954B2"/>
    <w:rsid w:val="00795AA2"/>
    <w:rsid w:val="00795ADE"/>
    <w:rsid w:val="0079664C"/>
    <w:rsid w:val="007968C8"/>
    <w:rsid w:val="00796BFE"/>
    <w:rsid w:val="0079722B"/>
    <w:rsid w:val="007977C6"/>
    <w:rsid w:val="007977E0"/>
    <w:rsid w:val="00797BD4"/>
    <w:rsid w:val="007A076F"/>
    <w:rsid w:val="007A0D21"/>
    <w:rsid w:val="007A0F61"/>
    <w:rsid w:val="007A1A9F"/>
    <w:rsid w:val="007A1F5E"/>
    <w:rsid w:val="007A2543"/>
    <w:rsid w:val="007A30E6"/>
    <w:rsid w:val="007A3DF5"/>
    <w:rsid w:val="007A419D"/>
    <w:rsid w:val="007A4505"/>
    <w:rsid w:val="007A45F7"/>
    <w:rsid w:val="007A490E"/>
    <w:rsid w:val="007A52E6"/>
    <w:rsid w:val="007A5CF6"/>
    <w:rsid w:val="007A63BD"/>
    <w:rsid w:val="007A63FC"/>
    <w:rsid w:val="007A65B6"/>
    <w:rsid w:val="007A67F4"/>
    <w:rsid w:val="007A6C01"/>
    <w:rsid w:val="007A74BD"/>
    <w:rsid w:val="007A760F"/>
    <w:rsid w:val="007A7D42"/>
    <w:rsid w:val="007B0186"/>
    <w:rsid w:val="007B041D"/>
    <w:rsid w:val="007B2520"/>
    <w:rsid w:val="007B2559"/>
    <w:rsid w:val="007B27E1"/>
    <w:rsid w:val="007B34B0"/>
    <w:rsid w:val="007B355B"/>
    <w:rsid w:val="007B39D6"/>
    <w:rsid w:val="007B4B4A"/>
    <w:rsid w:val="007B60C0"/>
    <w:rsid w:val="007B6420"/>
    <w:rsid w:val="007B6A33"/>
    <w:rsid w:val="007B6AC1"/>
    <w:rsid w:val="007B7752"/>
    <w:rsid w:val="007B7A25"/>
    <w:rsid w:val="007C039A"/>
    <w:rsid w:val="007C05D4"/>
    <w:rsid w:val="007C095B"/>
    <w:rsid w:val="007C0D36"/>
    <w:rsid w:val="007C19B7"/>
    <w:rsid w:val="007C1F63"/>
    <w:rsid w:val="007C2D53"/>
    <w:rsid w:val="007C322D"/>
    <w:rsid w:val="007C3F9E"/>
    <w:rsid w:val="007C3FE1"/>
    <w:rsid w:val="007C41F0"/>
    <w:rsid w:val="007C49AF"/>
    <w:rsid w:val="007C4C5E"/>
    <w:rsid w:val="007C55CE"/>
    <w:rsid w:val="007C58FB"/>
    <w:rsid w:val="007C5B29"/>
    <w:rsid w:val="007C5C3F"/>
    <w:rsid w:val="007C641B"/>
    <w:rsid w:val="007C668C"/>
    <w:rsid w:val="007C66B0"/>
    <w:rsid w:val="007C6D5C"/>
    <w:rsid w:val="007C7494"/>
    <w:rsid w:val="007C7750"/>
    <w:rsid w:val="007D03A0"/>
    <w:rsid w:val="007D09A8"/>
    <w:rsid w:val="007D189E"/>
    <w:rsid w:val="007D1E74"/>
    <w:rsid w:val="007D30E8"/>
    <w:rsid w:val="007D3115"/>
    <w:rsid w:val="007D3660"/>
    <w:rsid w:val="007D3A64"/>
    <w:rsid w:val="007D3C59"/>
    <w:rsid w:val="007D401C"/>
    <w:rsid w:val="007D4EEB"/>
    <w:rsid w:val="007D4F2D"/>
    <w:rsid w:val="007D4F37"/>
    <w:rsid w:val="007D5979"/>
    <w:rsid w:val="007D6B34"/>
    <w:rsid w:val="007D728C"/>
    <w:rsid w:val="007D72FD"/>
    <w:rsid w:val="007D7311"/>
    <w:rsid w:val="007D7326"/>
    <w:rsid w:val="007E015A"/>
    <w:rsid w:val="007E0F07"/>
    <w:rsid w:val="007E11EC"/>
    <w:rsid w:val="007E11FC"/>
    <w:rsid w:val="007E1646"/>
    <w:rsid w:val="007E1B43"/>
    <w:rsid w:val="007E24E7"/>
    <w:rsid w:val="007E2886"/>
    <w:rsid w:val="007E29B6"/>
    <w:rsid w:val="007E39B0"/>
    <w:rsid w:val="007E3AC3"/>
    <w:rsid w:val="007E43C9"/>
    <w:rsid w:val="007E49D0"/>
    <w:rsid w:val="007E4F4A"/>
    <w:rsid w:val="007E52D5"/>
    <w:rsid w:val="007E5315"/>
    <w:rsid w:val="007E57D4"/>
    <w:rsid w:val="007E5CA5"/>
    <w:rsid w:val="007E6596"/>
    <w:rsid w:val="007E6820"/>
    <w:rsid w:val="007E7686"/>
    <w:rsid w:val="007E7E68"/>
    <w:rsid w:val="007F02A8"/>
    <w:rsid w:val="007F03CD"/>
    <w:rsid w:val="007F0876"/>
    <w:rsid w:val="007F0E51"/>
    <w:rsid w:val="007F0E85"/>
    <w:rsid w:val="007F1056"/>
    <w:rsid w:val="007F15DF"/>
    <w:rsid w:val="007F172C"/>
    <w:rsid w:val="007F19EE"/>
    <w:rsid w:val="007F1C22"/>
    <w:rsid w:val="007F2126"/>
    <w:rsid w:val="007F2461"/>
    <w:rsid w:val="007F2627"/>
    <w:rsid w:val="007F29F1"/>
    <w:rsid w:val="007F2DB0"/>
    <w:rsid w:val="007F300B"/>
    <w:rsid w:val="007F301A"/>
    <w:rsid w:val="007F3364"/>
    <w:rsid w:val="007F37A1"/>
    <w:rsid w:val="007F37C3"/>
    <w:rsid w:val="007F3E2C"/>
    <w:rsid w:val="007F46F0"/>
    <w:rsid w:val="007F4829"/>
    <w:rsid w:val="007F496E"/>
    <w:rsid w:val="007F600F"/>
    <w:rsid w:val="007F783A"/>
    <w:rsid w:val="008002E0"/>
    <w:rsid w:val="0080130D"/>
    <w:rsid w:val="00801A1C"/>
    <w:rsid w:val="0080285B"/>
    <w:rsid w:val="00802E51"/>
    <w:rsid w:val="00802FBB"/>
    <w:rsid w:val="0080382E"/>
    <w:rsid w:val="00803FD4"/>
    <w:rsid w:val="008046CD"/>
    <w:rsid w:val="00805470"/>
    <w:rsid w:val="00805D43"/>
    <w:rsid w:val="00805E30"/>
    <w:rsid w:val="00805EA9"/>
    <w:rsid w:val="00806281"/>
    <w:rsid w:val="00806397"/>
    <w:rsid w:val="00806D57"/>
    <w:rsid w:val="00807051"/>
    <w:rsid w:val="00807446"/>
    <w:rsid w:val="00807543"/>
    <w:rsid w:val="00807E83"/>
    <w:rsid w:val="008102C4"/>
    <w:rsid w:val="00811159"/>
    <w:rsid w:val="00811747"/>
    <w:rsid w:val="008117A6"/>
    <w:rsid w:val="00811F9E"/>
    <w:rsid w:val="0081238B"/>
    <w:rsid w:val="00812A1F"/>
    <w:rsid w:val="00812BC3"/>
    <w:rsid w:val="00813EA4"/>
    <w:rsid w:val="00814660"/>
    <w:rsid w:val="008146C6"/>
    <w:rsid w:val="0081499C"/>
    <w:rsid w:val="00814F69"/>
    <w:rsid w:val="008159EA"/>
    <w:rsid w:val="00815B7A"/>
    <w:rsid w:val="00815CF0"/>
    <w:rsid w:val="00816AE8"/>
    <w:rsid w:val="00817302"/>
    <w:rsid w:val="0081731C"/>
    <w:rsid w:val="008176F3"/>
    <w:rsid w:val="008179B7"/>
    <w:rsid w:val="00820A04"/>
    <w:rsid w:val="00821521"/>
    <w:rsid w:val="00821C08"/>
    <w:rsid w:val="00821DB9"/>
    <w:rsid w:val="008227CE"/>
    <w:rsid w:val="00822CBC"/>
    <w:rsid w:val="008237C2"/>
    <w:rsid w:val="00823D59"/>
    <w:rsid w:val="00824409"/>
    <w:rsid w:val="008252F6"/>
    <w:rsid w:val="008253A9"/>
    <w:rsid w:val="0082569A"/>
    <w:rsid w:val="00825ECA"/>
    <w:rsid w:val="008260EC"/>
    <w:rsid w:val="008270BC"/>
    <w:rsid w:val="00827F57"/>
    <w:rsid w:val="0083063C"/>
    <w:rsid w:val="008307AB"/>
    <w:rsid w:val="008309F4"/>
    <w:rsid w:val="00830B48"/>
    <w:rsid w:val="00830B6D"/>
    <w:rsid w:val="0083132A"/>
    <w:rsid w:val="0083143E"/>
    <w:rsid w:val="00831567"/>
    <w:rsid w:val="0083163E"/>
    <w:rsid w:val="0083164E"/>
    <w:rsid w:val="00831978"/>
    <w:rsid w:val="00831F2D"/>
    <w:rsid w:val="00832066"/>
    <w:rsid w:val="0083276F"/>
    <w:rsid w:val="0083280B"/>
    <w:rsid w:val="008329CE"/>
    <w:rsid w:val="00832CEA"/>
    <w:rsid w:val="0083398B"/>
    <w:rsid w:val="00833996"/>
    <w:rsid w:val="00833CCF"/>
    <w:rsid w:val="008340C7"/>
    <w:rsid w:val="00834CA5"/>
    <w:rsid w:val="00835433"/>
    <w:rsid w:val="00835972"/>
    <w:rsid w:val="00836259"/>
    <w:rsid w:val="00836339"/>
    <w:rsid w:val="00837447"/>
    <w:rsid w:val="008376C9"/>
    <w:rsid w:val="00841080"/>
    <w:rsid w:val="00841321"/>
    <w:rsid w:val="00841832"/>
    <w:rsid w:val="008419FA"/>
    <w:rsid w:val="00841E33"/>
    <w:rsid w:val="00841E99"/>
    <w:rsid w:val="0084229B"/>
    <w:rsid w:val="0084362A"/>
    <w:rsid w:val="00843ECB"/>
    <w:rsid w:val="00844325"/>
    <w:rsid w:val="008446B5"/>
    <w:rsid w:val="008453E6"/>
    <w:rsid w:val="008453F9"/>
    <w:rsid w:val="00845445"/>
    <w:rsid w:val="00845EA2"/>
    <w:rsid w:val="00846069"/>
    <w:rsid w:val="00846582"/>
    <w:rsid w:val="00846AA7"/>
    <w:rsid w:val="00846EBC"/>
    <w:rsid w:val="008470F6"/>
    <w:rsid w:val="00847102"/>
    <w:rsid w:val="00847CAF"/>
    <w:rsid w:val="00847D66"/>
    <w:rsid w:val="00847DDA"/>
    <w:rsid w:val="0085051E"/>
    <w:rsid w:val="00850B3B"/>
    <w:rsid w:val="00851749"/>
    <w:rsid w:val="00851F32"/>
    <w:rsid w:val="00852102"/>
    <w:rsid w:val="008521A1"/>
    <w:rsid w:val="008528FF"/>
    <w:rsid w:val="0085313D"/>
    <w:rsid w:val="0085377D"/>
    <w:rsid w:val="00853DFD"/>
    <w:rsid w:val="0085467F"/>
    <w:rsid w:val="00854C86"/>
    <w:rsid w:val="00855453"/>
    <w:rsid w:val="00856075"/>
    <w:rsid w:val="0085648E"/>
    <w:rsid w:val="008574F9"/>
    <w:rsid w:val="008604EC"/>
    <w:rsid w:val="00860593"/>
    <w:rsid w:val="0086072F"/>
    <w:rsid w:val="00860A1C"/>
    <w:rsid w:val="00860BFC"/>
    <w:rsid w:val="00860F6C"/>
    <w:rsid w:val="008611CB"/>
    <w:rsid w:val="00861258"/>
    <w:rsid w:val="008612D8"/>
    <w:rsid w:val="008615B3"/>
    <w:rsid w:val="0086171B"/>
    <w:rsid w:val="00861B57"/>
    <w:rsid w:val="00861EA5"/>
    <w:rsid w:val="00861FE9"/>
    <w:rsid w:val="00862966"/>
    <w:rsid w:val="00862E04"/>
    <w:rsid w:val="00863436"/>
    <w:rsid w:val="008642B4"/>
    <w:rsid w:val="00864311"/>
    <w:rsid w:val="00864F66"/>
    <w:rsid w:val="00865120"/>
    <w:rsid w:val="0086592C"/>
    <w:rsid w:val="00867F7C"/>
    <w:rsid w:val="0087026F"/>
    <w:rsid w:val="0087088B"/>
    <w:rsid w:val="0087111C"/>
    <w:rsid w:val="00871AE4"/>
    <w:rsid w:val="00872E26"/>
    <w:rsid w:val="008733DD"/>
    <w:rsid w:val="0087359B"/>
    <w:rsid w:val="008744FF"/>
    <w:rsid w:val="008749DF"/>
    <w:rsid w:val="0087610E"/>
    <w:rsid w:val="008764A1"/>
    <w:rsid w:val="0087655F"/>
    <w:rsid w:val="00876708"/>
    <w:rsid w:val="00876F8A"/>
    <w:rsid w:val="008771F9"/>
    <w:rsid w:val="00877B53"/>
    <w:rsid w:val="00877B90"/>
    <w:rsid w:val="008803FD"/>
    <w:rsid w:val="00880FC6"/>
    <w:rsid w:val="0088280B"/>
    <w:rsid w:val="00882919"/>
    <w:rsid w:val="00882D6E"/>
    <w:rsid w:val="00883583"/>
    <w:rsid w:val="00883E0E"/>
    <w:rsid w:val="008840C4"/>
    <w:rsid w:val="00884B51"/>
    <w:rsid w:val="00884B53"/>
    <w:rsid w:val="00884EAA"/>
    <w:rsid w:val="008854BA"/>
    <w:rsid w:val="0088567C"/>
    <w:rsid w:val="00885BC2"/>
    <w:rsid w:val="008861CA"/>
    <w:rsid w:val="00886374"/>
    <w:rsid w:val="00886995"/>
    <w:rsid w:val="008869FD"/>
    <w:rsid w:val="00886B37"/>
    <w:rsid w:val="008870DF"/>
    <w:rsid w:val="00887521"/>
    <w:rsid w:val="0088778E"/>
    <w:rsid w:val="00887949"/>
    <w:rsid w:val="008903E9"/>
    <w:rsid w:val="00890C9E"/>
    <w:rsid w:val="00890D88"/>
    <w:rsid w:val="00890DCF"/>
    <w:rsid w:val="00891A43"/>
    <w:rsid w:val="00892679"/>
    <w:rsid w:val="008927AA"/>
    <w:rsid w:val="00893D6E"/>
    <w:rsid w:val="00893E2F"/>
    <w:rsid w:val="00894A74"/>
    <w:rsid w:val="00894BB5"/>
    <w:rsid w:val="00895E26"/>
    <w:rsid w:val="008962BC"/>
    <w:rsid w:val="0089647F"/>
    <w:rsid w:val="00896A8D"/>
    <w:rsid w:val="00896B0B"/>
    <w:rsid w:val="00897D27"/>
    <w:rsid w:val="00897F90"/>
    <w:rsid w:val="008A073F"/>
    <w:rsid w:val="008A079D"/>
    <w:rsid w:val="008A0814"/>
    <w:rsid w:val="008A08D5"/>
    <w:rsid w:val="008A09C4"/>
    <w:rsid w:val="008A0AF1"/>
    <w:rsid w:val="008A18D8"/>
    <w:rsid w:val="008A1B18"/>
    <w:rsid w:val="008A1B8B"/>
    <w:rsid w:val="008A2408"/>
    <w:rsid w:val="008A2517"/>
    <w:rsid w:val="008A2CFA"/>
    <w:rsid w:val="008A2E24"/>
    <w:rsid w:val="008A309C"/>
    <w:rsid w:val="008A34C5"/>
    <w:rsid w:val="008A3F81"/>
    <w:rsid w:val="008A45E3"/>
    <w:rsid w:val="008A5628"/>
    <w:rsid w:val="008A5A85"/>
    <w:rsid w:val="008A6861"/>
    <w:rsid w:val="008A6BC1"/>
    <w:rsid w:val="008A7284"/>
    <w:rsid w:val="008A7590"/>
    <w:rsid w:val="008A7863"/>
    <w:rsid w:val="008B030E"/>
    <w:rsid w:val="008B25C8"/>
    <w:rsid w:val="008B281F"/>
    <w:rsid w:val="008B28F6"/>
    <w:rsid w:val="008B2978"/>
    <w:rsid w:val="008B2C4A"/>
    <w:rsid w:val="008B2C54"/>
    <w:rsid w:val="008B3DD0"/>
    <w:rsid w:val="008B46E7"/>
    <w:rsid w:val="008B47EF"/>
    <w:rsid w:val="008B481C"/>
    <w:rsid w:val="008B49CE"/>
    <w:rsid w:val="008B5C01"/>
    <w:rsid w:val="008B5F58"/>
    <w:rsid w:val="008B68C1"/>
    <w:rsid w:val="008B7242"/>
    <w:rsid w:val="008B7ADC"/>
    <w:rsid w:val="008B7E9B"/>
    <w:rsid w:val="008C0300"/>
    <w:rsid w:val="008C04A7"/>
    <w:rsid w:val="008C0A94"/>
    <w:rsid w:val="008C0FFA"/>
    <w:rsid w:val="008C11C8"/>
    <w:rsid w:val="008C1E3A"/>
    <w:rsid w:val="008C1FEB"/>
    <w:rsid w:val="008C233D"/>
    <w:rsid w:val="008C2523"/>
    <w:rsid w:val="008C2844"/>
    <w:rsid w:val="008C30AE"/>
    <w:rsid w:val="008C3668"/>
    <w:rsid w:val="008C3AA9"/>
    <w:rsid w:val="008C426A"/>
    <w:rsid w:val="008C428A"/>
    <w:rsid w:val="008C42AE"/>
    <w:rsid w:val="008C5459"/>
    <w:rsid w:val="008C57B6"/>
    <w:rsid w:val="008C5EF9"/>
    <w:rsid w:val="008C6DF7"/>
    <w:rsid w:val="008C71A1"/>
    <w:rsid w:val="008C7397"/>
    <w:rsid w:val="008D09CB"/>
    <w:rsid w:val="008D1181"/>
    <w:rsid w:val="008D1448"/>
    <w:rsid w:val="008D1844"/>
    <w:rsid w:val="008D1D85"/>
    <w:rsid w:val="008D29CC"/>
    <w:rsid w:val="008D3140"/>
    <w:rsid w:val="008D3667"/>
    <w:rsid w:val="008D3844"/>
    <w:rsid w:val="008D3C51"/>
    <w:rsid w:val="008D3E4E"/>
    <w:rsid w:val="008D48AC"/>
    <w:rsid w:val="008D50AC"/>
    <w:rsid w:val="008D56E9"/>
    <w:rsid w:val="008D5B3B"/>
    <w:rsid w:val="008D5B83"/>
    <w:rsid w:val="008D5E45"/>
    <w:rsid w:val="008D64F6"/>
    <w:rsid w:val="008D6981"/>
    <w:rsid w:val="008D78F7"/>
    <w:rsid w:val="008D7C03"/>
    <w:rsid w:val="008D7E9B"/>
    <w:rsid w:val="008E0AC1"/>
    <w:rsid w:val="008E0D47"/>
    <w:rsid w:val="008E0FD1"/>
    <w:rsid w:val="008E132D"/>
    <w:rsid w:val="008E1355"/>
    <w:rsid w:val="008E1751"/>
    <w:rsid w:val="008E180A"/>
    <w:rsid w:val="008E1C16"/>
    <w:rsid w:val="008E2331"/>
    <w:rsid w:val="008E3247"/>
    <w:rsid w:val="008E3374"/>
    <w:rsid w:val="008E3890"/>
    <w:rsid w:val="008E3A0A"/>
    <w:rsid w:val="008E3A77"/>
    <w:rsid w:val="008E3D71"/>
    <w:rsid w:val="008E3EEF"/>
    <w:rsid w:val="008E3FA2"/>
    <w:rsid w:val="008E4220"/>
    <w:rsid w:val="008E4C42"/>
    <w:rsid w:val="008E4C5D"/>
    <w:rsid w:val="008E5214"/>
    <w:rsid w:val="008E5452"/>
    <w:rsid w:val="008E5C4C"/>
    <w:rsid w:val="008E5E83"/>
    <w:rsid w:val="008E608F"/>
    <w:rsid w:val="008E6E68"/>
    <w:rsid w:val="008E7F8A"/>
    <w:rsid w:val="008F0212"/>
    <w:rsid w:val="008F0382"/>
    <w:rsid w:val="008F0EAB"/>
    <w:rsid w:val="008F1B03"/>
    <w:rsid w:val="008F1BE9"/>
    <w:rsid w:val="008F286E"/>
    <w:rsid w:val="008F2C91"/>
    <w:rsid w:val="008F2FF4"/>
    <w:rsid w:val="008F46BC"/>
    <w:rsid w:val="008F530C"/>
    <w:rsid w:val="008F5EB8"/>
    <w:rsid w:val="008F7731"/>
    <w:rsid w:val="00900293"/>
    <w:rsid w:val="00900D07"/>
    <w:rsid w:val="00901947"/>
    <w:rsid w:val="00901E11"/>
    <w:rsid w:val="00901F2D"/>
    <w:rsid w:val="00903688"/>
    <w:rsid w:val="00903E13"/>
    <w:rsid w:val="00903F99"/>
    <w:rsid w:val="0090436B"/>
    <w:rsid w:val="009046AC"/>
    <w:rsid w:val="009047DA"/>
    <w:rsid w:val="00904BFC"/>
    <w:rsid w:val="009051AC"/>
    <w:rsid w:val="00905A1C"/>
    <w:rsid w:val="00906169"/>
    <w:rsid w:val="0090618D"/>
    <w:rsid w:val="0090639C"/>
    <w:rsid w:val="00910091"/>
    <w:rsid w:val="00911010"/>
    <w:rsid w:val="0091135B"/>
    <w:rsid w:val="00911461"/>
    <w:rsid w:val="00912103"/>
    <w:rsid w:val="00913133"/>
    <w:rsid w:val="009139D1"/>
    <w:rsid w:val="00913D4B"/>
    <w:rsid w:val="00913F51"/>
    <w:rsid w:val="00914318"/>
    <w:rsid w:val="00914480"/>
    <w:rsid w:val="00914E69"/>
    <w:rsid w:val="009152BF"/>
    <w:rsid w:val="0091574F"/>
    <w:rsid w:val="00915E97"/>
    <w:rsid w:val="009170BF"/>
    <w:rsid w:val="00917B64"/>
    <w:rsid w:val="009208D2"/>
    <w:rsid w:val="00920B85"/>
    <w:rsid w:val="00920CF7"/>
    <w:rsid w:val="00920DF9"/>
    <w:rsid w:val="00921463"/>
    <w:rsid w:val="009216F9"/>
    <w:rsid w:val="009226AF"/>
    <w:rsid w:val="00922FE4"/>
    <w:rsid w:val="00923B59"/>
    <w:rsid w:val="0092446E"/>
    <w:rsid w:val="00924E82"/>
    <w:rsid w:val="009257C2"/>
    <w:rsid w:val="00925913"/>
    <w:rsid w:val="00925BF1"/>
    <w:rsid w:val="009260F3"/>
    <w:rsid w:val="009263E5"/>
    <w:rsid w:val="009265C7"/>
    <w:rsid w:val="00926BC5"/>
    <w:rsid w:val="00926C12"/>
    <w:rsid w:val="0092701B"/>
    <w:rsid w:val="00927123"/>
    <w:rsid w:val="009274D3"/>
    <w:rsid w:val="0092791E"/>
    <w:rsid w:val="00927959"/>
    <w:rsid w:val="009301CC"/>
    <w:rsid w:val="0093057F"/>
    <w:rsid w:val="009309B4"/>
    <w:rsid w:val="00930D0C"/>
    <w:rsid w:val="00931216"/>
    <w:rsid w:val="0093121F"/>
    <w:rsid w:val="0093149A"/>
    <w:rsid w:val="009327FC"/>
    <w:rsid w:val="009337F3"/>
    <w:rsid w:val="00933FBB"/>
    <w:rsid w:val="0093497B"/>
    <w:rsid w:val="009350A1"/>
    <w:rsid w:val="00935550"/>
    <w:rsid w:val="009358F3"/>
    <w:rsid w:val="0093625A"/>
    <w:rsid w:val="00936745"/>
    <w:rsid w:val="00936C78"/>
    <w:rsid w:val="00940276"/>
    <w:rsid w:val="00941638"/>
    <w:rsid w:val="00941DC5"/>
    <w:rsid w:val="00942939"/>
    <w:rsid w:val="00942B51"/>
    <w:rsid w:val="00943515"/>
    <w:rsid w:val="009436F2"/>
    <w:rsid w:val="00943CA9"/>
    <w:rsid w:val="00943FE7"/>
    <w:rsid w:val="0094406E"/>
    <w:rsid w:val="009441B4"/>
    <w:rsid w:val="0094431A"/>
    <w:rsid w:val="009449D3"/>
    <w:rsid w:val="00944A3A"/>
    <w:rsid w:val="00944A41"/>
    <w:rsid w:val="00944BB7"/>
    <w:rsid w:val="00944C52"/>
    <w:rsid w:val="00945104"/>
    <w:rsid w:val="00945158"/>
    <w:rsid w:val="00945246"/>
    <w:rsid w:val="009455A2"/>
    <w:rsid w:val="0094572C"/>
    <w:rsid w:val="00945BFA"/>
    <w:rsid w:val="00945D25"/>
    <w:rsid w:val="009463B9"/>
    <w:rsid w:val="009464EA"/>
    <w:rsid w:val="009465B6"/>
    <w:rsid w:val="00946F8E"/>
    <w:rsid w:val="00946F91"/>
    <w:rsid w:val="00946F9D"/>
    <w:rsid w:val="009473F3"/>
    <w:rsid w:val="00947745"/>
    <w:rsid w:val="009478FC"/>
    <w:rsid w:val="009505AD"/>
    <w:rsid w:val="0095076F"/>
    <w:rsid w:val="00950ACA"/>
    <w:rsid w:val="00951321"/>
    <w:rsid w:val="00951FD2"/>
    <w:rsid w:val="00951FFD"/>
    <w:rsid w:val="00952B3F"/>
    <w:rsid w:val="00952F40"/>
    <w:rsid w:val="009530E1"/>
    <w:rsid w:val="00953362"/>
    <w:rsid w:val="00953366"/>
    <w:rsid w:val="0095463F"/>
    <w:rsid w:val="0095471A"/>
    <w:rsid w:val="00954C4B"/>
    <w:rsid w:val="00954FDB"/>
    <w:rsid w:val="009556F0"/>
    <w:rsid w:val="0095585E"/>
    <w:rsid w:val="00955A8B"/>
    <w:rsid w:val="0095625F"/>
    <w:rsid w:val="009565A2"/>
    <w:rsid w:val="009566FA"/>
    <w:rsid w:val="00957F9B"/>
    <w:rsid w:val="009602AF"/>
    <w:rsid w:val="0096050A"/>
    <w:rsid w:val="00961469"/>
    <w:rsid w:val="00961549"/>
    <w:rsid w:val="009616EA"/>
    <w:rsid w:val="00961950"/>
    <w:rsid w:val="00961E04"/>
    <w:rsid w:val="00962780"/>
    <w:rsid w:val="00962ED1"/>
    <w:rsid w:val="00963C37"/>
    <w:rsid w:val="009645D0"/>
    <w:rsid w:val="009647F0"/>
    <w:rsid w:val="00964A7A"/>
    <w:rsid w:val="00964C11"/>
    <w:rsid w:val="00964EB9"/>
    <w:rsid w:val="00965E2D"/>
    <w:rsid w:val="00966AE3"/>
    <w:rsid w:val="00966B6C"/>
    <w:rsid w:val="00966E0B"/>
    <w:rsid w:val="0096757A"/>
    <w:rsid w:val="00967641"/>
    <w:rsid w:val="00967782"/>
    <w:rsid w:val="00967AED"/>
    <w:rsid w:val="00967CCE"/>
    <w:rsid w:val="00967E0A"/>
    <w:rsid w:val="00970001"/>
    <w:rsid w:val="009705E9"/>
    <w:rsid w:val="00970830"/>
    <w:rsid w:val="0097103C"/>
    <w:rsid w:val="00971487"/>
    <w:rsid w:val="009714BB"/>
    <w:rsid w:val="009714CC"/>
    <w:rsid w:val="00971BA9"/>
    <w:rsid w:val="00972106"/>
    <w:rsid w:val="009721BF"/>
    <w:rsid w:val="0097298A"/>
    <w:rsid w:val="0097383C"/>
    <w:rsid w:val="00973F36"/>
    <w:rsid w:val="009747AB"/>
    <w:rsid w:val="00974A6D"/>
    <w:rsid w:val="009751C0"/>
    <w:rsid w:val="0097542C"/>
    <w:rsid w:val="009754A2"/>
    <w:rsid w:val="00975A18"/>
    <w:rsid w:val="00976120"/>
    <w:rsid w:val="00976BF9"/>
    <w:rsid w:val="00976DB3"/>
    <w:rsid w:val="009773A2"/>
    <w:rsid w:val="0097761E"/>
    <w:rsid w:val="009778C2"/>
    <w:rsid w:val="00977D11"/>
    <w:rsid w:val="00980AF8"/>
    <w:rsid w:val="00980B9C"/>
    <w:rsid w:val="00980C9D"/>
    <w:rsid w:val="00981609"/>
    <w:rsid w:val="009819BF"/>
    <w:rsid w:val="00982010"/>
    <w:rsid w:val="00982509"/>
    <w:rsid w:val="0098251C"/>
    <w:rsid w:val="009825D6"/>
    <w:rsid w:val="0098301B"/>
    <w:rsid w:val="009830AB"/>
    <w:rsid w:val="00983DB8"/>
    <w:rsid w:val="00984B6B"/>
    <w:rsid w:val="009861DB"/>
    <w:rsid w:val="00986857"/>
    <w:rsid w:val="00987113"/>
    <w:rsid w:val="009878C2"/>
    <w:rsid w:val="009900AA"/>
    <w:rsid w:val="009906E6"/>
    <w:rsid w:val="009908D9"/>
    <w:rsid w:val="0099093C"/>
    <w:rsid w:val="00990A50"/>
    <w:rsid w:val="00991336"/>
    <w:rsid w:val="00991361"/>
    <w:rsid w:val="00991513"/>
    <w:rsid w:val="00992048"/>
    <w:rsid w:val="00992B0B"/>
    <w:rsid w:val="00993083"/>
    <w:rsid w:val="0099357C"/>
    <w:rsid w:val="00993CA2"/>
    <w:rsid w:val="0099421E"/>
    <w:rsid w:val="00994A72"/>
    <w:rsid w:val="00994CC9"/>
    <w:rsid w:val="00995175"/>
    <w:rsid w:val="009951F6"/>
    <w:rsid w:val="0099522B"/>
    <w:rsid w:val="009954A4"/>
    <w:rsid w:val="00996214"/>
    <w:rsid w:val="00996711"/>
    <w:rsid w:val="0099690D"/>
    <w:rsid w:val="00996CDE"/>
    <w:rsid w:val="00996DDD"/>
    <w:rsid w:val="009975F3"/>
    <w:rsid w:val="00997CEF"/>
    <w:rsid w:val="00997F24"/>
    <w:rsid w:val="00997FCD"/>
    <w:rsid w:val="009A01F4"/>
    <w:rsid w:val="009A06CC"/>
    <w:rsid w:val="009A0A4C"/>
    <w:rsid w:val="009A1478"/>
    <w:rsid w:val="009A1AD7"/>
    <w:rsid w:val="009A1BF3"/>
    <w:rsid w:val="009A1FDE"/>
    <w:rsid w:val="009A2423"/>
    <w:rsid w:val="009A247E"/>
    <w:rsid w:val="009A32CA"/>
    <w:rsid w:val="009A3677"/>
    <w:rsid w:val="009A385C"/>
    <w:rsid w:val="009A4061"/>
    <w:rsid w:val="009A4072"/>
    <w:rsid w:val="009A4FB8"/>
    <w:rsid w:val="009A541F"/>
    <w:rsid w:val="009A5511"/>
    <w:rsid w:val="009A591F"/>
    <w:rsid w:val="009A6BAA"/>
    <w:rsid w:val="009A7203"/>
    <w:rsid w:val="009A7763"/>
    <w:rsid w:val="009A7AE7"/>
    <w:rsid w:val="009B08B3"/>
    <w:rsid w:val="009B0AED"/>
    <w:rsid w:val="009B0D74"/>
    <w:rsid w:val="009B0E9E"/>
    <w:rsid w:val="009B24D2"/>
    <w:rsid w:val="009B2FE9"/>
    <w:rsid w:val="009B3946"/>
    <w:rsid w:val="009B3AB5"/>
    <w:rsid w:val="009B3C51"/>
    <w:rsid w:val="009B4297"/>
    <w:rsid w:val="009B5567"/>
    <w:rsid w:val="009B5756"/>
    <w:rsid w:val="009B58EF"/>
    <w:rsid w:val="009B5A0E"/>
    <w:rsid w:val="009B61F4"/>
    <w:rsid w:val="009B64F6"/>
    <w:rsid w:val="009B6657"/>
    <w:rsid w:val="009B67F0"/>
    <w:rsid w:val="009B6965"/>
    <w:rsid w:val="009B73B2"/>
    <w:rsid w:val="009C01D9"/>
    <w:rsid w:val="009C0AEF"/>
    <w:rsid w:val="009C1142"/>
    <w:rsid w:val="009C11A5"/>
    <w:rsid w:val="009C254F"/>
    <w:rsid w:val="009C2646"/>
    <w:rsid w:val="009C2C3B"/>
    <w:rsid w:val="009C2FAF"/>
    <w:rsid w:val="009C309D"/>
    <w:rsid w:val="009C33C0"/>
    <w:rsid w:val="009C3876"/>
    <w:rsid w:val="009C3BBD"/>
    <w:rsid w:val="009C3D73"/>
    <w:rsid w:val="009C438B"/>
    <w:rsid w:val="009C4E94"/>
    <w:rsid w:val="009C4F95"/>
    <w:rsid w:val="009C4FC4"/>
    <w:rsid w:val="009C539B"/>
    <w:rsid w:val="009C5DBC"/>
    <w:rsid w:val="009C6573"/>
    <w:rsid w:val="009C6AA4"/>
    <w:rsid w:val="009C6E6C"/>
    <w:rsid w:val="009C7328"/>
    <w:rsid w:val="009C797A"/>
    <w:rsid w:val="009C7D96"/>
    <w:rsid w:val="009C7DD5"/>
    <w:rsid w:val="009C7E84"/>
    <w:rsid w:val="009D03E9"/>
    <w:rsid w:val="009D08F6"/>
    <w:rsid w:val="009D109F"/>
    <w:rsid w:val="009D1A63"/>
    <w:rsid w:val="009D1CA8"/>
    <w:rsid w:val="009D1E50"/>
    <w:rsid w:val="009D1EFD"/>
    <w:rsid w:val="009D26CF"/>
    <w:rsid w:val="009D27BC"/>
    <w:rsid w:val="009D2B28"/>
    <w:rsid w:val="009D2CD0"/>
    <w:rsid w:val="009D37A8"/>
    <w:rsid w:val="009D3D56"/>
    <w:rsid w:val="009D3E88"/>
    <w:rsid w:val="009D4D3A"/>
    <w:rsid w:val="009D4D95"/>
    <w:rsid w:val="009D55AA"/>
    <w:rsid w:val="009D59FD"/>
    <w:rsid w:val="009D5CB8"/>
    <w:rsid w:val="009D5E18"/>
    <w:rsid w:val="009D7F4A"/>
    <w:rsid w:val="009E0111"/>
    <w:rsid w:val="009E03B2"/>
    <w:rsid w:val="009E044A"/>
    <w:rsid w:val="009E0782"/>
    <w:rsid w:val="009E0EE2"/>
    <w:rsid w:val="009E1071"/>
    <w:rsid w:val="009E192C"/>
    <w:rsid w:val="009E1F54"/>
    <w:rsid w:val="009E223B"/>
    <w:rsid w:val="009E2B0B"/>
    <w:rsid w:val="009E326A"/>
    <w:rsid w:val="009E3A68"/>
    <w:rsid w:val="009E3A74"/>
    <w:rsid w:val="009E3CDA"/>
    <w:rsid w:val="009E3F7B"/>
    <w:rsid w:val="009E41E1"/>
    <w:rsid w:val="009E4867"/>
    <w:rsid w:val="009E4CF8"/>
    <w:rsid w:val="009E5929"/>
    <w:rsid w:val="009E6A76"/>
    <w:rsid w:val="009E6B2D"/>
    <w:rsid w:val="009E7290"/>
    <w:rsid w:val="009E7D8F"/>
    <w:rsid w:val="009F05F5"/>
    <w:rsid w:val="009F1052"/>
    <w:rsid w:val="009F11A6"/>
    <w:rsid w:val="009F16AC"/>
    <w:rsid w:val="009F1C1C"/>
    <w:rsid w:val="009F1DF0"/>
    <w:rsid w:val="009F1E91"/>
    <w:rsid w:val="009F25CC"/>
    <w:rsid w:val="009F25FF"/>
    <w:rsid w:val="009F26F4"/>
    <w:rsid w:val="009F283F"/>
    <w:rsid w:val="009F2996"/>
    <w:rsid w:val="009F2C3E"/>
    <w:rsid w:val="009F30F1"/>
    <w:rsid w:val="009F4004"/>
    <w:rsid w:val="009F4054"/>
    <w:rsid w:val="009F44D6"/>
    <w:rsid w:val="009F456F"/>
    <w:rsid w:val="009F49CC"/>
    <w:rsid w:val="009F4BEF"/>
    <w:rsid w:val="009F5170"/>
    <w:rsid w:val="009F55DA"/>
    <w:rsid w:val="009F56BF"/>
    <w:rsid w:val="009F6924"/>
    <w:rsid w:val="009F6DED"/>
    <w:rsid w:val="009F719B"/>
    <w:rsid w:val="009F7A79"/>
    <w:rsid w:val="009F7F27"/>
    <w:rsid w:val="00A00195"/>
    <w:rsid w:val="00A0052C"/>
    <w:rsid w:val="00A00760"/>
    <w:rsid w:val="00A009DE"/>
    <w:rsid w:val="00A00F75"/>
    <w:rsid w:val="00A013C4"/>
    <w:rsid w:val="00A013F4"/>
    <w:rsid w:val="00A0234C"/>
    <w:rsid w:val="00A03707"/>
    <w:rsid w:val="00A0384A"/>
    <w:rsid w:val="00A03B71"/>
    <w:rsid w:val="00A044B5"/>
    <w:rsid w:val="00A04B5D"/>
    <w:rsid w:val="00A04C57"/>
    <w:rsid w:val="00A04C9D"/>
    <w:rsid w:val="00A04D54"/>
    <w:rsid w:val="00A05762"/>
    <w:rsid w:val="00A05E88"/>
    <w:rsid w:val="00A060DD"/>
    <w:rsid w:val="00A060F6"/>
    <w:rsid w:val="00A064AA"/>
    <w:rsid w:val="00A067FB"/>
    <w:rsid w:val="00A06966"/>
    <w:rsid w:val="00A069DE"/>
    <w:rsid w:val="00A06CD3"/>
    <w:rsid w:val="00A076BC"/>
    <w:rsid w:val="00A1014A"/>
    <w:rsid w:val="00A102A2"/>
    <w:rsid w:val="00A103F3"/>
    <w:rsid w:val="00A109E0"/>
    <w:rsid w:val="00A119F4"/>
    <w:rsid w:val="00A11A90"/>
    <w:rsid w:val="00A11DC8"/>
    <w:rsid w:val="00A12575"/>
    <w:rsid w:val="00A134AC"/>
    <w:rsid w:val="00A13B1A"/>
    <w:rsid w:val="00A13D36"/>
    <w:rsid w:val="00A13F85"/>
    <w:rsid w:val="00A14C1D"/>
    <w:rsid w:val="00A1501E"/>
    <w:rsid w:val="00A15399"/>
    <w:rsid w:val="00A154ED"/>
    <w:rsid w:val="00A1578A"/>
    <w:rsid w:val="00A158ED"/>
    <w:rsid w:val="00A15A5D"/>
    <w:rsid w:val="00A15D5E"/>
    <w:rsid w:val="00A1670F"/>
    <w:rsid w:val="00A1690F"/>
    <w:rsid w:val="00A16AAC"/>
    <w:rsid w:val="00A16EC5"/>
    <w:rsid w:val="00A20C32"/>
    <w:rsid w:val="00A21279"/>
    <w:rsid w:val="00A216EA"/>
    <w:rsid w:val="00A22453"/>
    <w:rsid w:val="00A22478"/>
    <w:rsid w:val="00A22949"/>
    <w:rsid w:val="00A22F63"/>
    <w:rsid w:val="00A2360E"/>
    <w:rsid w:val="00A246C7"/>
    <w:rsid w:val="00A2486E"/>
    <w:rsid w:val="00A24DBD"/>
    <w:rsid w:val="00A255A4"/>
    <w:rsid w:val="00A25AE3"/>
    <w:rsid w:val="00A26C06"/>
    <w:rsid w:val="00A2779F"/>
    <w:rsid w:val="00A2798D"/>
    <w:rsid w:val="00A300F9"/>
    <w:rsid w:val="00A3025C"/>
    <w:rsid w:val="00A30781"/>
    <w:rsid w:val="00A3083D"/>
    <w:rsid w:val="00A3096C"/>
    <w:rsid w:val="00A309A9"/>
    <w:rsid w:val="00A30C5E"/>
    <w:rsid w:val="00A31405"/>
    <w:rsid w:val="00A31687"/>
    <w:rsid w:val="00A31AAD"/>
    <w:rsid w:val="00A31B83"/>
    <w:rsid w:val="00A3292F"/>
    <w:rsid w:val="00A32A69"/>
    <w:rsid w:val="00A32BC5"/>
    <w:rsid w:val="00A33A38"/>
    <w:rsid w:val="00A35289"/>
    <w:rsid w:val="00A3551D"/>
    <w:rsid w:val="00A37272"/>
    <w:rsid w:val="00A373DB"/>
    <w:rsid w:val="00A373F4"/>
    <w:rsid w:val="00A376E5"/>
    <w:rsid w:val="00A377D7"/>
    <w:rsid w:val="00A40424"/>
    <w:rsid w:val="00A4092F"/>
    <w:rsid w:val="00A40B29"/>
    <w:rsid w:val="00A40EEF"/>
    <w:rsid w:val="00A411D3"/>
    <w:rsid w:val="00A41DD5"/>
    <w:rsid w:val="00A42088"/>
    <w:rsid w:val="00A420B1"/>
    <w:rsid w:val="00A42A89"/>
    <w:rsid w:val="00A42CB8"/>
    <w:rsid w:val="00A434A5"/>
    <w:rsid w:val="00A43D52"/>
    <w:rsid w:val="00A43DC0"/>
    <w:rsid w:val="00A4414A"/>
    <w:rsid w:val="00A458B4"/>
    <w:rsid w:val="00A45EEB"/>
    <w:rsid w:val="00A467E0"/>
    <w:rsid w:val="00A46D01"/>
    <w:rsid w:val="00A47591"/>
    <w:rsid w:val="00A47875"/>
    <w:rsid w:val="00A504E8"/>
    <w:rsid w:val="00A518C8"/>
    <w:rsid w:val="00A51B5F"/>
    <w:rsid w:val="00A52483"/>
    <w:rsid w:val="00A52B42"/>
    <w:rsid w:val="00A53325"/>
    <w:rsid w:val="00A53360"/>
    <w:rsid w:val="00A534EC"/>
    <w:rsid w:val="00A53E9D"/>
    <w:rsid w:val="00A54488"/>
    <w:rsid w:val="00A544EE"/>
    <w:rsid w:val="00A54E89"/>
    <w:rsid w:val="00A55354"/>
    <w:rsid w:val="00A55831"/>
    <w:rsid w:val="00A55A22"/>
    <w:rsid w:val="00A55C38"/>
    <w:rsid w:val="00A55F66"/>
    <w:rsid w:val="00A577BA"/>
    <w:rsid w:val="00A60032"/>
    <w:rsid w:val="00A60785"/>
    <w:rsid w:val="00A6090F"/>
    <w:rsid w:val="00A60CC8"/>
    <w:rsid w:val="00A6151E"/>
    <w:rsid w:val="00A61776"/>
    <w:rsid w:val="00A618A1"/>
    <w:rsid w:val="00A61B9F"/>
    <w:rsid w:val="00A61BE0"/>
    <w:rsid w:val="00A62852"/>
    <w:rsid w:val="00A628E7"/>
    <w:rsid w:val="00A63DC2"/>
    <w:rsid w:val="00A64136"/>
    <w:rsid w:val="00A6488E"/>
    <w:rsid w:val="00A65145"/>
    <w:rsid w:val="00A6526F"/>
    <w:rsid w:val="00A65AD4"/>
    <w:rsid w:val="00A664F0"/>
    <w:rsid w:val="00A666A1"/>
    <w:rsid w:val="00A66B06"/>
    <w:rsid w:val="00A67889"/>
    <w:rsid w:val="00A67AF8"/>
    <w:rsid w:val="00A67BB5"/>
    <w:rsid w:val="00A67BF5"/>
    <w:rsid w:val="00A70204"/>
    <w:rsid w:val="00A706EC"/>
    <w:rsid w:val="00A707C6"/>
    <w:rsid w:val="00A70BAD"/>
    <w:rsid w:val="00A71341"/>
    <w:rsid w:val="00A716FC"/>
    <w:rsid w:val="00A71D0F"/>
    <w:rsid w:val="00A724E0"/>
    <w:rsid w:val="00A72EBF"/>
    <w:rsid w:val="00A73044"/>
    <w:rsid w:val="00A730C5"/>
    <w:rsid w:val="00A7312D"/>
    <w:rsid w:val="00A734C0"/>
    <w:rsid w:val="00A7351A"/>
    <w:rsid w:val="00A741D7"/>
    <w:rsid w:val="00A7448F"/>
    <w:rsid w:val="00A74CAF"/>
    <w:rsid w:val="00A74EE5"/>
    <w:rsid w:val="00A75954"/>
    <w:rsid w:val="00A759CF"/>
    <w:rsid w:val="00A75BA3"/>
    <w:rsid w:val="00A76B08"/>
    <w:rsid w:val="00A77F75"/>
    <w:rsid w:val="00A80B7F"/>
    <w:rsid w:val="00A815E3"/>
    <w:rsid w:val="00A81B49"/>
    <w:rsid w:val="00A81C92"/>
    <w:rsid w:val="00A81D88"/>
    <w:rsid w:val="00A82123"/>
    <w:rsid w:val="00A82181"/>
    <w:rsid w:val="00A82275"/>
    <w:rsid w:val="00A823E8"/>
    <w:rsid w:val="00A83AED"/>
    <w:rsid w:val="00A849A7"/>
    <w:rsid w:val="00A84C30"/>
    <w:rsid w:val="00A858CF"/>
    <w:rsid w:val="00A85A73"/>
    <w:rsid w:val="00A85C7F"/>
    <w:rsid w:val="00A86160"/>
    <w:rsid w:val="00A861BE"/>
    <w:rsid w:val="00A86942"/>
    <w:rsid w:val="00A86A8E"/>
    <w:rsid w:val="00A86E14"/>
    <w:rsid w:val="00A871F5"/>
    <w:rsid w:val="00A87601"/>
    <w:rsid w:val="00A87B24"/>
    <w:rsid w:val="00A90DC0"/>
    <w:rsid w:val="00A912D3"/>
    <w:rsid w:val="00A91C27"/>
    <w:rsid w:val="00A920C4"/>
    <w:rsid w:val="00A922DE"/>
    <w:rsid w:val="00A92572"/>
    <w:rsid w:val="00A925EB"/>
    <w:rsid w:val="00A9296D"/>
    <w:rsid w:val="00A92D63"/>
    <w:rsid w:val="00A92E62"/>
    <w:rsid w:val="00A944A9"/>
    <w:rsid w:val="00A94C0D"/>
    <w:rsid w:val="00A9530B"/>
    <w:rsid w:val="00A95385"/>
    <w:rsid w:val="00A95BC8"/>
    <w:rsid w:val="00A95BD0"/>
    <w:rsid w:val="00A95D8C"/>
    <w:rsid w:val="00A96126"/>
    <w:rsid w:val="00A965EB"/>
    <w:rsid w:val="00A966AE"/>
    <w:rsid w:val="00A96D49"/>
    <w:rsid w:val="00A9798F"/>
    <w:rsid w:val="00A97A99"/>
    <w:rsid w:val="00A97DD6"/>
    <w:rsid w:val="00AA0537"/>
    <w:rsid w:val="00AA0764"/>
    <w:rsid w:val="00AA0A4A"/>
    <w:rsid w:val="00AA0F7B"/>
    <w:rsid w:val="00AA1AEB"/>
    <w:rsid w:val="00AA2B04"/>
    <w:rsid w:val="00AA2C8B"/>
    <w:rsid w:val="00AA2CDB"/>
    <w:rsid w:val="00AA2FF3"/>
    <w:rsid w:val="00AA3768"/>
    <w:rsid w:val="00AA39AA"/>
    <w:rsid w:val="00AA40D5"/>
    <w:rsid w:val="00AA53ED"/>
    <w:rsid w:val="00AA5524"/>
    <w:rsid w:val="00AA5BF1"/>
    <w:rsid w:val="00AA5F90"/>
    <w:rsid w:val="00AA601A"/>
    <w:rsid w:val="00AA6B4F"/>
    <w:rsid w:val="00AA6F12"/>
    <w:rsid w:val="00AA73C3"/>
    <w:rsid w:val="00AA73FF"/>
    <w:rsid w:val="00AA7B04"/>
    <w:rsid w:val="00AA7CCA"/>
    <w:rsid w:val="00AB0BED"/>
    <w:rsid w:val="00AB0D44"/>
    <w:rsid w:val="00AB179D"/>
    <w:rsid w:val="00AB2D3F"/>
    <w:rsid w:val="00AB3542"/>
    <w:rsid w:val="00AB3584"/>
    <w:rsid w:val="00AB363E"/>
    <w:rsid w:val="00AB3923"/>
    <w:rsid w:val="00AB3A69"/>
    <w:rsid w:val="00AB4041"/>
    <w:rsid w:val="00AB445A"/>
    <w:rsid w:val="00AB4643"/>
    <w:rsid w:val="00AB47C5"/>
    <w:rsid w:val="00AB492C"/>
    <w:rsid w:val="00AB53AA"/>
    <w:rsid w:val="00AB5C66"/>
    <w:rsid w:val="00AB5EDA"/>
    <w:rsid w:val="00AB61E9"/>
    <w:rsid w:val="00AB663F"/>
    <w:rsid w:val="00AB6D7B"/>
    <w:rsid w:val="00AB70FF"/>
    <w:rsid w:val="00AB72C5"/>
    <w:rsid w:val="00AB7353"/>
    <w:rsid w:val="00AB7682"/>
    <w:rsid w:val="00AB7EA4"/>
    <w:rsid w:val="00AC01C1"/>
    <w:rsid w:val="00AC0B16"/>
    <w:rsid w:val="00AC0B50"/>
    <w:rsid w:val="00AC17E7"/>
    <w:rsid w:val="00AC18A8"/>
    <w:rsid w:val="00AC31F2"/>
    <w:rsid w:val="00AC39CB"/>
    <w:rsid w:val="00AC3A5E"/>
    <w:rsid w:val="00AC3AB1"/>
    <w:rsid w:val="00AC436D"/>
    <w:rsid w:val="00AC45E5"/>
    <w:rsid w:val="00AC46E2"/>
    <w:rsid w:val="00AC4E31"/>
    <w:rsid w:val="00AC51A8"/>
    <w:rsid w:val="00AC576A"/>
    <w:rsid w:val="00AC7859"/>
    <w:rsid w:val="00AD042A"/>
    <w:rsid w:val="00AD0887"/>
    <w:rsid w:val="00AD0B4A"/>
    <w:rsid w:val="00AD1429"/>
    <w:rsid w:val="00AD1F94"/>
    <w:rsid w:val="00AD214E"/>
    <w:rsid w:val="00AD24FE"/>
    <w:rsid w:val="00AD2C65"/>
    <w:rsid w:val="00AD2D61"/>
    <w:rsid w:val="00AD3766"/>
    <w:rsid w:val="00AD3E10"/>
    <w:rsid w:val="00AD417F"/>
    <w:rsid w:val="00AD4373"/>
    <w:rsid w:val="00AD56AF"/>
    <w:rsid w:val="00AD5E10"/>
    <w:rsid w:val="00AD6A75"/>
    <w:rsid w:val="00AD6B97"/>
    <w:rsid w:val="00AD6F67"/>
    <w:rsid w:val="00AD7057"/>
    <w:rsid w:val="00AD7147"/>
    <w:rsid w:val="00AD71AF"/>
    <w:rsid w:val="00AD76B8"/>
    <w:rsid w:val="00AD7E11"/>
    <w:rsid w:val="00AE02D9"/>
    <w:rsid w:val="00AE04B9"/>
    <w:rsid w:val="00AE0DE2"/>
    <w:rsid w:val="00AE1E58"/>
    <w:rsid w:val="00AE1EA8"/>
    <w:rsid w:val="00AE2EBC"/>
    <w:rsid w:val="00AE350C"/>
    <w:rsid w:val="00AE3D1B"/>
    <w:rsid w:val="00AE3D2D"/>
    <w:rsid w:val="00AE4099"/>
    <w:rsid w:val="00AE42F3"/>
    <w:rsid w:val="00AE4C4B"/>
    <w:rsid w:val="00AE587D"/>
    <w:rsid w:val="00AE58BF"/>
    <w:rsid w:val="00AE5B21"/>
    <w:rsid w:val="00AE5CCE"/>
    <w:rsid w:val="00AE5E1B"/>
    <w:rsid w:val="00AE6424"/>
    <w:rsid w:val="00AE672C"/>
    <w:rsid w:val="00AE6F4C"/>
    <w:rsid w:val="00AE7562"/>
    <w:rsid w:val="00AE7745"/>
    <w:rsid w:val="00AE7990"/>
    <w:rsid w:val="00AE7C10"/>
    <w:rsid w:val="00AF0433"/>
    <w:rsid w:val="00AF0605"/>
    <w:rsid w:val="00AF0D14"/>
    <w:rsid w:val="00AF1092"/>
    <w:rsid w:val="00AF1A6B"/>
    <w:rsid w:val="00AF245D"/>
    <w:rsid w:val="00AF26B0"/>
    <w:rsid w:val="00AF292C"/>
    <w:rsid w:val="00AF2B4C"/>
    <w:rsid w:val="00AF315B"/>
    <w:rsid w:val="00AF353B"/>
    <w:rsid w:val="00AF3861"/>
    <w:rsid w:val="00AF38D4"/>
    <w:rsid w:val="00AF3BCF"/>
    <w:rsid w:val="00AF3DBE"/>
    <w:rsid w:val="00AF4047"/>
    <w:rsid w:val="00AF4354"/>
    <w:rsid w:val="00AF4406"/>
    <w:rsid w:val="00AF5131"/>
    <w:rsid w:val="00AF61B7"/>
    <w:rsid w:val="00AF623C"/>
    <w:rsid w:val="00AF644A"/>
    <w:rsid w:val="00AF7B52"/>
    <w:rsid w:val="00AF7D1E"/>
    <w:rsid w:val="00B000BA"/>
    <w:rsid w:val="00B00961"/>
    <w:rsid w:val="00B00CDF"/>
    <w:rsid w:val="00B00E41"/>
    <w:rsid w:val="00B00F52"/>
    <w:rsid w:val="00B00F58"/>
    <w:rsid w:val="00B00F99"/>
    <w:rsid w:val="00B0149C"/>
    <w:rsid w:val="00B01719"/>
    <w:rsid w:val="00B01D73"/>
    <w:rsid w:val="00B01EEB"/>
    <w:rsid w:val="00B0228A"/>
    <w:rsid w:val="00B02666"/>
    <w:rsid w:val="00B0352C"/>
    <w:rsid w:val="00B04311"/>
    <w:rsid w:val="00B045AB"/>
    <w:rsid w:val="00B04994"/>
    <w:rsid w:val="00B04A5A"/>
    <w:rsid w:val="00B04B0B"/>
    <w:rsid w:val="00B058E6"/>
    <w:rsid w:val="00B05C85"/>
    <w:rsid w:val="00B06258"/>
    <w:rsid w:val="00B06346"/>
    <w:rsid w:val="00B06A4C"/>
    <w:rsid w:val="00B07A03"/>
    <w:rsid w:val="00B07DD5"/>
    <w:rsid w:val="00B1039E"/>
    <w:rsid w:val="00B107CD"/>
    <w:rsid w:val="00B11373"/>
    <w:rsid w:val="00B11A09"/>
    <w:rsid w:val="00B11C4C"/>
    <w:rsid w:val="00B12417"/>
    <w:rsid w:val="00B12491"/>
    <w:rsid w:val="00B1377B"/>
    <w:rsid w:val="00B13D26"/>
    <w:rsid w:val="00B13D54"/>
    <w:rsid w:val="00B13F4E"/>
    <w:rsid w:val="00B147B3"/>
    <w:rsid w:val="00B14878"/>
    <w:rsid w:val="00B14A02"/>
    <w:rsid w:val="00B14FFD"/>
    <w:rsid w:val="00B15128"/>
    <w:rsid w:val="00B1585D"/>
    <w:rsid w:val="00B16100"/>
    <w:rsid w:val="00B16F71"/>
    <w:rsid w:val="00B17162"/>
    <w:rsid w:val="00B178D6"/>
    <w:rsid w:val="00B20130"/>
    <w:rsid w:val="00B20154"/>
    <w:rsid w:val="00B20164"/>
    <w:rsid w:val="00B20967"/>
    <w:rsid w:val="00B214BE"/>
    <w:rsid w:val="00B215AB"/>
    <w:rsid w:val="00B215D7"/>
    <w:rsid w:val="00B216A6"/>
    <w:rsid w:val="00B2221A"/>
    <w:rsid w:val="00B22DDB"/>
    <w:rsid w:val="00B22E00"/>
    <w:rsid w:val="00B238FE"/>
    <w:rsid w:val="00B253E2"/>
    <w:rsid w:val="00B267AA"/>
    <w:rsid w:val="00B27328"/>
    <w:rsid w:val="00B273DD"/>
    <w:rsid w:val="00B27464"/>
    <w:rsid w:val="00B279BA"/>
    <w:rsid w:val="00B27C6A"/>
    <w:rsid w:val="00B300E5"/>
    <w:rsid w:val="00B30313"/>
    <w:rsid w:val="00B303CA"/>
    <w:rsid w:val="00B3055B"/>
    <w:rsid w:val="00B306B0"/>
    <w:rsid w:val="00B3101A"/>
    <w:rsid w:val="00B312A6"/>
    <w:rsid w:val="00B3255D"/>
    <w:rsid w:val="00B33188"/>
    <w:rsid w:val="00B331CD"/>
    <w:rsid w:val="00B333E9"/>
    <w:rsid w:val="00B344B3"/>
    <w:rsid w:val="00B35BFC"/>
    <w:rsid w:val="00B35D19"/>
    <w:rsid w:val="00B36598"/>
    <w:rsid w:val="00B365AD"/>
    <w:rsid w:val="00B36A65"/>
    <w:rsid w:val="00B36A6B"/>
    <w:rsid w:val="00B36A7A"/>
    <w:rsid w:val="00B374F4"/>
    <w:rsid w:val="00B3754C"/>
    <w:rsid w:val="00B37EFB"/>
    <w:rsid w:val="00B40086"/>
    <w:rsid w:val="00B413F4"/>
    <w:rsid w:val="00B414AB"/>
    <w:rsid w:val="00B414C0"/>
    <w:rsid w:val="00B41528"/>
    <w:rsid w:val="00B415E8"/>
    <w:rsid w:val="00B41FD6"/>
    <w:rsid w:val="00B42A0E"/>
    <w:rsid w:val="00B42EDE"/>
    <w:rsid w:val="00B430AF"/>
    <w:rsid w:val="00B43138"/>
    <w:rsid w:val="00B4341E"/>
    <w:rsid w:val="00B436E6"/>
    <w:rsid w:val="00B43A7E"/>
    <w:rsid w:val="00B43C14"/>
    <w:rsid w:val="00B44AD1"/>
    <w:rsid w:val="00B44B7A"/>
    <w:rsid w:val="00B46705"/>
    <w:rsid w:val="00B46943"/>
    <w:rsid w:val="00B46AEA"/>
    <w:rsid w:val="00B46C32"/>
    <w:rsid w:val="00B46CBB"/>
    <w:rsid w:val="00B47411"/>
    <w:rsid w:val="00B5036D"/>
    <w:rsid w:val="00B50597"/>
    <w:rsid w:val="00B508A1"/>
    <w:rsid w:val="00B508FC"/>
    <w:rsid w:val="00B509D7"/>
    <w:rsid w:val="00B50D7D"/>
    <w:rsid w:val="00B50E00"/>
    <w:rsid w:val="00B51432"/>
    <w:rsid w:val="00B51C7C"/>
    <w:rsid w:val="00B524C5"/>
    <w:rsid w:val="00B5264C"/>
    <w:rsid w:val="00B527BB"/>
    <w:rsid w:val="00B52AF5"/>
    <w:rsid w:val="00B52B78"/>
    <w:rsid w:val="00B52D35"/>
    <w:rsid w:val="00B53167"/>
    <w:rsid w:val="00B53675"/>
    <w:rsid w:val="00B537C2"/>
    <w:rsid w:val="00B53B82"/>
    <w:rsid w:val="00B54030"/>
    <w:rsid w:val="00B5490F"/>
    <w:rsid w:val="00B55F17"/>
    <w:rsid w:val="00B56255"/>
    <w:rsid w:val="00B566A3"/>
    <w:rsid w:val="00B56766"/>
    <w:rsid w:val="00B56D5D"/>
    <w:rsid w:val="00B57076"/>
    <w:rsid w:val="00B5729D"/>
    <w:rsid w:val="00B574A7"/>
    <w:rsid w:val="00B57B0B"/>
    <w:rsid w:val="00B6064F"/>
    <w:rsid w:val="00B611FB"/>
    <w:rsid w:val="00B61761"/>
    <w:rsid w:val="00B6187D"/>
    <w:rsid w:val="00B61F1B"/>
    <w:rsid w:val="00B62868"/>
    <w:rsid w:val="00B62B01"/>
    <w:rsid w:val="00B6402D"/>
    <w:rsid w:val="00B648BD"/>
    <w:rsid w:val="00B64FF9"/>
    <w:rsid w:val="00B6520F"/>
    <w:rsid w:val="00B65529"/>
    <w:rsid w:val="00B657A0"/>
    <w:rsid w:val="00B6584B"/>
    <w:rsid w:val="00B65A37"/>
    <w:rsid w:val="00B6623D"/>
    <w:rsid w:val="00B66A9B"/>
    <w:rsid w:val="00B675F5"/>
    <w:rsid w:val="00B677E3"/>
    <w:rsid w:val="00B67EA4"/>
    <w:rsid w:val="00B67FAC"/>
    <w:rsid w:val="00B7003F"/>
    <w:rsid w:val="00B705C9"/>
    <w:rsid w:val="00B7110E"/>
    <w:rsid w:val="00B713C8"/>
    <w:rsid w:val="00B715D1"/>
    <w:rsid w:val="00B71801"/>
    <w:rsid w:val="00B71847"/>
    <w:rsid w:val="00B71DCD"/>
    <w:rsid w:val="00B71FB3"/>
    <w:rsid w:val="00B7357A"/>
    <w:rsid w:val="00B73722"/>
    <w:rsid w:val="00B737A0"/>
    <w:rsid w:val="00B743D8"/>
    <w:rsid w:val="00B74475"/>
    <w:rsid w:val="00B748D9"/>
    <w:rsid w:val="00B7636C"/>
    <w:rsid w:val="00B7666A"/>
    <w:rsid w:val="00B76F3A"/>
    <w:rsid w:val="00B773F8"/>
    <w:rsid w:val="00B77E6C"/>
    <w:rsid w:val="00B80008"/>
    <w:rsid w:val="00B80AD8"/>
    <w:rsid w:val="00B80D02"/>
    <w:rsid w:val="00B812F9"/>
    <w:rsid w:val="00B814F2"/>
    <w:rsid w:val="00B8192B"/>
    <w:rsid w:val="00B81B60"/>
    <w:rsid w:val="00B81B67"/>
    <w:rsid w:val="00B82E2A"/>
    <w:rsid w:val="00B8358F"/>
    <w:rsid w:val="00B83C52"/>
    <w:rsid w:val="00B842CA"/>
    <w:rsid w:val="00B8485C"/>
    <w:rsid w:val="00B854BB"/>
    <w:rsid w:val="00B8560C"/>
    <w:rsid w:val="00B85781"/>
    <w:rsid w:val="00B86507"/>
    <w:rsid w:val="00B86D64"/>
    <w:rsid w:val="00B86E4B"/>
    <w:rsid w:val="00B87071"/>
    <w:rsid w:val="00B87310"/>
    <w:rsid w:val="00B877EE"/>
    <w:rsid w:val="00B87823"/>
    <w:rsid w:val="00B878C0"/>
    <w:rsid w:val="00B87F37"/>
    <w:rsid w:val="00B905E9"/>
    <w:rsid w:val="00B907B7"/>
    <w:rsid w:val="00B910A3"/>
    <w:rsid w:val="00B91318"/>
    <w:rsid w:val="00B91923"/>
    <w:rsid w:val="00B91AEF"/>
    <w:rsid w:val="00B91E9E"/>
    <w:rsid w:val="00B936C5"/>
    <w:rsid w:val="00B93F26"/>
    <w:rsid w:val="00B94CAF"/>
    <w:rsid w:val="00B94CC7"/>
    <w:rsid w:val="00B94EC1"/>
    <w:rsid w:val="00B95054"/>
    <w:rsid w:val="00B952BC"/>
    <w:rsid w:val="00B95448"/>
    <w:rsid w:val="00B956E0"/>
    <w:rsid w:val="00B95992"/>
    <w:rsid w:val="00B95F52"/>
    <w:rsid w:val="00B961A8"/>
    <w:rsid w:val="00B972CB"/>
    <w:rsid w:val="00BA038A"/>
    <w:rsid w:val="00BA09A9"/>
    <w:rsid w:val="00BA0EE7"/>
    <w:rsid w:val="00BA2439"/>
    <w:rsid w:val="00BA26AD"/>
    <w:rsid w:val="00BA2DB1"/>
    <w:rsid w:val="00BA3039"/>
    <w:rsid w:val="00BA331D"/>
    <w:rsid w:val="00BA3914"/>
    <w:rsid w:val="00BA39BA"/>
    <w:rsid w:val="00BA4408"/>
    <w:rsid w:val="00BA5AE5"/>
    <w:rsid w:val="00BA5DBF"/>
    <w:rsid w:val="00BA5EEA"/>
    <w:rsid w:val="00BA69D8"/>
    <w:rsid w:val="00BA6D2E"/>
    <w:rsid w:val="00BB02D2"/>
    <w:rsid w:val="00BB12F9"/>
    <w:rsid w:val="00BB131D"/>
    <w:rsid w:val="00BB1324"/>
    <w:rsid w:val="00BB16CB"/>
    <w:rsid w:val="00BB17C8"/>
    <w:rsid w:val="00BB1813"/>
    <w:rsid w:val="00BB2CA0"/>
    <w:rsid w:val="00BB3512"/>
    <w:rsid w:val="00BB4574"/>
    <w:rsid w:val="00BB4A2E"/>
    <w:rsid w:val="00BB4B76"/>
    <w:rsid w:val="00BB55B7"/>
    <w:rsid w:val="00BB55E5"/>
    <w:rsid w:val="00BB60E5"/>
    <w:rsid w:val="00BB6CF0"/>
    <w:rsid w:val="00BB6D65"/>
    <w:rsid w:val="00BB6E4F"/>
    <w:rsid w:val="00BB7455"/>
    <w:rsid w:val="00BB7461"/>
    <w:rsid w:val="00BB7EEB"/>
    <w:rsid w:val="00BC0212"/>
    <w:rsid w:val="00BC0245"/>
    <w:rsid w:val="00BC06AD"/>
    <w:rsid w:val="00BC0E30"/>
    <w:rsid w:val="00BC1289"/>
    <w:rsid w:val="00BC14B1"/>
    <w:rsid w:val="00BC1652"/>
    <w:rsid w:val="00BC1942"/>
    <w:rsid w:val="00BC24E6"/>
    <w:rsid w:val="00BC26A4"/>
    <w:rsid w:val="00BC29E0"/>
    <w:rsid w:val="00BC3378"/>
    <w:rsid w:val="00BC3BC8"/>
    <w:rsid w:val="00BC4CA5"/>
    <w:rsid w:val="00BC5012"/>
    <w:rsid w:val="00BC51F7"/>
    <w:rsid w:val="00BC5D34"/>
    <w:rsid w:val="00BC5E59"/>
    <w:rsid w:val="00BC706E"/>
    <w:rsid w:val="00BC7850"/>
    <w:rsid w:val="00BC79EE"/>
    <w:rsid w:val="00BC7A9E"/>
    <w:rsid w:val="00BC7E3E"/>
    <w:rsid w:val="00BC7EA3"/>
    <w:rsid w:val="00BC7F23"/>
    <w:rsid w:val="00BD0057"/>
    <w:rsid w:val="00BD0070"/>
    <w:rsid w:val="00BD033C"/>
    <w:rsid w:val="00BD0436"/>
    <w:rsid w:val="00BD0F5C"/>
    <w:rsid w:val="00BD137A"/>
    <w:rsid w:val="00BD1801"/>
    <w:rsid w:val="00BD1F4C"/>
    <w:rsid w:val="00BD2821"/>
    <w:rsid w:val="00BD30E4"/>
    <w:rsid w:val="00BD3403"/>
    <w:rsid w:val="00BD376F"/>
    <w:rsid w:val="00BD3CF7"/>
    <w:rsid w:val="00BD43E2"/>
    <w:rsid w:val="00BD48C7"/>
    <w:rsid w:val="00BD52AF"/>
    <w:rsid w:val="00BD5E9E"/>
    <w:rsid w:val="00BD6651"/>
    <w:rsid w:val="00BD6966"/>
    <w:rsid w:val="00BD6B62"/>
    <w:rsid w:val="00BD6F4D"/>
    <w:rsid w:val="00BD7469"/>
    <w:rsid w:val="00BE01D2"/>
    <w:rsid w:val="00BE0D72"/>
    <w:rsid w:val="00BE0DAB"/>
    <w:rsid w:val="00BE0F48"/>
    <w:rsid w:val="00BE115C"/>
    <w:rsid w:val="00BE12A5"/>
    <w:rsid w:val="00BE1790"/>
    <w:rsid w:val="00BE17D4"/>
    <w:rsid w:val="00BE1900"/>
    <w:rsid w:val="00BE26E6"/>
    <w:rsid w:val="00BE2AFB"/>
    <w:rsid w:val="00BE2D8F"/>
    <w:rsid w:val="00BE2EC2"/>
    <w:rsid w:val="00BE30E5"/>
    <w:rsid w:val="00BE3730"/>
    <w:rsid w:val="00BE3DA1"/>
    <w:rsid w:val="00BE3FDC"/>
    <w:rsid w:val="00BE4478"/>
    <w:rsid w:val="00BE44AB"/>
    <w:rsid w:val="00BE4A5A"/>
    <w:rsid w:val="00BE540F"/>
    <w:rsid w:val="00BE6156"/>
    <w:rsid w:val="00BE64C4"/>
    <w:rsid w:val="00BE6953"/>
    <w:rsid w:val="00BE6C1C"/>
    <w:rsid w:val="00BE73A6"/>
    <w:rsid w:val="00BE7806"/>
    <w:rsid w:val="00BE7BB1"/>
    <w:rsid w:val="00BF007F"/>
    <w:rsid w:val="00BF0AF3"/>
    <w:rsid w:val="00BF1543"/>
    <w:rsid w:val="00BF20D9"/>
    <w:rsid w:val="00BF3AB8"/>
    <w:rsid w:val="00BF3E95"/>
    <w:rsid w:val="00BF47FF"/>
    <w:rsid w:val="00BF4CF4"/>
    <w:rsid w:val="00BF51E1"/>
    <w:rsid w:val="00BF585D"/>
    <w:rsid w:val="00BF6342"/>
    <w:rsid w:val="00BF64D2"/>
    <w:rsid w:val="00BF6907"/>
    <w:rsid w:val="00BF6B89"/>
    <w:rsid w:val="00BF6F40"/>
    <w:rsid w:val="00BF7353"/>
    <w:rsid w:val="00BF74E7"/>
    <w:rsid w:val="00C00702"/>
    <w:rsid w:val="00C0192D"/>
    <w:rsid w:val="00C023C6"/>
    <w:rsid w:val="00C03584"/>
    <w:rsid w:val="00C0366B"/>
    <w:rsid w:val="00C03A03"/>
    <w:rsid w:val="00C040C0"/>
    <w:rsid w:val="00C042A7"/>
    <w:rsid w:val="00C042FD"/>
    <w:rsid w:val="00C04925"/>
    <w:rsid w:val="00C056B5"/>
    <w:rsid w:val="00C05A1C"/>
    <w:rsid w:val="00C07EB7"/>
    <w:rsid w:val="00C1019A"/>
    <w:rsid w:val="00C10B16"/>
    <w:rsid w:val="00C10B1E"/>
    <w:rsid w:val="00C10CA6"/>
    <w:rsid w:val="00C11907"/>
    <w:rsid w:val="00C12101"/>
    <w:rsid w:val="00C1225A"/>
    <w:rsid w:val="00C12F17"/>
    <w:rsid w:val="00C13CF0"/>
    <w:rsid w:val="00C146F7"/>
    <w:rsid w:val="00C14A27"/>
    <w:rsid w:val="00C14BBF"/>
    <w:rsid w:val="00C150BE"/>
    <w:rsid w:val="00C15AC9"/>
    <w:rsid w:val="00C15ED8"/>
    <w:rsid w:val="00C15EE4"/>
    <w:rsid w:val="00C16B6D"/>
    <w:rsid w:val="00C1701C"/>
    <w:rsid w:val="00C1701F"/>
    <w:rsid w:val="00C17B11"/>
    <w:rsid w:val="00C203B5"/>
    <w:rsid w:val="00C2045B"/>
    <w:rsid w:val="00C20B94"/>
    <w:rsid w:val="00C21053"/>
    <w:rsid w:val="00C2190D"/>
    <w:rsid w:val="00C22A99"/>
    <w:rsid w:val="00C22E60"/>
    <w:rsid w:val="00C2471C"/>
    <w:rsid w:val="00C24ABB"/>
    <w:rsid w:val="00C257A7"/>
    <w:rsid w:val="00C2582A"/>
    <w:rsid w:val="00C2696B"/>
    <w:rsid w:val="00C26CE6"/>
    <w:rsid w:val="00C26DD4"/>
    <w:rsid w:val="00C275AE"/>
    <w:rsid w:val="00C27737"/>
    <w:rsid w:val="00C278CE"/>
    <w:rsid w:val="00C27C3B"/>
    <w:rsid w:val="00C3075B"/>
    <w:rsid w:val="00C3125A"/>
    <w:rsid w:val="00C31263"/>
    <w:rsid w:val="00C3137A"/>
    <w:rsid w:val="00C31F97"/>
    <w:rsid w:val="00C32358"/>
    <w:rsid w:val="00C323A1"/>
    <w:rsid w:val="00C324D6"/>
    <w:rsid w:val="00C3254A"/>
    <w:rsid w:val="00C3349A"/>
    <w:rsid w:val="00C335DF"/>
    <w:rsid w:val="00C3372C"/>
    <w:rsid w:val="00C33A86"/>
    <w:rsid w:val="00C3459B"/>
    <w:rsid w:val="00C347E4"/>
    <w:rsid w:val="00C350E3"/>
    <w:rsid w:val="00C35144"/>
    <w:rsid w:val="00C36544"/>
    <w:rsid w:val="00C406F4"/>
    <w:rsid w:val="00C41089"/>
    <w:rsid w:val="00C41119"/>
    <w:rsid w:val="00C414CE"/>
    <w:rsid w:val="00C41695"/>
    <w:rsid w:val="00C41BD5"/>
    <w:rsid w:val="00C41E96"/>
    <w:rsid w:val="00C42739"/>
    <w:rsid w:val="00C434E3"/>
    <w:rsid w:val="00C443D9"/>
    <w:rsid w:val="00C44406"/>
    <w:rsid w:val="00C444A9"/>
    <w:rsid w:val="00C445EF"/>
    <w:rsid w:val="00C447B2"/>
    <w:rsid w:val="00C44AB2"/>
    <w:rsid w:val="00C44E8F"/>
    <w:rsid w:val="00C459D5"/>
    <w:rsid w:val="00C46201"/>
    <w:rsid w:val="00C4774E"/>
    <w:rsid w:val="00C51586"/>
    <w:rsid w:val="00C51676"/>
    <w:rsid w:val="00C51B2F"/>
    <w:rsid w:val="00C522D4"/>
    <w:rsid w:val="00C5259F"/>
    <w:rsid w:val="00C52B5C"/>
    <w:rsid w:val="00C531AA"/>
    <w:rsid w:val="00C53875"/>
    <w:rsid w:val="00C543F0"/>
    <w:rsid w:val="00C545A4"/>
    <w:rsid w:val="00C55361"/>
    <w:rsid w:val="00C55E71"/>
    <w:rsid w:val="00C5628A"/>
    <w:rsid w:val="00C56358"/>
    <w:rsid w:val="00C56926"/>
    <w:rsid w:val="00C56A0E"/>
    <w:rsid w:val="00C56C1E"/>
    <w:rsid w:val="00C573BD"/>
    <w:rsid w:val="00C57555"/>
    <w:rsid w:val="00C57794"/>
    <w:rsid w:val="00C6045D"/>
    <w:rsid w:val="00C60CBD"/>
    <w:rsid w:val="00C61293"/>
    <w:rsid w:val="00C618E4"/>
    <w:rsid w:val="00C61F6A"/>
    <w:rsid w:val="00C62428"/>
    <w:rsid w:val="00C624B0"/>
    <w:rsid w:val="00C6334C"/>
    <w:rsid w:val="00C6340C"/>
    <w:rsid w:val="00C63CF2"/>
    <w:rsid w:val="00C63D27"/>
    <w:rsid w:val="00C6400F"/>
    <w:rsid w:val="00C64170"/>
    <w:rsid w:val="00C653F4"/>
    <w:rsid w:val="00C65A24"/>
    <w:rsid w:val="00C6629E"/>
    <w:rsid w:val="00C66E6D"/>
    <w:rsid w:val="00C676A2"/>
    <w:rsid w:val="00C679E1"/>
    <w:rsid w:val="00C70209"/>
    <w:rsid w:val="00C705E9"/>
    <w:rsid w:val="00C708F9"/>
    <w:rsid w:val="00C70F7F"/>
    <w:rsid w:val="00C7295E"/>
    <w:rsid w:val="00C72B66"/>
    <w:rsid w:val="00C7360A"/>
    <w:rsid w:val="00C7389E"/>
    <w:rsid w:val="00C73A53"/>
    <w:rsid w:val="00C73AF8"/>
    <w:rsid w:val="00C73DAE"/>
    <w:rsid w:val="00C74351"/>
    <w:rsid w:val="00C748C7"/>
    <w:rsid w:val="00C74CB2"/>
    <w:rsid w:val="00C74E70"/>
    <w:rsid w:val="00C74EE6"/>
    <w:rsid w:val="00C75834"/>
    <w:rsid w:val="00C75C17"/>
    <w:rsid w:val="00C764A4"/>
    <w:rsid w:val="00C76A9F"/>
    <w:rsid w:val="00C76AAE"/>
    <w:rsid w:val="00C77A65"/>
    <w:rsid w:val="00C801D1"/>
    <w:rsid w:val="00C806CA"/>
    <w:rsid w:val="00C80A5E"/>
    <w:rsid w:val="00C80BAE"/>
    <w:rsid w:val="00C8151B"/>
    <w:rsid w:val="00C816DD"/>
    <w:rsid w:val="00C81C42"/>
    <w:rsid w:val="00C8262B"/>
    <w:rsid w:val="00C82798"/>
    <w:rsid w:val="00C82F6A"/>
    <w:rsid w:val="00C835B5"/>
    <w:rsid w:val="00C83632"/>
    <w:rsid w:val="00C8393D"/>
    <w:rsid w:val="00C84792"/>
    <w:rsid w:val="00C8490F"/>
    <w:rsid w:val="00C84CAA"/>
    <w:rsid w:val="00C85305"/>
    <w:rsid w:val="00C85891"/>
    <w:rsid w:val="00C85A27"/>
    <w:rsid w:val="00C863A0"/>
    <w:rsid w:val="00C86A18"/>
    <w:rsid w:val="00C874D7"/>
    <w:rsid w:val="00C87669"/>
    <w:rsid w:val="00C87A05"/>
    <w:rsid w:val="00C90382"/>
    <w:rsid w:val="00C90A1D"/>
    <w:rsid w:val="00C91198"/>
    <w:rsid w:val="00C915EC"/>
    <w:rsid w:val="00C91DB9"/>
    <w:rsid w:val="00C9209F"/>
    <w:rsid w:val="00C929E8"/>
    <w:rsid w:val="00C9342F"/>
    <w:rsid w:val="00C93469"/>
    <w:rsid w:val="00C93A25"/>
    <w:rsid w:val="00C940C3"/>
    <w:rsid w:val="00C94979"/>
    <w:rsid w:val="00C94A82"/>
    <w:rsid w:val="00C94FF9"/>
    <w:rsid w:val="00C9506A"/>
    <w:rsid w:val="00C958EB"/>
    <w:rsid w:val="00C95AA9"/>
    <w:rsid w:val="00C95C07"/>
    <w:rsid w:val="00C96028"/>
    <w:rsid w:val="00C96B5E"/>
    <w:rsid w:val="00C96F98"/>
    <w:rsid w:val="00C973A1"/>
    <w:rsid w:val="00C974CA"/>
    <w:rsid w:val="00C977E4"/>
    <w:rsid w:val="00CA0601"/>
    <w:rsid w:val="00CA0658"/>
    <w:rsid w:val="00CA06AE"/>
    <w:rsid w:val="00CA098C"/>
    <w:rsid w:val="00CA0A62"/>
    <w:rsid w:val="00CA1C14"/>
    <w:rsid w:val="00CA22DE"/>
    <w:rsid w:val="00CA24B0"/>
    <w:rsid w:val="00CA3805"/>
    <w:rsid w:val="00CA38C2"/>
    <w:rsid w:val="00CA3F13"/>
    <w:rsid w:val="00CA3F46"/>
    <w:rsid w:val="00CA4382"/>
    <w:rsid w:val="00CA460F"/>
    <w:rsid w:val="00CA47DE"/>
    <w:rsid w:val="00CA5494"/>
    <w:rsid w:val="00CA72B2"/>
    <w:rsid w:val="00CA7601"/>
    <w:rsid w:val="00CA7DC3"/>
    <w:rsid w:val="00CA7EF6"/>
    <w:rsid w:val="00CB088E"/>
    <w:rsid w:val="00CB0BCA"/>
    <w:rsid w:val="00CB0E27"/>
    <w:rsid w:val="00CB0FBA"/>
    <w:rsid w:val="00CB1251"/>
    <w:rsid w:val="00CB12CD"/>
    <w:rsid w:val="00CB158B"/>
    <w:rsid w:val="00CB1CF9"/>
    <w:rsid w:val="00CB1D84"/>
    <w:rsid w:val="00CB28F6"/>
    <w:rsid w:val="00CB2A70"/>
    <w:rsid w:val="00CB2D44"/>
    <w:rsid w:val="00CB37AA"/>
    <w:rsid w:val="00CB3A56"/>
    <w:rsid w:val="00CB3C9E"/>
    <w:rsid w:val="00CB4B04"/>
    <w:rsid w:val="00CB4E49"/>
    <w:rsid w:val="00CB4EFA"/>
    <w:rsid w:val="00CB5207"/>
    <w:rsid w:val="00CB564F"/>
    <w:rsid w:val="00CB56A9"/>
    <w:rsid w:val="00CB5905"/>
    <w:rsid w:val="00CB59A0"/>
    <w:rsid w:val="00CB5E77"/>
    <w:rsid w:val="00CB6009"/>
    <w:rsid w:val="00CB61F2"/>
    <w:rsid w:val="00CB6682"/>
    <w:rsid w:val="00CB69F8"/>
    <w:rsid w:val="00CB72BB"/>
    <w:rsid w:val="00CB75D6"/>
    <w:rsid w:val="00CB76F6"/>
    <w:rsid w:val="00CC027A"/>
    <w:rsid w:val="00CC0361"/>
    <w:rsid w:val="00CC038F"/>
    <w:rsid w:val="00CC03FD"/>
    <w:rsid w:val="00CC1114"/>
    <w:rsid w:val="00CC1281"/>
    <w:rsid w:val="00CC1463"/>
    <w:rsid w:val="00CC1A11"/>
    <w:rsid w:val="00CC1A9B"/>
    <w:rsid w:val="00CC1ADD"/>
    <w:rsid w:val="00CC1C63"/>
    <w:rsid w:val="00CC1D4B"/>
    <w:rsid w:val="00CC249A"/>
    <w:rsid w:val="00CC260C"/>
    <w:rsid w:val="00CC2FDA"/>
    <w:rsid w:val="00CC416B"/>
    <w:rsid w:val="00CC569E"/>
    <w:rsid w:val="00CC5A74"/>
    <w:rsid w:val="00CC6FC8"/>
    <w:rsid w:val="00CC7612"/>
    <w:rsid w:val="00CC787E"/>
    <w:rsid w:val="00CD0413"/>
    <w:rsid w:val="00CD0E7F"/>
    <w:rsid w:val="00CD1428"/>
    <w:rsid w:val="00CD1CB2"/>
    <w:rsid w:val="00CD226E"/>
    <w:rsid w:val="00CD2741"/>
    <w:rsid w:val="00CD2A32"/>
    <w:rsid w:val="00CD2D79"/>
    <w:rsid w:val="00CD2EF4"/>
    <w:rsid w:val="00CD3264"/>
    <w:rsid w:val="00CD327A"/>
    <w:rsid w:val="00CD357B"/>
    <w:rsid w:val="00CD3D01"/>
    <w:rsid w:val="00CD43CE"/>
    <w:rsid w:val="00CD4C49"/>
    <w:rsid w:val="00CD549F"/>
    <w:rsid w:val="00CD54B8"/>
    <w:rsid w:val="00CD552A"/>
    <w:rsid w:val="00CD58CF"/>
    <w:rsid w:val="00CD5B3E"/>
    <w:rsid w:val="00CD5BED"/>
    <w:rsid w:val="00CD5F55"/>
    <w:rsid w:val="00CD6163"/>
    <w:rsid w:val="00CD6174"/>
    <w:rsid w:val="00CD6224"/>
    <w:rsid w:val="00CD6F63"/>
    <w:rsid w:val="00CE014C"/>
    <w:rsid w:val="00CE0450"/>
    <w:rsid w:val="00CE0F29"/>
    <w:rsid w:val="00CE1311"/>
    <w:rsid w:val="00CE3285"/>
    <w:rsid w:val="00CE34D9"/>
    <w:rsid w:val="00CE353A"/>
    <w:rsid w:val="00CE4048"/>
    <w:rsid w:val="00CE4588"/>
    <w:rsid w:val="00CE47C5"/>
    <w:rsid w:val="00CE4E34"/>
    <w:rsid w:val="00CE4F20"/>
    <w:rsid w:val="00CE59AF"/>
    <w:rsid w:val="00CE64C0"/>
    <w:rsid w:val="00CE67A7"/>
    <w:rsid w:val="00CE6880"/>
    <w:rsid w:val="00CE68F4"/>
    <w:rsid w:val="00CE702B"/>
    <w:rsid w:val="00CE71A1"/>
    <w:rsid w:val="00CE7F2D"/>
    <w:rsid w:val="00CF0251"/>
    <w:rsid w:val="00CF0ECF"/>
    <w:rsid w:val="00CF1922"/>
    <w:rsid w:val="00CF1A24"/>
    <w:rsid w:val="00CF29F7"/>
    <w:rsid w:val="00CF330A"/>
    <w:rsid w:val="00CF39E5"/>
    <w:rsid w:val="00CF4697"/>
    <w:rsid w:val="00CF5869"/>
    <w:rsid w:val="00CF5967"/>
    <w:rsid w:val="00CF59EF"/>
    <w:rsid w:val="00CF5A93"/>
    <w:rsid w:val="00CF5D49"/>
    <w:rsid w:val="00CF76A7"/>
    <w:rsid w:val="00CF798E"/>
    <w:rsid w:val="00CF7FB7"/>
    <w:rsid w:val="00D00208"/>
    <w:rsid w:val="00D00602"/>
    <w:rsid w:val="00D007C9"/>
    <w:rsid w:val="00D0099C"/>
    <w:rsid w:val="00D00E65"/>
    <w:rsid w:val="00D01847"/>
    <w:rsid w:val="00D018E0"/>
    <w:rsid w:val="00D023A7"/>
    <w:rsid w:val="00D02E53"/>
    <w:rsid w:val="00D03012"/>
    <w:rsid w:val="00D039D6"/>
    <w:rsid w:val="00D03C74"/>
    <w:rsid w:val="00D03CCB"/>
    <w:rsid w:val="00D04507"/>
    <w:rsid w:val="00D04519"/>
    <w:rsid w:val="00D0486D"/>
    <w:rsid w:val="00D048EF"/>
    <w:rsid w:val="00D05887"/>
    <w:rsid w:val="00D058C4"/>
    <w:rsid w:val="00D05E17"/>
    <w:rsid w:val="00D06959"/>
    <w:rsid w:val="00D06C17"/>
    <w:rsid w:val="00D07251"/>
    <w:rsid w:val="00D072E4"/>
    <w:rsid w:val="00D07335"/>
    <w:rsid w:val="00D07655"/>
    <w:rsid w:val="00D07E2C"/>
    <w:rsid w:val="00D07F14"/>
    <w:rsid w:val="00D10599"/>
    <w:rsid w:val="00D107F6"/>
    <w:rsid w:val="00D10B07"/>
    <w:rsid w:val="00D113DA"/>
    <w:rsid w:val="00D116DF"/>
    <w:rsid w:val="00D11C7E"/>
    <w:rsid w:val="00D11D05"/>
    <w:rsid w:val="00D11DBB"/>
    <w:rsid w:val="00D12555"/>
    <w:rsid w:val="00D12AC9"/>
    <w:rsid w:val="00D12C2C"/>
    <w:rsid w:val="00D1307A"/>
    <w:rsid w:val="00D133A8"/>
    <w:rsid w:val="00D13792"/>
    <w:rsid w:val="00D148F5"/>
    <w:rsid w:val="00D14A0F"/>
    <w:rsid w:val="00D14BD9"/>
    <w:rsid w:val="00D14BF2"/>
    <w:rsid w:val="00D14D00"/>
    <w:rsid w:val="00D15008"/>
    <w:rsid w:val="00D154F5"/>
    <w:rsid w:val="00D16264"/>
    <w:rsid w:val="00D16733"/>
    <w:rsid w:val="00D167EF"/>
    <w:rsid w:val="00D16E15"/>
    <w:rsid w:val="00D1782B"/>
    <w:rsid w:val="00D17B5C"/>
    <w:rsid w:val="00D17DE0"/>
    <w:rsid w:val="00D21169"/>
    <w:rsid w:val="00D216A3"/>
    <w:rsid w:val="00D2218A"/>
    <w:rsid w:val="00D22CD5"/>
    <w:rsid w:val="00D22DE0"/>
    <w:rsid w:val="00D22F55"/>
    <w:rsid w:val="00D234B4"/>
    <w:rsid w:val="00D240CD"/>
    <w:rsid w:val="00D24734"/>
    <w:rsid w:val="00D24743"/>
    <w:rsid w:val="00D2520F"/>
    <w:rsid w:val="00D25328"/>
    <w:rsid w:val="00D25333"/>
    <w:rsid w:val="00D25338"/>
    <w:rsid w:val="00D25402"/>
    <w:rsid w:val="00D25A83"/>
    <w:rsid w:val="00D2710F"/>
    <w:rsid w:val="00D27E76"/>
    <w:rsid w:val="00D30A92"/>
    <w:rsid w:val="00D30C0F"/>
    <w:rsid w:val="00D31264"/>
    <w:rsid w:val="00D316F6"/>
    <w:rsid w:val="00D3189A"/>
    <w:rsid w:val="00D31D38"/>
    <w:rsid w:val="00D31FFA"/>
    <w:rsid w:val="00D32AD6"/>
    <w:rsid w:val="00D33074"/>
    <w:rsid w:val="00D33282"/>
    <w:rsid w:val="00D332E4"/>
    <w:rsid w:val="00D3360B"/>
    <w:rsid w:val="00D337B6"/>
    <w:rsid w:val="00D33AFA"/>
    <w:rsid w:val="00D3435D"/>
    <w:rsid w:val="00D34BD2"/>
    <w:rsid w:val="00D3509C"/>
    <w:rsid w:val="00D3582C"/>
    <w:rsid w:val="00D360DE"/>
    <w:rsid w:val="00D36392"/>
    <w:rsid w:val="00D36423"/>
    <w:rsid w:val="00D36710"/>
    <w:rsid w:val="00D367A3"/>
    <w:rsid w:val="00D37052"/>
    <w:rsid w:val="00D374B2"/>
    <w:rsid w:val="00D37728"/>
    <w:rsid w:val="00D37A07"/>
    <w:rsid w:val="00D40372"/>
    <w:rsid w:val="00D40A81"/>
    <w:rsid w:val="00D42336"/>
    <w:rsid w:val="00D42FA1"/>
    <w:rsid w:val="00D4301D"/>
    <w:rsid w:val="00D43A38"/>
    <w:rsid w:val="00D43BB9"/>
    <w:rsid w:val="00D4404E"/>
    <w:rsid w:val="00D44686"/>
    <w:rsid w:val="00D454DD"/>
    <w:rsid w:val="00D456C5"/>
    <w:rsid w:val="00D45E47"/>
    <w:rsid w:val="00D47A2C"/>
    <w:rsid w:val="00D47BEA"/>
    <w:rsid w:val="00D508A7"/>
    <w:rsid w:val="00D51071"/>
    <w:rsid w:val="00D511A1"/>
    <w:rsid w:val="00D51296"/>
    <w:rsid w:val="00D52081"/>
    <w:rsid w:val="00D529DB"/>
    <w:rsid w:val="00D52D06"/>
    <w:rsid w:val="00D52D42"/>
    <w:rsid w:val="00D52F4B"/>
    <w:rsid w:val="00D53586"/>
    <w:rsid w:val="00D539C8"/>
    <w:rsid w:val="00D53ACE"/>
    <w:rsid w:val="00D53ED9"/>
    <w:rsid w:val="00D553F4"/>
    <w:rsid w:val="00D5572A"/>
    <w:rsid w:val="00D55941"/>
    <w:rsid w:val="00D55ACA"/>
    <w:rsid w:val="00D56198"/>
    <w:rsid w:val="00D561F8"/>
    <w:rsid w:val="00D5651B"/>
    <w:rsid w:val="00D565C1"/>
    <w:rsid w:val="00D56718"/>
    <w:rsid w:val="00D56D3E"/>
    <w:rsid w:val="00D56ED3"/>
    <w:rsid w:val="00D57210"/>
    <w:rsid w:val="00D57652"/>
    <w:rsid w:val="00D578CD"/>
    <w:rsid w:val="00D6028F"/>
    <w:rsid w:val="00D60616"/>
    <w:rsid w:val="00D60E6B"/>
    <w:rsid w:val="00D612DD"/>
    <w:rsid w:val="00D61472"/>
    <w:rsid w:val="00D61AF2"/>
    <w:rsid w:val="00D61BE8"/>
    <w:rsid w:val="00D6218A"/>
    <w:rsid w:val="00D62893"/>
    <w:rsid w:val="00D62A54"/>
    <w:rsid w:val="00D631B7"/>
    <w:rsid w:val="00D63C7C"/>
    <w:rsid w:val="00D6476F"/>
    <w:rsid w:val="00D65826"/>
    <w:rsid w:val="00D65ED1"/>
    <w:rsid w:val="00D6647D"/>
    <w:rsid w:val="00D667F0"/>
    <w:rsid w:val="00D668AD"/>
    <w:rsid w:val="00D66B28"/>
    <w:rsid w:val="00D66C0C"/>
    <w:rsid w:val="00D6767F"/>
    <w:rsid w:val="00D67843"/>
    <w:rsid w:val="00D67871"/>
    <w:rsid w:val="00D67FE8"/>
    <w:rsid w:val="00D70063"/>
    <w:rsid w:val="00D701BA"/>
    <w:rsid w:val="00D7025D"/>
    <w:rsid w:val="00D702ED"/>
    <w:rsid w:val="00D70863"/>
    <w:rsid w:val="00D70968"/>
    <w:rsid w:val="00D716C9"/>
    <w:rsid w:val="00D71852"/>
    <w:rsid w:val="00D71CFB"/>
    <w:rsid w:val="00D720FB"/>
    <w:rsid w:val="00D72ADF"/>
    <w:rsid w:val="00D72D7D"/>
    <w:rsid w:val="00D73447"/>
    <w:rsid w:val="00D7414C"/>
    <w:rsid w:val="00D748BB"/>
    <w:rsid w:val="00D748E9"/>
    <w:rsid w:val="00D75860"/>
    <w:rsid w:val="00D75D90"/>
    <w:rsid w:val="00D75FE7"/>
    <w:rsid w:val="00D7731D"/>
    <w:rsid w:val="00D77BE5"/>
    <w:rsid w:val="00D77C74"/>
    <w:rsid w:val="00D804FC"/>
    <w:rsid w:val="00D80E56"/>
    <w:rsid w:val="00D8154A"/>
    <w:rsid w:val="00D81717"/>
    <w:rsid w:val="00D82434"/>
    <w:rsid w:val="00D829E1"/>
    <w:rsid w:val="00D82D52"/>
    <w:rsid w:val="00D82F27"/>
    <w:rsid w:val="00D830FF"/>
    <w:rsid w:val="00D831B5"/>
    <w:rsid w:val="00D8402E"/>
    <w:rsid w:val="00D8406C"/>
    <w:rsid w:val="00D84278"/>
    <w:rsid w:val="00D85ABF"/>
    <w:rsid w:val="00D86275"/>
    <w:rsid w:val="00D8699C"/>
    <w:rsid w:val="00D86DC5"/>
    <w:rsid w:val="00D86F70"/>
    <w:rsid w:val="00D871A8"/>
    <w:rsid w:val="00D871BF"/>
    <w:rsid w:val="00D873A0"/>
    <w:rsid w:val="00D874CE"/>
    <w:rsid w:val="00D879AB"/>
    <w:rsid w:val="00D87D52"/>
    <w:rsid w:val="00D87DBA"/>
    <w:rsid w:val="00D901EE"/>
    <w:rsid w:val="00D907F9"/>
    <w:rsid w:val="00D90A38"/>
    <w:rsid w:val="00D90D3F"/>
    <w:rsid w:val="00D91F4A"/>
    <w:rsid w:val="00D923CE"/>
    <w:rsid w:val="00D92FD2"/>
    <w:rsid w:val="00D932F7"/>
    <w:rsid w:val="00D93531"/>
    <w:rsid w:val="00D937D4"/>
    <w:rsid w:val="00D93E94"/>
    <w:rsid w:val="00D93FB1"/>
    <w:rsid w:val="00D942F5"/>
    <w:rsid w:val="00D949EE"/>
    <w:rsid w:val="00D94C6B"/>
    <w:rsid w:val="00D94F3A"/>
    <w:rsid w:val="00D9615E"/>
    <w:rsid w:val="00DA0C12"/>
    <w:rsid w:val="00DA0F99"/>
    <w:rsid w:val="00DA1325"/>
    <w:rsid w:val="00DA13C4"/>
    <w:rsid w:val="00DA1975"/>
    <w:rsid w:val="00DA26EA"/>
    <w:rsid w:val="00DA2700"/>
    <w:rsid w:val="00DA2AD7"/>
    <w:rsid w:val="00DA3142"/>
    <w:rsid w:val="00DA343D"/>
    <w:rsid w:val="00DA3748"/>
    <w:rsid w:val="00DA3D6E"/>
    <w:rsid w:val="00DA4130"/>
    <w:rsid w:val="00DA4409"/>
    <w:rsid w:val="00DA6336"/>
    <w:rsid w:val="00DA635A"/>
    <w:rsid w:val="00DA6501"/>
    <w:rsid w:val="00DA6682"/>
    <w:rsid w:val="00DA6CBF"/>
    <w:rsid w:val="00DA6E80"/>
    <w:rsid w:val="00DA70B4"/>
    <w:rsid w:val="00DA7C03"/>
    <w:rsid w:val="00DA7CE0"/>
    <w:rsid w:val="00DA7D26"/>
    <w:rsid w:val="00DB0300"/>
    <w:rsid w:val="00DB047F"/>
    <w:rsid w:val="00DB0C96"/>
    <w:rsid w:val="00DB163C"/>
    <w:rsid w:val="00DB17C2"/>
    <w:rsid w:val="00DB185A"/>
    <w:rsid w:val="00DB2347"/>
    <w:rsid w:val="00DB2A7E"/>
    <w:rsid w:val="00DB2F8E"/>
    <w:rsid w:val="00DB37A8"/>
    <w:rsid w:val="00DB3DD4"/>
    <w:rsid w:val="00DB4405"/>
    <w:rsid w:val="00DB526F"/>
    <w:rsid w:val="00DB54D7"/>
    <w:rsid w:val="00DB59C9"/>
    <w:rsid w:val="00DB637B"/>
    <w:rsid w:val="00DB6570"/>
    <w:rsid w:val="00DB6F88"/>
    <w:rsid w:val="00DB7186"/>
    <w:rsid w:val="00DB733F"/>
    <w:rsid w:val="00DB74A5"/>
    <w:rsid w:val="00DB7874"/>
    <w:rsid w:val="00DB794D"/>
    <w:rsid w:val="00DB7D45"/>
    <w:rsid w:val="00DB7DF8"/>
    <w:rsid w:val="00DC003F"/>
    <w:rsid w:val="00DC02EE"/>
    <w:rsid w:val="00DC0D63"/>
    <w:rsid w:val="00DC131C"/>
    <w:rsid w:val="00DC26E1"/>
    <w:rsid w:val="00DC32F1"/>
    <w:rsid w:val="00DC3468"/>
    <w:rsid w:val="00DC3CDC"/>
    <w:rsid w:val="00DC3D50"/>
    <w:rsid w:val="00DC4D2C"/>
    <w:rsid w:val="00DC4E03"/>
    <w:rsid w:val="00DC507F"/>
    <w:rsid w:val="00DC552C"/>
    <w:rsid w:val="00DC5674"/>
    <w:rsid w:val="00DC6C8E"/>
    <w:rsid w:val="00DC6DF9"/>
    <w:rsid w:val="00DC74DF"/>
    <w:rsid w:val="00DC7999"/>
    <w:rsid w:val="00DC7B45"/>
    <w:rsid w:val="00DC7BA4"/>
    <w:rsid w:val="00DC7D95"/>
    <w:rsid w:val="00DC7F81"/>
    <w:rsid w:val="00DD0B45"/>
    <w:rsid w:val="00DD0EBA"/>
    <w:rsid w:val="00DD1E10"/>
    <w:rsid w:val="00DD3C15"/>
    <w:rsid w:val="00DD407A"/>
    <w:rsid w:val="00DD42F3"/>
    <w:rsid w:val="00DD4606"/>
    <w:rsid w:val="00DD46F9"/>
    <w:rsid w:val="00DD4A5D"/>
    <w:rsid w:val="00DD5357"/>
    <w:rsid w:val="00DD537B"/>
    <w:rsid w:val="00DD5733"/>
    <w:rsid w:val="00DD5A95"/>
    <w:rsid w:val="00DD6BEE"/>
    <w:rsid w:val="00DD6CAB"/>
    <w:rsid w:val="00DD6EE2"/>
    <w:rsid w:val="00DD72AD"/>
    <w:rsid w:val="00DD7996"/>
    <w:rsid w:val="00DD7DB8"/>
    <w:rsid w:val="00DE0F7B"/>
    <w:rsid w:val="00DE105A"/>
    <w:rsid w:val="00DE13CA"/>
    <w:rsid w:val="00DE1503"/>
    <w:rsid w:val="00DE3A27"/>
    <w:rsid w:val="00DE4090"/>
    <w:rsid w:val="00DE4EF2"/>
    <w:rsid w:val="00DE502D"/>
    <w:rsid w:val="00DE51E7"/>
    <w:rsid w:val="00DE59BD"/>
    <w:rsid w:val="00DE5A64"/>
    <w:rsid w:val="00DE64F2"/>
    <w:rsid w:val="00DE6889"/>
    <w:rsid w:val="00DE6CB3"/>
    <w:rsid w:val="00DE7C99"/>
    <w:rsid w:val="00DE7D4B"/>
    <w:rsid w:val="00DE7F4A"/>
    <w:rsid w:val="00DF093D"/>
    <w:rsid w:val="00DF0A4A"/>
    <w:rsid w:val="00DF1D99"/>
    <w:rsid w:val="00DF1E5F"/>
    <w:rsid w:val="00DF2486"/>
    <w:rsid w:val="00DF28C0"/>
    <w:rsid w:val="00DF2DC8"/>
    <w:rsid w:val="00DF2F90"/>
    <w:rsid w:val="00DF323B"/>
    <w:rsid w:val="00DF3619"/>
    <w:rsid w:val="00DF3AE7"/>
    <w:rsid w:val="00DF4EFA"/>
    <w:rsid w:val="00DF5564"/>
    <w:rsid w:val="00DF5824"/>
    <w:rsid w:val="00DF66C7"/>
    <w:rsid w:val="00DF6A00"/>
    <w:rsid w:val="00DF6B06"/>
    <w:rsid w:val="00E00275"/>
    <w:rsid w:val="00E003E9"/>
    <w:rsid w:val="00E008A3"/>
    <w:rsid w:val="00E008DA"/>
    <w:rsid w:val="00E0090E"/>
    <w:rsid w:val="00E00939"/>
    <w:rsid w:val="00E0166B"/>
    <w:rsid w:val="00E019D6"/>
    <w:rsid w:val="00E01B30"/>
    <w:rsid w:val="00E01BFB"/>
    <w:rsid w:val="00E0281E"/>
    <w:rsid w:val="00E0385F"/>
    <w:rsid w:val="00E038C3"/>
    <w:rsid w:val="00E03A38"/>
    <w:rsid w:val="00E03E97"/>
    <w:rsid w:val="00E0478E"/>
    <w:rsid w:val="00E05354"/>
    <w:rsid w:val="00E0549F"/>
    <w:rsid w:val="00E05781"/>
    <w:rsid w:val="00E05C0C"/>
    <w:rsid w:val="00E061AA"/>
    <w:rsid w:val="00E0704F"/>
    <w:rsid w:val="00E07532"/>
    <w:rsid w:val="00E07650"/>
    <w:rsid w:val="00E07D21"/>
    <w:rsid w:val="00E1008D"/>
    <w:rsid w:val="00E109CB"/>
    <w:rsid w:val="00E10A45"/>
    <w:rsid w:val="00E10A62"/>
    <w:rsid w:val="00E10DB3"/>
    <w:rsid w:val="00E1127B"/>
    <w:rsid w:val="00E11B9C"/>
    <w:rsid w:val="00E12446"/>
    <w:rsid w:val="00E12513"/>
    <w:rsid w:val="00E130E0"/>
    <w:rsid w:val="00E133EA"/>
    <w:rsid w:val="00E139A3"/>
    <w:rsid w:val="00E13B84"/>
    <w:rsid w:val="00E1448D"/>
    <w:rsid w:val="00E1480E"/>
    <w:rsid w:val="00E14DD7"/>
    <w:rsid w:val="00E15476"/>
    <w:rsid w:val="00E158E6"/>
    <w:rsid w:val="00E1625C"/>
    <w:rsid w:val="00E16A75"/>
    <w:rsid w:val="00E16CA6"/>
    <w:rsid w:val="00E17089"/>
    <w:rsid w:val="00E1739F"/>
    <w:rsid w:val="00E17679"/>
    <w:rsid w:val="00E20E42"/>
    <w:rsid w:val="00E218EE"/>
    <w:rsid w:val="00E219D5"/>
    <w:rsid w:val="00E22863"/>
    <w:rsid w:val="00E22A2F"/>
    <w:rsid w:val="00E22E2C"/>
    <w:rsid w:val="00E2370E"/>
    <w:rsid w:val="00E237A3"/>
    <w:rsid w:val="00E23C42"/>
    <w:rsid w:val="00E242B3"/>
    <w:rsid w:val="00E244C6"/>
    <w:rsid w:val="00E24E15"/>
    <w:rsid w:val="00E251FD"/>
    <w:rsid w:val="00E25260"/>
    <w:rsid w:val="00E25A59"/>
    <w:rsid w:val="00E260A8"/>
    <w:rsid w:val="00E26640"/>
    <w:rsid w:val="00E266F7"/>
    <w:rsid w:val="00E270E3"/>
    <w:rsid w:val="00E27521"/>
    <w:rsid w:val="00E27826"/>
    <w:rsid w:val="00E27B4F"/>
    <w:rsid w:val="00E27D15"/>
    <w:rsid w:val="00E27D42"/>
    <w:rsid w:val="00E3044C"/>
    <w:rsid w:val="00E309B9"/>
    <w:rsid w:val="00E30BD7"/>
    <w:rsid w:val="00E30F5F"/>
    <w:rsid w:val="00E3149F"/>
    <w:rsid w:val="00E32E88"/>
    <w:rsid w:val="00E330E6"/>
    <w:rsid w:val="00E3367E"/>
    <w:rsid w:val="00E338E5"/>
    <w:rsid w:val="00E34136"/>
    <w:rsid w:val="00E34217"/>
    <w:rsid w:val="00E354B2"/>
    <w:rsid w:val="00E3555F"/>
    <w:rsid w:val="00E36886"/>
    <w:rsid w:val="00E37374"/>
    <w:rsid w:val="00E378DC"/>
    <w:rsid w:val="00E37D90"/>
    <w:rsid w:val="00E4001D"/>
    <w:rsid w:val="00E40ABA"/>
    <w:rsid w:val="00E40DC3"/>
    <w:rsid w:val="00E41518"/>
    <w:rsid w:val="00E415C8"/>
    <w:rsid w:val="00E41B11"/>
    <w:rsid w:val="00E41DD6"/>
    <w:rsid w:val="00E41E8F"/>
    <w:rsid w:val="00E42158"/>
    <w:rsid w:val="00E421E8"/>
    <w:rsid w:val="00E42204"/>
    <w:rsid w:val="00E42734"/>
    <w:rsid w:val="00E42950"/>
    <w:rsid w:val="00E434A1"/>
    <w:rsid w:val="00E43D42"/>
    <w:rsid w:val="00E447A0"/>
    <w:rsid w:val="00E44982"/>
    <w:rsid w:val="00E44C74"/>
    <w:rsid w:val="00E45063"/>
    <w:rsid w:val="00E461BA"/>
    <w:rsid w:val="00E46555"/>
    <w:rsid w:val="00E46A0F"/>
    <w:rsid w:val="00E46E9C"/>
    <w:rsid w:val="00E470F7"/>
    <w:rsid w:val="00E4721A"/>
    <w:rsid w:val="00E47BA3"/>
    <w:rsid w:val="00E50481"/>
    <w:rsid w:val="00E50A07"/>
    <w:rsid w:val="00E51BEE"/>
    <w:rsid w:val="00E52232"/>
    <w:rsid w:val="00E53931"/>
    <w:rsid w:val="00E53C10"/>
    <w:rsid w:val="00E53D37"/>
    <w:rsid w:val="00E54F09"/>
    <w:rsid w:val="00E55CC9"/>
    <w:rsid w:val="00E56DAD"/>
    <w:rsid w:val="00E57796"/>
    <w:rsid w:val="00E57A5C"/>
    <w:rsid w:val="00E606A5"/>
    <w:rsid w:val="00E60866"/>
    <w:rsid w:val="00E60B3C"/>
    <w:rsid w:val="00E60B78"/>
    <w:rsid w:val="00E60FBC"/>
    <w:rsid w:val="00E6108A"/>
    <w:rsid w:val="00E611F6"/>
    <w:rsid w:val="00E613FA"/>
    <w:rsid w:val="00E61471"/>
    <w:rsid w:val="00E61D4A"/>
    <w:rsid w:val="00E62222"/>
    <w:rsid w:val="00E62364"/>
    <w:rsid w:val="00E6272C"/>
    <w:rsid w:val="00E6297A"/>
    <w:rsid w:val="00E62C63"/>
    <w:rsid w:val="00E633D1"/>
    <w:rsid w:val="00E638AB"/>
    <w:rsid w:val="00E63E5A"/>
    <w:rsid w:val="00E640DB"/>
    <w:rsid w:val="00E6441C"/>
    <w:rsid w:val="00E6491F"/>
    <w:rsid w:val="00E64C85"/>
    <w:rsid w:val="00E6511A"/>
    <w:rsid w:val="00E665CA"/>
    <w:rsid w:val="00E6666E"/>
    <w:rsid w:val="00E67080"/>
    <w:rsid w:val="00E678A1"/>
    <w:rsid w:val="00E67BB7"/>
    <w:rsid w:val="00E67E1D"/>
    <w:rsid w:val="00E702CC"/>
    <w:rsid w:val="00E706DB"/>
    <w:rsid w:val="00E7147A"/>
    <w:rsid w:val="00E71C09"/>
    <w:rsid w:val="00E726FE"/>
    <w:rsid w:val="00E72A74"/>
    <w:rsid w:val="00E7323C"/>
    <w:rsid w:val="00E734AC"/>
    <w:rsid w:val="00E7350B"/>
    <w:rsid w:val="00E73E5E"/>
    <w:rsid w:val="00E740CB"/>
    <w:rsid w:val="00E761C3"/>
    <w:rsid w:val="00E77B35"/>
    <w:rsid w:val="00E77FC4"/>
    <w:rsid w:val="00E77FEC"/>
    <w:rsid w:val="00E80413"/>
    <w:rsid w:val="00E805CC"/>
    <w:rsid w:val="00E80851"/>
    <w:rsid w:val="00E81718"/>
    <w:rsid w:val="00E82113"/>
    <w:rsid w:val="00E826BE"/>
    <w:rsid w:val="00E82B55"/>
    <w:rsid w:val="00E82D77"/>
    <w:rsid w:val="00E82E37"/>
    <w:rsid w:val="00E8320C"/>
    <w:rsid w:val="00E83B0A"/>
    <w:rsid w:val="00E83F82"/>
    <w:rsid w:val="00E83FE9"/>
    <w:rsid w:val="00E841BB"/>
    <w:rsid w:val="00E85173"/>
    <w:rsid w:val="00E8541C"/>
    <w:rsid w:val="00E85FB6"/>
    <w:rsid w:val="00E863D9"/>
    <w:rsid w:val="00E864A9"/>
    <w:rsid w:val="00E867B1"/>
    <w:rsid w:val="00E869B9"/>
    <w:rsid w:val="00E86B98"/>
    <w:rsid w:val="00E86D16"/>
    <w:rsid w:val="00E90031"/>
    <w:rsid w:val="00E901B9"/>
    <w:rsid w:val="00E9135E"/>
    <w:rsid w:val="00E91711"/>
    <w:rsid w:val="00E9174A"/>
    <w:rsid w:val="00E91C26"/>
    <w:rsid w:val="00E91E44"/>
    <w:rsid w:val="00E91EBE"/>
    <w:rsid w:val="00E91EFA"/>
    <w:rsid w:val="00E9272F"/>
    <w:rsid w:val="00E92F4C"/>
    <w:rsid w:val="00E934A2"/>
    <w:rsid w:val="00E93832"/>
    <w:rsid w:val="00E93949"/>
    <w:rsid w:val="00E93FFC"/>
    <w:rsid w:val="00E94A77"/>
    <w:rsid w:val="00E94B5C"/>
    <w:rsid w:val="00E94C39"/>
    <w:rsid w:val="00E9527C"/>
    <w:rsid w:val="00E9570D"/>
    <w:rsid w:val="00E957A2"/>
    <w:rsid w:val="00E958A5"/>
    <w:rsid w:val="00E959E4"/>
    <w:rsid w:val="00E95A96"/>
    <w:rsid w:val="00E95AF4"/>
    <w:rsid w:val="00E95B48"/>
    <w:rsid w:val="00E95D95"/>
    <w:rsid w:val="00E96398"/>
    <w:rsid w:val="00E96622"/>
    <w:rsid w:val="00E96E22"/>
    <w:rsid w:val="00EA0A39"/>
    <w:rsid w:val="00EA0B56"/>
    <w:rsid w:val="00EA15C0"/>
    <w:rsid w:val="00EA1713"/>
    <w:rsid w:val="00EA1E44"/>
    <w:rsid w:val="00EA2599"/>
    <w:rsid w:val="00EA2EAD"/>
    <w:rsid w:val="00EA39EE"/>
    <w:rsid w:val="00EA3D9C"/>
    <w:rsid w:val="00EA3DE6"/>
    <w:rsid w:val="00EA4E47"/>
    <w:rsid w:val="00EA4E59"/>
    <w:rsid w:val="00EA5CE3"/>
    <w:rsid w:val="00EA5DD1"/>
    <w:rsid w:val="00EA61BB"/>
    <w:rsid w:val="00EA697B"/>
    <w:rsid w:val="00EA6FEC"/>
    <w:rsid w:val="00EA70A7"/>
    <w:rsid w:val="00EB00DB"/>
    <w:rsid w:val="00EB0760"/>
    <w:rsid w:val="00EB1ACE"/>
    <w:rsid w:val="00EB1DD4"/>
    <w:rsid w:val="00EB21A5"/>
    <w:rsid w:val="00EB21CC"/>
    <w:rsid w:val="00EB2E6C"/>
    <w:rsid w:val="00EB2EB0"/>
    <w:rsid w:val="00EB35BC"/>
    <w:rsid w:val="00EB39F6"/>
    <w:rsid w:val="00EB5429"/>
    <w:rsid w:val="00EB7C72"/>
    <w:rsid w:val="00EC03E7"/>
    <w:rsid w:val="00EC04DB"/>
    <w:rsid w:val="00EC0AD2"/>
    <w:rsid w:val="00EC0E15"/>
    <w:rsid w:val="00EC0EE7"/>
    <w:rsid w:val="00EC1207"/>
    <w:rsid w:val="00EC182F"/>
    <w:rsid w:val="00EC1A8D"/>
    <w:rsid w:val="00EC241F"/>
    <w:rsid w:val="00EC2632"/>
    <w:rsid w:val="00EC2A8F"/>
    <w:rsid w:val="00EC340F"/>
    <w:rsid w:val="00EC368B"/>
    <w:rsid w:val="00EC53D6"/>
    <w:rsid w:val="00EC5847"/>
    <w:rsid w:val="00ED0863"/>
    <w:rsid w:val="00ED134E"/>
    <w:rsid w:val="00ED18A9"/>
    <w:rsid w:val="00ED1E95"/>
    <w:rsid w:val="00ED207B"/>
    <w:rsid w:val="00ED2BE5"/>
    <w:rsid w:val="00ED2F58"/>
    <w:rsid w:val="00ED3862"/>
    <w:rsid w:val="00ED3BC7"/>
    <w:rsid w:val="00ED456B"/>
    <w:rsid w:val="00ED4D90"/>
    <w:rsid w:val="00ED5343"/>
    <w:rsid w:val="00ED5782"/>
    <w:rsid w:val="00ED5BE4"/>
    <w:rsid w:val="00ED61D6"/>
    <w:rsid w:val="00ED6FFF"/>
    <w:rsid w:val="00ED7A59"/>
    <w:rsid w:val="00EE036E"/>
    <w:rsid w:val="00EE0922"/>
    <w:rsid w:val="00EE14E4"/>
    <w:rsid w:val="00EE1B7B"/>
    <w:rsid w:val="00EE1D36"/>
    <w:rsid w:val="00EE2356"/>
    <w:rsid w:val="00EE33B5"/>
    <w:rsid w:val="00EE37F5"/>
    <w:rsid w:val="00EE3EDC"/>
    <w:rsid w:val="00EE42D7"/>
    <w:rsid w:val="00EE4B3B"/>
    <w:rsid w:val="00EE504F"/>
    <w:rsid w:val="00EE5BD0"/>
    <w:rsid w:val="00EE5E2C"/>
    <w:rsid w:val="00EE63A8"/>
    <w:rsid w:val="00EE6AED"/>
    <w:rsid w:val="00EE6EFD"/>
    <w:rsid w:val="00EE784E"/>
    <w:rsid w:val="00EE7AE3"/>
    <w:rsid w:val="00EE7DC3"/>
    <w:rsid w:val="00EF0887"/>
    <w:rsid w:val="00EF0909"/>
    <w:rsid w:val="00EF0ACF"/>
    <w:rsid w:val="00EF0C3C"/>
    <w:rsid w:val="00EF1601"/>
    <w:rsid w:val="00EF1E3C"/>
    <w:rsid w:val="00EF267C"/>
    <w:rsid w:val="00EF2B24"/>
    <w:rsid w:val="00EF34B4"/>
    <w:rsid w:val="00EF45C4"/>
    <w:rsid w:val="00EF45D1"/>
    <w:rsid w:val="00EF483B"/>
    <w:rsid w:val="00EF5E97"/>
    <w:rsid w:val="00EF5FE3"/>
    <w:rsid w:val="00EF60C1"/>
    <w:rsid w:val="00EF62A4"/>
    <w:rsid w:val="00EF62FE"/>
    <w:rsid w:val="00EF658D"/>
    <w:rsid w:val="00EF6807"/>
    <w:rsid w:val="00EF6BC0"/>
    <w:rsid w:val="00EF6E7C"/>
    <w:rsid w:val="00EF775B"/>
    <w:rsid w:val="00EF7858"/>
    <w:rsid w:val="00EF7AF7"/>
    <w:rsid w:val="00EF7DC7"/>
    <w:rsid w:val="00F00A11"/>
    <w:rsid w:val="00F00D57"/>
    <w:rsid w:val="00F014AA"/>
    <w:rsid w:val="00F015A8"/>
    <w:rsid w:val="00F02637"/>
    <w:rsid w:val="00F02922"/>
    <w:rsid w:val="00F02DF6"/>
    <w:rsid w:val="00F031B7"/>
    <w:rsid w:val="00F03965"/>
    <w:rsid w:val="00F03A74"/>
    <w:rsid w:val="00F03DB4"/>
    <w:rsid w:val="00F03F1C"/>
    <w:rsid w:val="00F048E0"/>
    <w:rsid w:val="00F04BDB"/>
    <w:rsid w:val="00F0591A"/>
    <w:rsid w:val="00F05AE3"/>
    <w:rsid w:val="00F06233"/>
    <w:rsid w:val="00F0635C"/>
    <w:rsid w:val="00F10F23"/>
    <w:rsid w:val="00F11690"/>
    <w:rsid w:val="00F1178C"/>
    <w:rsid w:val="00F11916"/>
    <w:rsid w:val="00F123F1"/>
    <w:rsid w:val="00F1261B"/>
    <w:rsid w:val="00F12D4F"/>
    <w:rsid w:val="00F12E46"/>
    <w:rsid w:val="00F135EF"/>
    <w:rsid w:val="00F13D91"/>
    <w:rsid w:val="00F14174"/>
    <w:rsid w:val="00F1422A"/>
    <w:rsid w:val="00F14262"/>
    <w:rsid w:val="00F14BDE"/>
    <w:rsid w:val="00F14CE6"/>
    <w:rsid w:val="00F15DD8"/>
    <w:rsid w:val="00F15DEF"/>
    <w:rsid w:val="00F16054"/>
    <w:rsid w:val="00F1642F"/>
    <w:rsid w:val="00F16B51"/>
    <w:rsid w:val="00F16DDD"/>
    <w:rsid w:val="00F172B1"/>
    <w:rsid w:val="00F1733F"/>
    <w:rsid w:val="00F174EB"/>
    <w:rsid w:val="00F1778B"/>
    <w:rsid w:val="00F20ED6"/>
    <w:rsid w:val="00F2120F"/>
    <w:rsid w:val="00F2129B"/>
    <w:rsid w:val="00F215A4"/>
    <w:rsid w:val="00F21F7B"/>
    <w:rsid w:val="00F225E7"/>
    <w:rsid w:val="00F22FED"/>
    <w:rsid w:val="00F23DA6"/>
    <w:rsid w:val="00F23F1C"/>
    <w:rsid w:val="00F23F26"/>
    <w:rsid w:val="00F2471C"/>
    <w:rsid w:val="00F25796"/>
    <w:rsid w:val="00F25DC1"/>
    <w:rsid w:val="00F27087"/>
    <w:rsid w:val="00F27910"/>
    <w:rsid w:val="00F30001"/>
    <w:rsid w:val="00F300E2"/>
    <w:rsid w:val="00F301C3"/>
    <w:rsid w:val="00F302E1"/>
    <w:rsid w:val="00F30609"/>
    <w:rsid w:val="00F3092B"/>
    <w:rsid w:val="00F30A63"/>
    <w:rsid w:val="00F3110B"/>
    <w:rsid w:val="00F31553"/>
    <w:rsid w:val="00F3165B"/>
    <w:rsid w:val="00F319F8"/>
    <w:rsid w:val="00F31B80"/>
    <w:rsid w:val="00F31FC6"/>
    <w:rsid w:val="00F326BC"/>
    <w:rsid w:val="00F328FA"/>
    <w:rsid w:val="00F32DB6"/>
    <w:rsid w:val="00F33067"/>
    <w:rsid w:val="00F33468"/>
    <w:rsid w:val="00F336B6"/>
    <w:rsid w:val="00F3426C"/>
    <w:rsid w:val="00F34773"/>
    <w:rsid w:val="00F347AC"/>
    <w:rsid w:val="00F34943"/>
    <w:rsid w:val="00F3498D"/>
    <w:rsid w:val="00F34CC2"/>
    <w:rsid w:val="00F34EE2"/>
    <w:rsid w:val="00F36590"/>
    <w:rsid w:val="00F36833"/>
    <w:rsid w:val="00F36951"/>
    <w:rsid w:val="00F37354"/>
    <w:rsid w:val="00F376AE"/>
    <w:rsid w:val="00F37AE6"/>
    <w:rsid w:val="00F37DDC"/>
    <w:rsid w:val="00F40078"/>
    <w:rsid w:val="00F40531"/>
    <w:rsid w:val="00F40A44"/>
    <w:rsid w:val="00F40A6E"/>
    <w:rsid w:val="00F40FE9"/>
    <w:rsid w:val="00F4118A"/>
    <w:rsid w:val="00F41290"/>
    <w:rsid w:val="00F41506"/>
    <w:rsid w:val="00F41D34"/>
    <w:rsid w:val="00F42AD5"/>
    <w:rsid w:val="00F42D2D"/>
    <w:rsid w:val="00F43085"/>
    <w:rsid w:val="00F43171"/>
    <w:rsid w:val="00F440E2"/>
    <w:rsid w:val="00F449CF"/>
    <w:rsid w:val="00F449EC"/>
    <w:rsid w:val="00F457D0"/>
    <w:rsid w:val="00F458CE"/>
    <w:rsid w:val="00F45EBD"/>
    <w:rsid w:val="00F46096"/>
    <w:rsid w:val="00F46BB4"/>
    <w:rsid w:val="00F47145"/>
    <w:rsid w:val="00F47E72"/>
    <w:rsid w:val="00F506F3"/>
    <w:rsid w:val="00F5072A"/>
    <w:rsid w:val="00F507EA"/>
    <w:rsid w:val="00F50861"/>
    <w:rsid w:val="00F50B78"/>
    <w:rsid w:val="00F51663"/>
    <w:rsid w:val="00F51A3A"/>
    <w:rsid w:val="00F51ACD"/>
    <w:rsid w:val="00F51BD7"/>
    <w:rsid w:val="00F51E92"/>
    <w:rsid w:val="00F52223"/>
    <w:rsid w:val="00F52D79"/>
    <w:rsid w:val="00F531BE"/>
    <w:rsid w:val="00F533FB"/>
    <w:rsid w:val="00F534AE"/>
    <w:rsid w:val="00F53762"/>
    <w:rsid w:val="00F53879"/>
    <w:rsid w:val="00F53D71"/>
    <w:rsid w:val="00F53DC4"/>
    <w:rsid w:val="00F5467A"/>
    <w:rsid w:val="00F56C16"/>
    <w:rsid w:val="00F570FA"/>
    <w:rsid w:val="00F57362"/>
    <w:rsid w:val="00F57799"/>
    <w:rsid w:val="00F602DB"/>
    <w:rsid w:val="00F610A8"/>
    <w:rsid w:val="00F61885"/>
    <w:rsid w:val="00F61B84"/>
    <w:rsid w:val="00F624FE"/>
    <w:rsid w:val="00F6296C"/>
    <w:rsid w:val="00F62EB7"/>
    <w:rsid w:val="00F636DF"/>
    <w:rsid w:val="00F638CD"/>
    <w:rsid w:val="00F63A6E"/>
    <w:rsid w:val="00F63CF6"/>
    <w:rsid w:val="00F64587"/>
    <w:rsid w:val="00F645E0"/>
    <w:rsid w:val="00F648CE"/>
    <w:rsid w:val="00F65CEA"/>
    <w:rsid w:val="00F6682C"/>
    <w:rsid w:val="00F66884"/>
    <w:rsid w:val="00F66F61"/>
    <w:rsid w:val="00F670D9"/>
    <w:rsid w:val="00F671D1"/>
    <w:rsid w:val="00F67430"/>
    <w:rsid w:val="00F6754F"/>
    <w:rsid w:val="00F676BC"/>
    <w:rsid w:val="00F703AE"/>
    <w:rsid w:val="00F717C8"/>
    <w:rsid w:val="00F71BB9"/>
    <w:rsid w:val="00F71F03"/>
    <w:rsid w:val="00F71F32"/>
    <w:rsid w:val="00F71FFB"/>
    <w:rsid w:val="00F72533"/>
    <w:rsid w:val="00F7268A"/>
    <w:rsid w:val="00F72BC3"/>
    <w:rsid w:val="00F731EB"/>
    <w:rsid w:val="00F73881"/>
    <w:rsid w:val="00F73A9F"/>
    <w:rsid w:val="00F73FD6"/>
    <w:rsid w:val="00F74A18"/>
    <w:rsid w:val="00F7513C"/>
    <w:rsid w:val="00F7541E"/>
    <w:rsid w:val="00F75D0E"/>
    <w:rsid w:val="00F763AE"/>
    <w:rsid w:val="00F7654C"/>
    <w:rsid w:val="00F7701E"/>
    <w:rsid w:val="00F77379"/>
    <w:rsid w:val="00F777CA"/>
    <w:rsid w:val="00F77E75"/>
    <w:rsid w:val="00F8059D"/>
    <w:rsid w:val="00F805DC"/>
    <w:rsid w:val="00F806B6"/>
    <w:rsid w:val="00F80797"/>
    <w:rsid w:val="00F80CFF"/>
    <w:rsid w:val="00F80E43"/>
    <w:rsid w:val="00F818AA"/>
    <w:rsid w:val="00F81990"/>
    <w:rsid w:val="00F81D74"/>
    <w:rsid w:val="00F81EC0"/>
    <w:rsid w:val="00F81F57"/>
    <w:rsid w:val="00F8295E"/>
    <w:rsid w:val="00F82CDB"/>
    <w:rsid w:val="00F82ED2"/>
    <w:rsid w:val="00F82F04"/>
    <w:rsid w:val="00F8359F"/>
    <w:rsid w:val="00F83694"/>
    <w:rsid w:val="00F84287"/>
    <w:rsid w:val="00F842BF"/>
    <w:rsid w:val="00F84796"/>
    <w:rsid w:val="00F84C30"/>
    <w:rsid w:val="00F85C18"/>
    <w:rsid w:val="00F85E6A"/>
    <w:rsid w:val="00F86F6A"/>
    <w:rsid w:val="00F87E34"/>
    <w:rsid w:val="00F9058C"/>
    <w:rsid w:val="00F90D3C"/>
    <w:rsid w:val="00F9177B"/>
    <w:rsid w:val="00F91F14"/>
    <w:rsid w:val="00F92002"/>
    <w:rsid w:val="00F92140"/>
    <w:rsid w:val="00F925F0"/>
    <w:rsid w:val="00F928AC"/>
    <w:rsid w:val="00F929FC"/>
    <w:rsid w:val="00F92A47"/>
    <w:rsid w:val="00F92ABD"/>
    <w:rsid w:val="00F933F5"/>
    <w:rsid w:val="00F93E04"/>
    <w:rsid w:val="00F9421E"/>
    <w:rsid w:val="00F9466C"/>
    <w:rsid w:val="00F946CC"/>
    <w:rsid w:val="00F94BE0"/>
    <w:rsid w:val="00F9599D"/>
    <w:rsid w:val="00F95E44"/>
    <w:rsid w:val="00F96A34"/>
    <w:rsid w:val="00FA0162"/>
    <w:rsid w:val="00FA0275"/>
    <w:rsid w:val="00FA0D4C"/>
    <w:rsid w:val="00FA1831"/>
    <w:rsid w:val="00FA196E"/>
    <w:rsid w:val="00FA1A12"/>
    <w:rsid w:val="00FA1A2B"/>
    <w:rsid w:val="00FA1EFE"/>
    <w:rsid w:val="00FA204D"/>
    <w:rsid w:val="00FA2B33"/>
    <w:rsid w:val="00FA3C18"/>
    <w:rsid w:val="00FA3E3A"/>
    <w:rsid w:val="00FA3EEF"/>
    <w:rsid w:val="00FA4081"/>
    <w:rsid w:val="00FA4310"/>
    <w:rsid w:val="00FA50C3"/>
    <w:rsid w:val="00FA50E2"/>
    <w:rsid w:val="00FA5363"/>
    <w:rsid w:val="00FA5611"/>
    <w:rsid w:val="00FA5828"/>
    <w:rsid w:val="00FA610E"/>
    <w:rsid w:val="00FA61EE"/>
    <w:rsid w:val="00FA7243"/>
    <w:rsid w:val="00FA78A0"/>
    <w:rsid w:val="00FA7B19"/>
    <w:rsid w:val="00FB0147"/>
    <w:rsid w:val="00FB0A83"/>
    <w:rsid w:val="00FB1728"/>
    <w:rsid w:val="00FB1EC7"/>
    <w:rsid w:val="00FB221C"/>
    <w:rsid w:val="00FB329B"/>
    <w:rsid w:val="00FB414A"/>
    <w:rsid w:val="00FB4EDE"/>
    <w:rsid w:val="00FB52E0"/>
    <w:rsid w:val="00FB554C"/>
    <w:rsid w:val="00FB5847"/>
    <w:rsid w:val="00FB5979"/>
    <w:rsid w:val="00FB5F7D"/>
    <w:rsid w:val="00FB5F99"/>
    <w:rsid w:val="00FB5FB2"/>
    <w:rsid w:val="00FB603B"/>
    <w:rsid w:val="00FB6CB1"/>
    <w:rsid w:val="00FB6EFD"/>
    <w:rsid w:val="00FB7070"/>
    <w:rsid w:val="00FB7097"/>
    <w:rsid w:val="00FC00E4"/>
    <w:rsid w:val="00FC0283"/>
    <w:rsid w:val="00FC067D"/>
    <w:rsid w:val="00FC0D52"/>
    <w:rsid w:val="00FC0F4A"/>
    <w:rsid w:val="00FC12EE"/>
    <w:rsid w:val="00FC26DB"/>
    <w:rsid w:val="00FC2E61"/>
    <w:rsid w:val="00FC43A8"/>
    <w:rsid w:val="00FC48E3"/>
    <w:rsid w:val="00FC616D"/>
    <w:rsid w:val="00FC61C4"/>
    <w:rsid w:val="00FC659D"/>
    <w:rsid w:val="00FC67F8"/>
    <w:rsid w:val="00FC6E89"/>
    <w:rsid w:val="00FC74E3"/>
    <w:rsid w:val="00FD104C"/>
    <w:rsid w:val="00FD11AB"/>
    <w:rsid w:val="00FD1289"/>
    <w:rsid w:val="00FD198E"/>
    <w:rsid w:val="00FD2501"/>
    <w:rsid w:val="00FD32A3"/>
    <w:rsid w:val="00FD4015"/>
    <w:rsid w:val="00FD46B3"/>
    <w:rsid w:val="00FD4AEB"/>
    <w:rsid w:val="00FD56CA"/>
    <w:rsid w:val="00FD57D2"/>
    <w:rsid w:val="00FD5A32"/>
    <w:rsid w:val="00FD618E"/>
    <w:rsid w:val="00FD66E1"/>
    <w:rsid w:val="00FD6821"/>
    <w:rsid w:val="00FD6CFF"/>
    <w:rsid w:val="00FD789B"/>
    <w:rsid w:val="00FE02B0"/>
    <w:rsid w:val="00FE0754"/>
    <w:rsid w:val="00FE0953"/>
    <w:rsid w:val="00FE0CE0"/>
    <w:rsid w:val="00FE0E42"/>
    <w:rsid w:val="00FE11EE"/>
    <w:rsid w:val="00FE13B8"/>
    <w:rsid w:val="00FE15D7"/>
    <w:rsid w:val="00FE1B0D"/>
    <w:rsid w:val="00FE1B61"/>
    <w:rsid w:val="00FE1EB3"/>
    <w:rsid w:val="00FE21C5"/>
    <w:rsid w:val="00FE2E7C"/>
    <w:rsid w:val="00FE319D"/>
    <w:rsid w:val="00FE3772"/>
    <w:rsid w:val="00FE3799"/>
    <w:rsid w:val="00FE4472"/>
    <w:rsid w:val="00FE471F"/>
    <w:rsid w:val="00FE49EA"/>
    <w:rsid w:val="00FE55DB"/>
    <w:rsid w:val="00FE6264"/>
    <w:rsid w:val="00FE6378"/>
    <w:rsid w:val="00FE6488"/>
    <w:rsid w:val="00FE69D3"/>
    <w:rsid w:val="00FE6FCB"/>
    <w:rsid w:val="00FE704C"/>
    <w:rsid w:val="00FE7064"/>
    <w:rsid w:val="00FE7332"/>
    <w:rsid w:val="00FE790A"/>
    <w:rsid w:val="00FE7F23"/>
    <w:rsid w:val="00FE7FFC"/>
    <w:rsid w:val="00FF09BE"/>
    <w:rsid w:val="00FF15DF"/>
    <w:rsid w:val="00FF2173"/>
    <w:rsid w:val="00FF2473"/>
    <w:rsid w:val="00FF2521"/>
    <w:rsid w:val="00FF30CF"/>
    <w:rsid w:val="00FF3D93"/>
    <w:rsid w:val="00FF3E8F"/>
    <w:rsid w:val="00FF3FB4"/>
    <w:rsid w:val="00FF43B0"/>
    <w:rsid w:val="00FF4ACD"/>
    <w:rsid w:val="00FF4E86"/>
    <w:rsid w:val="00FF4FF1"/>
    <w:rsid w:val="00FF55EE"/>
    <w:rsid w:val="00FF5DD4"/>
    <w:rsid w:val="00FF6848"/>
    <w:rsid w:val="00FF70EC"/>
    <w:rsid w:val="00FF77B6"/>
    <w:rsid w:val="699AD7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DFA5"/>
  <w15:chartTrackingRefBased/>
  <w15:docId w15:val="{65C73252-5A1D-4941-92ED-4D1CBFD3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7FA4"/>
    <w:pPr>
      <w:spacing w:after="0" w:line="288" w:lineRule="auto"/>
      <w:jc w:val="both"/>
    </w:pPr>
    <w:rPr>
      <w:rFonts w:ascii="Verdana" w:eastAsia="Times New Roman" w:hAnsi="Verdana" w:cs="Times New Roman"/>
      <w:kern w:val="0"/>
      <w:sz w:val="17"/>
      <w:szCs w:val="24"/>
      <w14:ligatures w14:val="none"/>
    </w:rPr>
  </w:style>
  <w:style w:type="paragraph" w:styleId="Nadpis1">
    <w:name w:val="heading 1"/>
    <w:basedOn w:val="CEABullet-Level1"/>
    <w:next w:val="Normlny"/>
    <w:link w:val="Nadpis1Char"/>
    <w:uiPriority w:val="9"/>
    <w:qFormat/>
    <w:rsid w:val="00587FA4"/>
    <w:pPr>
      <w:numPr>
        <w:numId w:val="1"/>
      </w:numPr>
      <w:outlineLvl w:val="0"/>
    </w:pPr>
    <w:rPr>
      <w:b/>
      <w:b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87FA4"/>
    <w:rPr>
      <w:rFonts w:ascii="Verdana" w:eastAsia="Times New Roman" w:hAnsi="Verdana" w:cs="Frutiger LT Std 45 Light"/>
      <w:b/>
      <w:bCs/>
      <w:color w:val="4472C4" w:themeColor="accent1"/>
      <w:kern w:val="0"/>
      <w:sz w:val="17"/>
      <w:szCs w:val="20"/>
      <w14:ligatures w14:val="none"/>
    </w:rPr>
  </w:style>
  <w:style w:type="paragraph" w:styleId="Hlavika">
    <w:name w:val="header"/>
    <w:basedOn w:val="Normlny"/>
    <w:link w:val="HlavikaChar"/>
    <w:semiHidden/>
    <w:rsid w:val="00587FA4"/>
    <w:pPr>
      <w:tabs>
        <w:tab w:val="center" w:pos="4320"/>
        <w:tab w:val="right" w:pos="8640"/>
      </w:tabs>
    </w:pPr>
  </w:style>
  <w:style w:type="character" w:customStyle="1" w:styleId="HlavikaChar">
    <w:name w:val="Hlavička Char"/>
    <w:basedOn w:val="Predvolenpsmoodseku"/>
    <w:link w:val="Hlavika"/>
    <w:semiHidden/>
    <w:rsid w:val="00587FA4"/>
    <w:rPr>
      <w:rFonts w:ascii="Verdana" w:eastAsia="Times New Roman" w:hAnsi="Verdana" w:cs="Times New Roman"/>
      <w:kern w:val="0"/>
      <w:sz w:val="17"/>
      <w:szCs w:val="24"/>
      <w:lang w:val="sk"/>
      <w14:ligatures w14:val="none"/>
    </w:rPr>
  </w:style>
  <w:style w:type="paragraph" w:styleId="Pta">
    <w:name w:val="footer"/>
    <w:basedOn w:val="Normlny"/>
    <w:link w:val="PtaChar"/>
    <w:uiPriority w:val="99"/>
    <w:rsid w:val="00587FA4"/>
    <w:pPr>
      <w:tabs>
        <w:tab w:val="center" w:pos="4320"/>
        <w:tab w:val="right" w:pos="8640"/>
      </w:tabs>
    </w:pPr>
  </w:style>
  <w:style w:type="character" w:customStyle="1" w:styleId="PtaChar">
    <w:name w:val="Päta Char"/>
    <w:basedOn w:val="Predvolenpsmoodseku"/>
    <w:link w:val="Pta"/>
    <w:uiPriority w:val="99"/>
    <w:rsid w:val="00587FA4"/>
    <w:rPr>
      <w:rFonts w:ascii="Verdana" w:eastAsia="Times New Roman" w:hAnsi="Verdana" w:cs="Times New Roman"/>
      <w:kern w:val="0"/>
      <w:sz w:val="17"/>
      <w:szCs w:val="24"/>
      <w:lang w:val="sk"/>
      <w14:ligatures w14:val="none"/>
    </w:rPr>
  </w:style>
  <w:style w:type="paragraph" w:customStyle="1" w:styleId="Noparagraphstyle">
    <w:name w:val="[No paragraph style]"/>
    <w:semiHidden/>
    <w:rsid w:val="00587FA4"/>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CEABullet-Level1">
    <w:name w:val="CEA Bullet - Level 1"/>
    <w:basedOn w:val="Normlny"/>
    <w:link w:val="CEABullet-Level1Char"/>
    <w:qFormat/>
    <w:rsid w:val="00587FA4"/>
    <w:pPr>
      <w:autoSpaceDE w:val="0"/>
      <w:autoSpaceDN w:val="0"/>
      <w:adjustRightInd w:val="0"/>
    </w:pPr>
    <w:rPr>
      <w:rFonts w:cs="Frutiger LT Std 45 Light"/>
      <w:color w:val="000000"/>
      <w:szCs w:val="20"/>
    </w:rPr>
  </w:style>
  <w:style w:type="paragraph" w:styleId="Odsekzoznamu">
    <w:name w:val="List Paragraph"/>
    <w:aliases w:val="Lettre d'introduction,Paragrafo elenco,List Paragraph1,1st level - Bullet List Paragraph"/>
    <w:basedOn w:val="Normlny"/>
    <w:link w:val="OdsekzoznamuChar"/>
    <w:uiPriority w:val="34"/>
    <w:qFormat/>
    <w:rsid w:val="00587FA4"/>
    <w:pPr>
      <w:ind w:left="720"/>
      <w:contextualSpacing/>
    </w:pPr>
  </w:style>
  <w:style w:type="table" w:styleId="Mriekatabuky">
    <w:name w:val="Table Grid"/>
    <w:basedOn w:val="Normlnatabuka"/>
    <w:uiPriority w:val="59"/>
    <w:rsid w:val="00587F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87FA4"/>
    <w:rPr>
      <w:color w:val="0563C1"/>
      <w:u w:val="single"/>
    </w:rPr>
  </w:style>
  <w:style w:type="paragraph" w:customStyle="1" w:styleId="BodyText-CEA">
    <w:name w:val="Body Text - CEA"/>
    <w:basedOn w:val="Normlny"/>
    <w:semiHidden/>
    <w:rsid w:val="00132238"/>
    <w:pPr>
      <w:autoSpaceDE w:val="0"/>
      <w:autoSpaceDN w:val="0"/>
      <w:adjustRightInd w:val="0"/>
      <w:spacing w:line="24" w:lineRule="atLeast"/>
      <w:jc w:val="right"/>
      <w:textAlignment w:val="center"/>
    </w:pPr>
    <w:rPr>
      <w:rFonts w:cs="Arial"/>
      <w:b/>
      <w:color w:val="034EA2"/>
      <w:w w:val="90"/>
      <w:sz w:val="16"/>
      <w:szCs w:val="16"/>
    </w:rPr>
  </w:style>
  <w:style w:type="character" w:customStyle="1" w:styleId="OdsekzoznamuChar">
    <w:name w:val="Odsek zoznamu Char"/>
    <w:aliases w:val="Lettre d'introduction Char,Paragrafo elenco Char,List Paragraph1 Char,1st level - Bullet List Paragraph Char"/>
    <w:basedOn w:val="Predvolenpsmoodseku"/>
    <w:link w:val="Odsekzoznamu"/>
    <w:uiPriority w:val="34"/>
    <w:rsid w:val="00884B53"/>
    <w:rPr>
      <w:rFonts w:ascii="Verdana" w:eastAsia="Times New Roman" w:hAnsi="Verdana" w:cs="Times New Roman"/>
      <w:kern w:val="0"/>
      <w:sz w:val="17"/>
      <w:szCs w:val="24"/>
      <w:lang w:val="sk"/>
      <w14:ligatures w14:val="none"/>
    </w:rPr>
  </w:style>
  <w:style w:type="character" w:styleId="Zstupntext">
    <w:name w:val="Placeholder Text"/>
    <w:basedOn w:val="Predvolenpsmoodseku"/>
    <w:uiPriority w:val="99"/>
    <w:semiHidden/>
    <w:rsid w:val="005E01FA"/>
    <w:rPr>
      <w:color w:val="808080"/>
    </w:rPr>
  </w:style>
  <w:style w:type="character" w:customStyle="1" w:styleId="normaltextrun">
    <w:name w:val="normaltextrun"/>
    <w:basedOn w:val="Predvolenpsmoodseku"/>
    <w:rsid w:val="009C6E6C"/>
  </w:style>
  <w:style w:type="character" w:customStyle="1" w:styleId="eop">
    <w:name w:val="eop"/>
    <w:basedOn w:val="Predvolenpsmoodseku"/>
    <w:rsid w:val="00FA4081"/>
  </w:style>
  <w:style w:type="paragraph" w:styleId="Normlnywebov">
    <w:name w:val="Normal (Web)"/>
    <w:basedOn w:val="Normlny"/>
    <w:uiPriority w:val="99"/>
    <w:semiHidden/>
    <w:unhideWhenUsed/>
    <w:rsid w:val="00DD537B"/>
    <w:pPr>
      <w:spacing w:before="100" w:beforeAutospacing="1" w:after="100" w:afterAutospacing="1" w:line="240" w:lineRule="auto"/>
      <w:jc w:val="left"/>
    </w:pPr>
    <w:rPr>
      <w:rFonts w:ascii="Times New Roman" w:hAnsi="Times New Roman"/>
      <w:sz w:val="24"/>
    </w:rPr>
  </w:style>
  <w:style w:type="character" w:styleId="Odkaznakomentr">
    <w:name w:val="annotation reference"/>
    <w:basedOn w:val="Predvolenpsmoodseku"/>
    <w:uiPriority w:val="99"/>
    <w:semiHidden/>
    <w:unhideWhenUsed/>
    <w:rsid w:val="00AE7990"/>
    <w:rPr>
      <w:sz w:val="16"/>
      <w:szCs w:val="16"/>
    </w:rPr>
  </w:style>
  <w:style w:type="paragraph" w:styleId="Textkomentra">
    <w:name w:val="annotation text"/>
    <w:basedOn w:val="Normlny"/>
    <w:link w:val="TextkomentraChar"/>
    <w:uiPriority w:val="99"/>
    <w:unhideWhenUsed/>
    <w:rsid w:val="00AE7990"/>
    <w:pPr>
      <w:spacing w:line="240" w:lineRule="auto"/>
    </w:pPr>
    <w:rPr>
      <w:sz w:val="20"/>
      <w:szCs w:val="20"/>
    </w:rPr>
  </w:style>
  <w:style w:type="character" w:customStyle="1" w:styleId="TextkomentraChar">
    <w:name w:val="Text komentára Char"/>
    <w:basedOn w:val="Predvolenpsmoodseku"/>
    <w:link w:val="Textkomentra"/>
    <w:uiPriority w:val="99"/>
    <w:rsid w:val="00AE7990"/>
    <w:rPr>
      <w:rFonts w:ascii="Verdana" w:eastAsia="Times New Roman" w:hAnsi="Verdana" w:cs="Times New Roman"/>
      <w:kern w:val="0"/>
      <w:sz w:val="20"/>
      <w:szCs w:val="20"/>
      <w:lang w:val="sk"/>
      <w14:ligatures w14:val="none"/>
    </w:rPr>
  </w:style>
  <w:style w:type="paragraph" w:styleId="Predmetkomentra">
    <w:name w:val="annotation subject"/>
    <w:basedOn w:val="Textkomentra"/>
    <w:next w:val="Textkomentra"/>
    <w:link w:val="PredmetkomentraChar"/>
    <w:uiPriority w:val="99"/>
    <w:semiHidden/>
    <w:unhideWhenUsed/>
    <w:rsid w:val="00AE7990"/>
    <w:rPr>
      <w:b/>
      <w:bCs/>
    </w:rPr>
  </w:style>
  <w:style w:type="character" w:customStyle="1" w:styleId="PredmetkomentraChar">
    <w:name w:val="Predmet komentára Char"/>
    <w:basedOn w:val="TextkomentraChar"/>
    <w:link w:val="Predmetkomentra"/>
    <w:uiPriority w:val="99"/>
    <w:semiHidden/>
    <w:rsid w:val="00AE7990"/>
    <w:rPr>
      <w:rFonts w:ascii="Verdana" w:eastAsia="Times New Roman" w:hAnsi="Verdana" w:cs="Times New Roman"/>
      <w:b/>
      <w:bCs/>
      <w:kern w:val="0"/>
      <w:sz w:val="20"/>
      <w:szCs w:val="20"/>
      <w:lang w:val="sk"/>
      <w14:ligatures w14:val="none"/>
    </w:rPr>
  </w:style>
  <w:style w:type="character" w:styleId="Nevyrieenzmienka">
    <w:name w:val="Unresolved Mention"/>
    <w:basedOn w:val="Predvolenpsmoodseku"/>
    <w:uiPriority w:val="99"/>
    <w:semiHidden/>
    <w:unhideWhenUsed/>
    <w:rsid w:val="003902A9"/>
    <w:rPr>
      <w:color w:val="605E5C"/>
      <w:shd w:val="clear" w:color="auto" w:fill="E1DFDD"/>
    </w:rPr>
  </w:style>
  <w:style w:type="paragraph" w:customStyle="1" w:styleId="xmsonormal">
    <w:name w:val="x_msonormal"/>
    <w:basedOn w:val="Normlny"/>
    <w:rsid w:val="008D3E4E"/>
    <w:pPr>
      <w:spacing w:line="240" w:lineRule="auto"/>
      <w:jc w:val="left"/>
    </w:pPr>
    <w:rPr>
      <w:rFonts w:ascii="Calibri" w:eastAsiaTheme="minorHAnsi" w:hAnsi="Calibri" w:cs="Calibri"/>
      <w:sz w:val="22"/>
      <w:szCs w:val="22"/>
      <w:lang w:eastAsia="en-GB"/>
    </w:rPr>
  </w:style>
  <w:style w:type="character" w:customStyle="1" w:styleId="CEABullet-Level1Char">
    <w:name w:val="CEA Bullet - Level 1 Char"/>
    <w:link w:val="CEABullet-Level1"/>
    <w:locked/>
    <w:rsid w:val="00E34136"/>
    <w:rPr>
      <w:rFonts w:ascii="Verdana" w:eastAsia="Times New Roman" w:hAnsi="Verdana" w:cs="Frutiger LT Std 45 Light"/>
      <w:color w:val="000000"/>
      <w:kern w:val="0"/>
      <w:sz w:val="17"/>
      <w:szCs w:val="20"/>
      <w14:ligatures w14:val="none"/>
    </w:rPr>
  </w:style>
  <w:style w:type="paragraph" w:customStyle="1" w:styleId="Default">
    <w:name w:val="Default"/>
    <w:rsid w:val="00E7147A"/>
    <w:pPr>
      <w:autoSpaceDE w:val="0"/>
      <w:autoSpaceDN w:val="0"/>
      <w:adjustRightInd w:val="0"/>
      <w:spacing w:after="0" w:line="240" w:lineRule="auto"/>
    </w:pPr>
    <w:rPr>
      <w:rFonts w:ascii="Zurich Sans" w:hAnsi="Zurich Sans" w:cs="Zurich Sans"/>
      <w:color w:val="000000"/>
      <w:kern w:val="0"/>
      <w:sz w:val="24"/>
      <w:szCs w:val="24"/>
    </w:rPr>
  </w:style>
  <w:style w:type="paragraph" w:styleId="Revzia">
    <w:name w:val="Revision"/>
    <w:hidden/>
    <w:uiPriority w:val="99"/>
    <w:semiHidden/>
    <w:rsid w:val="00A518C8"/>
    <w:pPr>
      <w:spacing w:after="0" w:line="240" w:lineRule="auto"/>
    </w:pPr>
    <w:rPr>
      <w:rFonts w:ascii="Verdana" w:eastAsia="Times New Roman" w:hAnsi="Verdana" w:cs="Times New Roman"/>
      <w:kern w:val="0"/>
      <w:sz w:val="17"/>
      <w:szCs w:val="24"/>
      <w14:ligatures w14:val="none"/>
    </w:rPr>
  </w:style>
  <w:style w:type="character" w:styleId="PouitHypertextovPrepojenie">
    <w:name w:val="FollowedHyperlink"/>
    <w:basedOn w:val="Predvolenpsmoodseku"/>
    <w:uiPriority w:val="99"/>
    <w:semiHidden/>
    <w:unhideWhenUsed/>
    <w:rsid w:val="00B1377B"/>
    <w:rPr>
      <w:color w:val="954F72" w:themeColor="followedHyperlink"/>
      <w:u w:val="single"/>
    </w:rPr>
  </w:style>
  <w:style w:type="paragraph" w:styleId="Textpoznmkypodiarou">
    <w:name w:val="footnote text"/>
    <w:basedOn w:val="Normlny"/>
    <w:link w:val="TextpoznmkypodiarouChar"/>
    <w:uiPriority w:val="99"/>
    <w:semiHidden/>
    <w:unhideWhenUsed/>
    <w:rsid w:val="009E41E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E41E1"/>
    <w:rPr>
      <w:rFonts w:ascii="Verdana" w:eastAsia="Times New Roman" w:hAnsi="Verdana" w:cs="Times New Roman"/>
      <w:kern w:val="0"/>
      <w:sz w:val="20"/>
      <w:szCs w:val="20"/>
      <w14:ligatures w14:val="none"/>
    </w:rPr>
  </w:style>
  <w:style w:type="character" w:styleId="Odkaznapoznmkupodiarou">
    <w:name w:val="footnote reference"/>
    <w:basedOn w:val="Predvolenpsmoodseku"/>
    <w:uiPriority w:val="99"/>
    <w:semiHidden/>
    <w:unhideWhenUsed/>
    <w:rsid w:val="009E41E1"/>
    <w:rPr>
      <w:vertAlign w:val="superscript"/>
    </w:rPr>
  </w:style>
  <w:style w:type="paragraph" w:customStyle="1" w:styleId="pf0">
    <w:name w:val="pf0"/>
    <w:basedOn w:val="Normlny"/>
    <w:rsid w:val="003002E9"/>
    <w:pPr>
      <w:spacing w:before="100" w:beforeAutospacing="1" w:after="100" w:afterAutospacing="1" w:line="240" w:lineRule="auto"/>
      <w:jc w:val="left"/>
    </w:pPr>
    <w:rPr>
      <w:rFonts w:ascii="Times New Roman" w:hAnsi="Times New Roman"/>
      <w:sz w:val="24"/>
      <w:lang w:eastAsia="en-GB"/>
    </w:rPr>
  </w:style>
  <w:style w:type="character" w:customStyle="1" w:styleId="cf01">
    <w:name w:val="cf01"/>
    <w:basedOn w:val="Predvolenpsmoodseku"/>
    <w:rsid w:val="003002E9"/>
    <w:rPr>
      <w:rFonts w:ascii="Segoe UI" w:hAnsi="Segoe UI" w:cs="Segoe UI" w:hint="default"/>
      <w:sz w:val="18"/>
      <w:szCs w:val="18"/>
    </w:rPr>
  </w:style>
  <w:style w:type="paragraph" w:customStyle="1" w:styleId="03Prrafo">
    <w:name w:val="03_Párrafo"/>
    <w:basedOn w:val="Normlny"/>
    <w:qFormat/>
    <w:rsid w:val="00D367A3"/>
    <w:pPr>
      <w:spacing w:before="120" w:after="120" w:line="240" w:lineRule="auto"/>
    </w:pPr>
    <w:rPr>
      <w:rFonts w:ascii="Open Sans" w:eastAsiaTheme="minorHAnsi" w:hAnsi="Open Sans" w:cstheme="minorBidi"/>
      <w:sz w:val="20"/>
    </w:rPr>
  </w:style>
  <w:style w:type="character" w:customStyle="1" w:styleId="ui-provider">
    <w:name w:val="ui-provider"/>
    <w:basedOn w:val="Predvolenpsmoodseku"/>
    <w:rsid w:val="00D1782B"/>
  </w:style>
  <w:style w:type="paragraph" w:customStyle="1" w:styleId="Normal1">
    <w:name w:val="Normal1"/>
    <w:basedOn w:val="Normlny"/>
    <w:rsid w:val="00CC1114"/>
    <w:pPr>
      <w:spacing w:before="100" w:beforeAutospacing="1" w:after="100" w:afterAutospacing="1" w:line="240" w:lineRule="auto"/>
      <w:jc w:val="left"/>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6724">
      <w:bodyDiv w:val="1"/>
      <w:marLeft w:val="0"/>
      <w:marRight w:val="0"/>
      <w:marTop w:val="0"/>
      <w:marBottom w:val="0"/>
      <w:divBdr>
        <w:top w:val="none" w:sz="0" w:space="0" w:color="auto"/>
        <w:left w:val="none" w:sz="0" w:space="0" w:color="auto"/>
        <w:bottom w:val="none" w:sz="0" w:space="0" w:color="auto"/>
        <w:right w:val="none" w:sz="0" w:space="0" w:color="auto"/>
      </w:divBdr>
    </w:div>
    <w:div w:id="89935722">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470556823">
      <w:bodyDiv w:val="1"/>
      <w:marLeft w:val="0"/>
      <w:marRight w:val="0"/>
      <w:marTop w:val="0"/>
      <w:marBottom w:val="0"/>
      <w:divBdr>
        <w:top w:val="none" w:sz="0" w:space="0" w:color="auto"/>
        <w:left w:val="none" w:sz="0" w:space="0" w:color="auto"/>
        <w:bottom w:val="none" w:sz="0" w:space="0" w:color="auto"/>
        <w:right w:val="none" w:sz="0" w:space="0" w:color="auto"/>
      </w:divBdr>
    </w:div>
    <w:div w:id="543063306">
      <w:bodyDiv w:val="1"/>
      <w:marLeft w:val="0"/>
      <w:marRight w:val="0"/>
      <w:marTop w:val="0"/>
      <w:marBottom w:val="0"/>
      <w:divBdr>
        <w:top w:val="none" w:sz="0" w:space="0" w:color="auto"/>
        <w:left w:val="none" w:sz="0" w:space="0" w:color="auto"/>
        <w:bottom w:val="none" w:sz="0" w:space="0" w:color="auto"/>
        <w:right w:val="none" w:sz="0" w:space="0" w:color="auto"/>
      </w:divBdr>
    </w:div>
    <w:div w:id="659311574">
      <w:bodyDiv w:val="1"/>
      <w:marLeft w:val="0"/>
      <w:marRight w:val="0"/>
      <w:marTop w:val="0"/>
      <w:marBottom w:val="0"/>
      <w:divBdr>
        <w:top w:val="none" w:sz="0" w:space="0" w:color="auto"/>
        <w:left w:val="none" w:sz="0" w:space="0" w:color="auto"/>
        <w:bottom w:val="none" w:sz="0" w:space="0" w:color="auto"/>
        <w:right w:val="none" w:sz="0" w:space="0" w:color="auto"/>
      </w:divBdr>
    </w:div>
    <w:div w:id="770785988">
      <w:bodyDiv w:val="1"/>
      <w:marLeft w:val="0"/>
      <w:marRight w:val="0"/>
      <w:marTop w:val="0"/>
      <w:marBottom w:val="0"/>
      <w:divBdr>
        <w:top w:val="none" w:sz="0" w:space="0" w:color="auto"/>
        <w:left w:val="none" w:sz="0" w:space="0" w:color="auto"/>
        <w:bottom w:val="none" w:sz="0" w:space="0" w:color="auto"/>
        <w:right w:val="none" w:sz="0" w:space="0" w:color="auto"/>
      </w:divBdr>
    </w:div>
    <w:div w:id="787702203">
      <w:bodyDiv w:val="1"/>
      <w:marLeft w:val="0"/>
      <w:marRight w:val="0"/>
      <w:marTop w:val="0"/>
      <w:marBottom w:val="0"/>
      <w:divBdr>
        <w:top w:val="none" w:sz="0" w:space="0" w:color="auto"/>
        <w:left w:val="none" w:sz="0" w:space="0" w:color="auto"/>
        <w:bottom w:val="none" w:sz="0" w:space="0" w:color="auto"/>
        <w:right w:val="none" w:sz="0" w:space="0" w:color="auto"/>
      </w:divBdr>
    </w:div>
    <w:div w:id="821888599">
      <w:bodyDiv w:val="1"/>
      <w:marLeft w:val="0"/>
      <w:marRight w:val="0"/>
      <w:marTop w:val="0"/>
      <w:marBottom w:val="0"/>
      <w:divBdr>
        <w:top w:val="none" w:sz="0" w:space="0" w:color="auto"/>
        <w:left w:val="none" w:sz="0" w:space="0" w:color="auto"/>
        <w:bottom w:val="none" w:sz="0" w:space="0" w:color="auto"/>
        <w:right w:val="none" w:sz="0" w:space="0" w:color="auto"/>
      </w:divBdr>
    </w:div>
    <w:div w:id="837812487">
      <w:bodyDiv w:val="1"/>
      <w:marLeft w:val="0"/>
      <w:marRight w:val="0"/>
      <w:marTop w:val="0"/>
      <w:marBottom w:val="0"/>
      <w:divBdr>
        <w:top w:val="none" w:sz="0" w:space="0" w:color="auto"/>
        <w:left w:val="none" w:sz="0" w:space="0" w:color="auto"/>
        <w:bottom w:val="none" w:sz="0" w:space="0" w:color="auto"/>
        <w:right w:val="none" w:sz="0" w:space="0" w:color="auto"/>
      </w:divBdr>
    </w:div>
    <w:div w:id="1001198308">
      <w:bodyDiv w:val="1"/>
      <w:marLeft w:val="0"/>
      <w:marRight w:val="0"/>
      <w:marTop w:val="0"/>
      <w:marBottom w:val="0"/>
      <w:divBdr>
        <w:top w:val="none" w:sz="0" w:space="0" w:color="auto"/>
        <w:left w:val="none" w:sz="0" w:space="0" w:color="auto"/>
        <w:bottom w:val="none" w:sz="0" w:space="0" w:color="auto"/>
        <w:right w:val="none" w:sz="0" w:space="0" w:color="auto"/>
      </w:divBdr>
    </w:div>
    <w:div w:id="1033993424">
      <w:bodyDiv w:val="1"/>
      <w:marLeft w:val="0"/>
      <w:marRight w:val="0"/>
      <w:marTop w:val="0"/>
      <w:marBottom w:val="0"/>
      <w:divBdr>
        <w:top w:val="none" w:sz="0" w:space="0" w:color="auto"/>
        <w:left w:val="none" w:sz="0" w:space="0" w:color="auto"/>
        <w:bottom w:val="none" w:sz="0" w:space="0" w:color="auto"/>
        <w:right w:val="none" w:sz="0" w:space="0" w:color="auto"/>
      </w:divBdr>
    </w:div>
    <w:div w:id="1112289082">
      <w:bodyDiv w:val="1"/>
      <w:marLeft w:val="0"/>
      <w:marRight w:val="0"/>
      <w:marTop w:val="0"/>
      <w:marBottom w:val="0"/>
      <w:divBdr>
        <w:top w:val="none" w:sz="0" w:space="0" w:color="auto"/>
        <w:left w:val="none" w:sz="0" w:space="0" w:color="auto"/>
        <w:bottom w:val="none" w:sz="0" w:space="0" w:color="auto"/>
        <w:right w:val="none" w:sz="0" w:space="0" w:color="auto"/>
      </w:divBdr>
      <w:divsChild>
        <w:div w:id="195388301">
          <w:marLeft w:val="274"/>
          <w:marRight w:val="0"/>
          <w:marTop w:val="0"/>
          <w:marBottom w:val="0"/>
          <w:divBdr>
            <w:top w:val="none" w:sz="0" w:space="0" w:color="auto"/>
            <w:left w:val="none" w:sz="0" w:space="0" w:color="auto"/>
            <w:bottom w:val="none" w:sz="0" w:space="0" w:color="auto"/>
            <w:right w:val="none" w:sz="0" w:space="0" w:color="auto"/>
          </w:divBdr>
        </w:div>
        <w:div w:id="470906739">
          <w:marLeft w:val="274"/>
          <w:marRight w:val="0"/>
          <w:marTop w:val="0"/>
          <w:marBottom w:val="0"/>
          <w:divBdr>
            <w:top w:val="none" w:sz="0" w:space="0" w:color="auto"/>
            <w:left w:val="none" w:sz="0" w:space="0" w:color="auto"/>
            <w:bottom w:val="none" w:sz="0" w:space="0" w:color="auto"/>
            <w:right w:val="none" w:sz="0" w:space="0" w:color="auto"/>
          </w:divBdr>
        </w:div>
      </w:divsChild>
    </w:div>
    <w:div w:id="1283654967">
      <w:bodyDiv w:val="1"/>
      <w:marLeft w:val="0"/>
      <w:marRight w:val="0"/>
      <w:marTop w:val="0"/>
      <w:marBottom w:val="0"/>
      <w:divBdr>
        <w:top w:val="none" w:sz="0" w:space="0" w:color="auto"/>
        <w:left w:val="none" w:sz="0" w:space="0" w:color="auto"/>
        <w:bottom w:val="none" w:sz="0" w:space="0" w:color="auto"/>
        <w:right w:val="none" w:sz="0" w:space="0" w:color="auto"/>
      </w:divBdr>
      <w:divsChild>
        <w:div w:id="1267344201">
          <w:marLeft w:val="446"/>
          <w:marRight w:val="0"/>
          <w:marTop w:val="0"/>
          <w:marBottom w:val="0"/>
          <w:divBdr>
            <w:top w:val="none" w:sz="0" w:space="0" w:color="auto"/>
            <w:left w:val="none" w:sz="0" w:space="0" w:color="auto"/>
            <w:bottom w:val="none" w:sz="0" w:space="0" w:color="auto"/>
            <w:right w:val="none" w:sz="0" w:space="0" w:color="auto"/>
          </w:divBdr>
        </w:div>
        <w:div w:id="1292982644">
          <w:marLeft w:val="446"/>
          <w:marRight w:val="0"/>
          <w:marTop w:val="0"/>
          <w:marBottom w:val="0"/>
          <w:divBdr>
            <w:top w:val="none" w:sz="0" w:space="0" w:color="auto"/>
            <w:left w:val="none" w:sz="0" w:space="0" w:color="auto"/>
            <w:bottom w:val="none" w:sz="0" w:space="0" w:color="auto"/>
            <w:right w:val="none" w:sz="0" w:space="0" w:color="auto"/>
          </w:divBdr>
        </w:div>
      </w:divsChild>
    </w:div>
    <w:div w:id="1337028633">
      <w:bodyDiv w:val="1"/>
      <w:marLeft w:val="0"/>
      <w:marRight w:val="0"/>
      <w:marTop w:val="0"/>
      <w:marBottom w:val="0"/>
      <w:divBdr>
        <w:top w:val="none" w:sz="0" w:space="0" w:color="auto"/>
        <w:left w:val="none" w:sz="0" w:space="0" w:color="auto"/>
        <w:bottom w:val="none" w:sz="0" w:space="0" w:color="auto"/>
        <w:right w:val="none" w:sz="0" w:space="0" w:color="auto"/>
      </w:divBdr>
      <w:divsChild>
        <w:div w:id="2003503674">
          <w:marLeft w:val="446"/>
          <w:marRight w:val="0"/>
          <w:marTop w:val="0"/>
          <w:marBottom w:val="0"/>
          <w:divBdr>
            <w:top w:val="none" w:sz="0" w:space="0" w:color="auto"/>
            <w:left w:val="none" w:sz="0" w:space="0" w:color="auto"/>
            <w:bottom w:val="none" w:sz="0" w:space="0" w:color="auto"/>
            <w:right w:val="none" w:sz="0" w:space="0" w:color="auto"/>
          </w:divBdr>
        </w:div>
      </w:divsChild>
    </w:div>
    <w:div w:id="1444570405">
      <w:bodyDiv w:val="1"/>
      <w:marLeft w:val="0"/>
      <w:marRight w:val="0"/>
      <w:marTop w:val="0"/>
      <w:marBottom w:val="0"/>
      <w:divBdr>
        <w:top w:val="none" w:sz="0" w:space="0" w:color="auto"/>
        <w:left w:val="none" w:sz="0" w:space="0" w:color="auto"/>
        <w:bottom w:val="none" w:sz="0" w:space="0" w:color="auto"/>
        <w:right w:val="none" w:sz="0" w:space="0" w:color="auto"/>
      </w:divBdr>
    </w:div>
    <w:div w:id="1618636500">
      <w:bodyDiv w:val="1"/>
      <w:marLeft w:val="0"/>
      <w:marRight w:val="0"/>
      <w:marTop w:val="0"/>
      <w:marBottom w:val="0"/>
      <w:divBdr>
        <w:top w:val="none" w:sz="0" w:space="0" w:color="auto"/>
        <w:left w:val="none" w:sz="0" w:space="0" w:color="auto"/>
        <w:bottom w:val="none" w:sz="0" w:space="0" w:color="auto"/>
        <w:right w:val="none" w:sz="0" w:space="0" w:color="auto"/>
      </w:divBdr>
    </w:div>
    <w:div w:id="1619531252">
      <w:bodyDiv w:val="1"/>
      <w:marLeft w:val="0"/>
      <w:marRight w:val="0"/>
      <w:marTop w:val="0"/>
      <w:marBottom w:val="0"/>
      <w:divBdr>
        <w:top w:val="none" w:sz="0" w:space="0" w:color="auto"/>
        <w:left w:val="none" w:sz="0" w:space="0" w:color="auto"/>
        <w:bottom w:val="none" w:sz="0" w:space="0" w:color="auto"/>
        <w:right w:val="none" w:sz="0" w:space="0" w:color="auto"/>
      </w:divBdr>
      <w:divsChild>
        <w:div w:id="1883249208">
          <w:marLeft w:val="446"/>
          <w:marRight w:val="0"/>
          <w:marTop w:val="0"/>
          <w:marBottom w:val="0"/>
          <w:divBdr>
            <w:top w:val="none" w:sz="0" w:space="0" w:color="auto"/>
            <w:left w:val="none" w:sz="0" w:space="0" w:color="auto"/>
            <w:bottom w:val="none" w:sz="0" w:space="0" w:color="auto"/>
            <w:right w:val="none" w:sz="0" w:space="0" w:color="auto"/>
          </w:divBdr>
        </w:div>
      </w:divsChild>
    </w:div>
    <w:div w:id="1623923124">
      <w:bodyDiv w:val="1"/>
      <w:marLeft w:val="0"/>
      <w:marRight w:val="0"/>
      <w:marTop w:val="0"/>
      <w:marBottom w:val="0"/>
      <w:divBdr>
        <w:top w:val="none" w:sz="0" w:space="0" w:color="auto"/>
        <w:left w:val="none" w:sz="0" w:space="0" w:color="auto"/>
        <w:bottom w:val="none" w:sz="0" w:space="0" w:color="auto"/>
        <w:right w:val="none" w:sz="0" w:space="0" w:color="auto"/>
      </w:divBdr>
    </w:div>
    <w:div w:id="1702584333">
      <w:bodyDiv w:val="1"/>
      <w:marLeft w:val="0"/>
      <w:marRight w:val="0"/>
      <w:marTop w:val="0"/>
      <w:marBottom w:val="0"/>
      <w:divBdr>
        <w:top w:val="none" w:sz="0" w:space="0" w:color="auto"/>
        <w:left w:val="none" w:sz="0" w:space="0" w:color="auto"/>
        <w:bottom w:val="none" w:sz="0" w:space="0" w:color="auto"/>
        <w:right w:val="none" w:sz="0" w:space="0" w:color="auto"/>
      </w:divBdr>
    </w:div>
    <w:div w:id="1884367783">
      <w:bodyDiv w:val="1"/>
      <w:marLeft w:val="0"/>
      <w:marRight w:val="0"/>
      <w:marTop w:val="0"/>
      <w:marBottom w:val="0"/>
      <w:divBdr>
        <w:top w:val="none" w:sz="0" w:space="0" w:color="auto"/>
        <w:left w:val="none" w:sz="0" w:space="0" w:color="auto"/>
        <w:bottom w:val="none" w:sz="0" w:space="0" w:color="auto"/>
        <w:right w:val="none" w:sz="0" w:space="0" w:color="auto"/>
      </w:divBdr>
    </w:div>
    <w:div w:id="1947611019">
      <w:bodyDiv w:val="1"/>
      <w:marLeft w:val="0"/>
      <w:marRight w:val="0"/>
      <w:marTop w:val="0"/>
      <w:marBottom w:val="0"/>
      <w:divBdr>
        <w:top w:val="none" w:sz="0" w:space="0" w:color="auto"/>
        <w:left w:val="none" w:sz="0" w:space="0" w:color="auto"/>
        <w:bottom w:val="none" w:sz="0" w:space="0" w:color="auto"/>
        <w:right w:val="none" w:sz="0" w:space="0" w:color="auto"/>
      </w:divBdr>
    </w:div>
    <w:div w:id="20525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ca.org.uk/publications/corporate-documents/consumer-investments-strategy" TargetMode="External"/><Relationship Id="rId18" Type="http://schemas.openxmlformats.org/officeDocument/2006/relationships/hyperlink" Target="https://eur03.safelinks.protection.outlook.com/?url=https%3A%2F%2Fcommission.europa.eu%2Fsystem%2Ffiles%2F2023-03%2FCommunication_Long-term-competitiveness.pdf&amp;data=05%7C01%7CBertolo%40insuranceeurope.eu%7Cc063ff83fa1b49989deb08db8471f989%7C2f60d7a56a7b4f90a0d47e6a0ea5ae9e%7C0%7C0%7C638249398732778297%7CUnknown%7CTWFpbGZsb3d8eyJWIjoiMC4wLjAwMDAiLCJQIjoiV2luMzIiLCJBTiI6Ik1haWwiLCJXVCI6Mn0%3D%7C3000%7C%7C%7C&amp;sdata=ZhUEUhktI3fVz3FcswTyh4veHJstYNwS8Y4MRY50%2Fl8%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inance.ec.europa.eu/publications/retail-investment-strategy_en" TargetMode="External"/><Relationship Id="rId17" Type="http://schemas.openxmlformats.org/officeDocument/2006/relationships/hyperlink" Target="https://www.eiopa.europa.eu/publications/methodology-assess-value-money-unit-linked-market_en" TargetMode="External"/><Relationship Id="rId2" Type="http://schemas.openxmlformats.org/officeDocument/2006/relationships/customXml" Target="../customXml/item2.xml"/><Relationship Id="rId16" Type="http://schemas.openxmlformats.org/officeDocument/2006/relationships/hyperlink" Target="https://www.eiopa.europa.eu/publications/methodology-assess-value-money-unit-linked-market_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better-regulation/have-your-say/initiatives/13395-Retail-investment-new-package-of-measures-to-increase-consumer-participation-in-capital-markets_en" TargetMode="External"/><Relationship Id="rId5" Type="http://schemas.openxmlformats.org/officeDocument/2006/relationships/numbering" Target="numbering.xml"/><Relationship Id="rId15" Type="http://schemas.openxmlformats.org/officeDocument/2006/relationships/hyperlink" Target="https://www.eiopa.europa.eu/publications/methodology-assess-value-money-unit-linked-market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iopa.europa.eu/system/files/2022-04/esa_advice_on_the_review_of_the_priips_regul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commission/presscorner/detail/en/qanda_23_2869"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ub.kpmg.de/the-future-of-ad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memo xmlns="4943b9b9-6c1b-479b-99dd-2fb4a4569b49" xsi:nil="true"/>
    <Type_x0020_of_x0020_document xmlns="4943b9b9-6c1b-479b-99dd-2fb4a4569b49" xsi:nil="true"/>
    <Deadline xmlns="4943b9b9-6c1b-479b-99dd-2fb4a4569b49" xsi:nil="true"/>
    <Display_x0020_validated_x0020_documents_x0020_library_x0020_button xmlns="4943b9b9-6c1b-479b-99dd-2fb4a4569b49">false</Display_x0020_validated_x0020_documents_x0020_library_x0020_button>
    <Allow_x0020_uploads xmlns="4943b9b9-6c1b-479b-99dd-2fb4a4569b49" xsi:nil="true"/>
    <Validated xmlns="4943b9b9-6c1b-479b-99dd-2fb4a4569b49">false</Validated>
    <isAnnex xmlns="4943b9b9-6c1b-479b-99dd-2fb4a4569b49" xsi:nil="true"/>
    <Leading_x0020_document xmlns="4943b9b9-6c1b-479b-99dd-2fb4a4569b49" xsi:nil="true"/>
    <Feedback_x0020_type xmlns="4943b9b9-6c1b-479b-99dd-2fb4a4569b49" xsi:nil="true"/>
    <Can_x0020_be_x0020_edited xmlns="4943b9b9-6c1b-479b-99dd-2fb4a4569b49">false</Can_x0020_be_x0020_edited>
    <ValidationComment xmlns="4943b9b9-6c1b-479b-99dd-2fb4a4569b49" xsi:nil="true"/>
    <Allow_x0020_comments xmlns="4943b9b9-6c1b-479b-99dd-2fb4a4569b49" xsi:nil="true"/>
    <Uploads xmlns="4943b9b9-6c1b-479b-99dd-2fb4a4569b49" xsi:nil="true"/>
    <AllowComments xmlns="4943b9b9-6c1b-479b-99dd-2fb4a4569b49">true</AllowComments>
  </documentManagement>
</p:properti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8D2C03D71A49E548962A91E194ABA9F2" ma:contentTypeVersion="22" ma:contentTypeDescription="Published Documents Content types for Insurance Europe" ma:contentTypeScope="" ma:versionID="b095a6601aac297948fdc6776649cd01">
  <xsd:schema xmlns:xsd="http://www.w3.org/2001/XMLSchema" xmlns:xs="http://www.w3.org/2001/XMLSchema" xmlns:p="http://schemas.microsoft.com/office/2006/metadata/properties" xmlns:ns2="4943b9b9-6c1b-479b-99dd-2fb4a4569b49" targetNamespace="http://schemas.microsoft.com/office/2006/metadata/properties" ma:root="true" ma:fieldsID="91bda8a45d416113d293ed77f4bc0418" ns2:_="">
    <xsd:import namespace="4943b9b9-6c1b-479b-99dd-2fb4a4569b49"/>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3b9b9-6c1b-479b-99dd-2fb4a4569b49"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8C71B-6E44-499D-9060-5E307CD6E648}">
  <ds:schemaRefs>
    <ds:schemaRef ds:uri="http://schemas.microsoft.com/office/2006/metadata/properties"/>
    <ds:schemaRef ds:uri="http://schemas.microsoft.com/office/infopath/2007/PartnerControls"/>
    <ds:schemaRef ds:uri="4943b9b9-6c1b-479b-99dd-2fb4a4569b49"/>
  </ds:schemaRefs>
</ds:datastoreItem>
</file>

<file path=customXml/itemProps2.xml><?xml version="1.0" encoding="utf-8"?>
<ds:datastoreItem xmlns:ds="http://schemas.openxmlformats.org/officeDocument/2006/customXml" ds:itemID="{1B339443-DC37-4587-801A-1B58D1E3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3b9b9-6c1b-479b-99dd-2fb4a4569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4C07F-6B4B-48C9-B964-0B39CF195B57}">
  <ds:schemaRefs>
    <ds:schemaRef ds:uri="http://schemas.microsoft.com/sharepoint/v3/contenttype/forms"/>
  </ds:schemaRefs>
</ds:datastoreItem>
</file>

<file path=customXml/itemProps4.xml><?xml version="1.0" encoding="utf-8"?>
<ds:datastoreItem xmlns:ds="http://schemas.openxmlformats.org/officeDocument/2006/customXml" ds:itemID="{176C9C73-D0F8-4B69-A27D-1B3566A7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12724</Words>
  <Characters>72533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First draft response RIS consultation</vt:lpstr>
    </vt:vector>
  </TitlesOfParts>
  <Company/>
  <LinksUpToDate>false</LinksUpToDate>
  <CharactersWithSpaces>85087</CharactersWithSpaces>
  <SharedDoc>false</SharedDoc>
  <HLinks>
    <vt:vector size="54" baseType="variant">
      <vt:variant>
        <vt:i4>65564</vt:i4>
      </vt:variant>
      <vt:variant>
        <vt:i4>18</vt:i4>
      </vt:variant>
      <vt:variant>
        <vt:i4>0</vt:i4>
      </vt:variant>
      <vt:variant>
        <vt:i4>5</vt:i4>
      </vt:variant>
      <vt:variant>
        <vt:lpwstr>https://www.eiopa.europa.eu/system/files/2022-04/esa_advice_on_the_review_of_the_priips_regulation.pdf</vt:lpwstr>
      </vt:variant>
      <vt:variant>
        <vt:lpwstr/>
      </vt:variant>
      <vt:variant>
        <vt:i4>1310777</vt:i4>
      </vt:variant>
      <vt:variant>
        <vt:i4>15</vt:i4>
      </vt:variant>
      <vt:variant>
        <vt:i4>0</vt:i4>
      </vt:variant>
      <vt:variant>
        <vt:i4>5</vt:i4>
      </vt:variant>
      <vt:variant>
        <vt:lpwstr>https://eur03.safelinks.protection.outlook.com/?url=https%3A%2F%2Fcommission.europa.eu%2Fsystem%2Ffiles%2F2023-03%2FCommunication_Long-term-competitiveness.pdf&amp;data=05%7C01%7CBertolo%40insuranceeurope.eu%7Cc063ff83fa1b49989deb08db8471f989%7C2f60d7a56a7b4f90a0d47e6a0ea5ae9e%7C0%7C0%7C638249398732778297%7CUnknown%7CTWFpbGZsb3d8eyJWIjoiMC4wLjAwMDAiLCJQIjoiV2luMzIiLCJBTiI6Ik1haWwiLCJXVCI6Mn0%3D%7C3000%7C%7C%7C&amp;sdata=ZhUEUhktI3fVz3FcswTyh4veHJstYNwS8Y4MRY50%2Fl8%3D&amp;reserved=0</vt:lpwstr>
      </vt:variant>
      <vt:variant>
        <vt:lpwstr/>
      </vt:variant>
      <vt:variant>
        <vt:i4>4849784</vt:i4>
      </vt:variant>
      <vt:variant>
        <vt:i4>12</vt:i4>
      </vt:variant>
      <vt:variant>
        <vt:i4>0</vt:i4>
      </vt:variant>
      <vt:variant>
        <vt:i4>5</vt:i4>
      </vt:variant>
      <vt:variant>
        <vt:lpwstr>https://www.eiopa.europa.eu/publications/methodology-assess-value-money-unit-linked-market_en</vt:lpwstr>
      </vt:variant>
      <vt:variant>
        <vt:lpwstr/>
      </vt:variant>
      <vt:variant>
        <vt:i4>983114</vt:i4>
      </vt:variant>
      <vt:variant>
        <vt:i4>9</vt:i4>
      </vt:variant>
      <vt:variant>
        <vt:i4>0</vt:i4>
      </vt:variant>
      <vt:variant>
        <vt:i4>5</vt:i4>
      </vt:variant>
      <vt:variant>
        <vt:lpwstr>https://ec.europa.eu/commission/presscorner/detail/en/qanda_23_2869</vt:lpwstr>
      </vt:variant>
      <vt:variant>
        <vt:lpwstr/>
      </vt:variant>
      <vt:variant>
        <vt:i4>1900553</vt:i4>
      </vt:variant>
      <vt:variant>
        <vt:i4>6</vt:i4>
      </vt:variant>
      <vt:variant>
        <vt:i4>0</vt:i4>
      </vt:variant>
      <vt:variant>
        <vt:i4>5</vt:i4>
      </vt:variant>
      <vt:variant>
        <vt:lpwstr>https://www.fca.org.uk/publications/corporate-documents/consumer-investments-strategy</vt:lpwstr>
      </vt:variant>
      <vt:variant>
        <vt:lpwstr/>
      </vt:variant>
      <vt:variant>
        <vt:i4>8323146</vt:i4>
      </vt:variant>
      <vt:variant>
        <vt:i4>3</vt:i4>
      </vt:variant>
      <vt:variant>
        <vt:i4>0</vt:i4>
      </vt:variant>
      <vt:variant>
        <vt:i4>5</vt:i4>
      </vt:variant>
      <vt:variant>
        <vt:lpwstr>https://finance.ec.europa.eu/publications/retail-investment-strategy_en</vt:lpwstr>
      </vt:variant>
      <vt:variant>
        <vt:lpwstr/>
      </vt:variant>
      <vt:variant>
        <vt:i4>1638460</vt:i4>
      </vt:variant>
      <vt:variant>
        <vt:i4>0</vt:i4>
      </vt:variant>
      <vt:variant>
        <vt:i4>0</vt:i4>
      </vt:variant>
      <vt:variant>
        <vt:i4>5</vt:i4>
      </vt:variant>
      <vt:variant>
        <vt:lpwstr>https://ec.europa.eu/info/law/better-regulation/have-your-say/initiatives/13395-Retail-investment-new-package-of-measures-to-increase-consumer-participation-in-capital-markets_en</vt:lpwstr>
      </vt:variant>
      <vt:variant>
        <vt:lpwstr/>
      </vt:variant>
      <vt:variant>
        <vt:i4>1835081</vt:i4>
      </vt:variant>
      <vt:variant>
        <vt:i4>0</vt:i4>
      </vt:variant>
      <vt:variant>
        <vt:i4>0</vt:i4>
      </vt:variant>
      <vt:variant>
        <vt:i4>5</vt:i4>
      </vt:variant>
      <vt:variant>
        <vt:lpwstr>https://hub.kpmg.de/the-future-of-advice</vt:lpwstr>
      </vt:variant>
      <vt:variant>
        <vt:lpwstr/>
      </vt:variant>
      <vt:variant>
        <vt:i4>6750279</vt:i4>
      </vt:variant>
      <vt:variant>
        <vt:i4>0</vt:i4>
      </vt:variant>
      <vt:variant>
        <vt:i4>0</vt:i4>
      </vt:variant>
      <vt:variant>
        <vt:i4>5</vt:i4>
      </vt:variant>
      <vt:variant>
        <vt:lpwstr>https://www.eiopa.europa.eu/system/files/2022-01/eiopa-bos-21-581_report_on_the_application_of_the_idd.pdf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draft response RIS consultation</dc:title>
  <dc:subject/>
  <dc:creator>Diane Lebreton</dc:creator>
  <cp:keywords/>
  <dc:description/>
  <cp:lastModifiedBy>maria.lehotska</cp:lastModifiedBy>
  <cp:revision>2</cp:revision>
  <cp:lastPrinted>2023-06-16T03:15:00Z</cp:lastPrinted>
  <dcterms:created xsi:type="dcterms:W3CDTF">2023-09-26T09:32:00Z</dcterms:created>
  <dcterms:modified xsi:type="dcterms:W3CDTF">2023-09-26T09:32:00Z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0x0101008D2C03D71A49E548962A91E194ABA9F2</vt:lpwstr>
  </property>
</Properties>
</file>