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3"/>
        <w:gridCol w:w="3405"/>
        <w:gridCol w:w="5103"/>
        <w:gridCol w:w="4394"/>
        <w:gridCol w:w="1701"/>
      </w:tblGrid>
      <w:tr w:rsidR="00AD20B6" w:rsidRPr="00FA347B" w:rsidTr="0064447B">
        <w:trPr>
          <w:trHeight w:val="706"/>
        </w:trPr>
        <w:tc>
          <w:tcPr>
            <w:tcW w:w="1523" w:type="dxa"/>
            <w:shd w:val="clear" w:color="auto" w:fill="A6A6A6"/>
            <w:vAlign w:val="center"/>
          </w:tcPr>
          <w:p w:rsidR="00AD20B6" w:rsidRPr="00FA347B" w:rsidRDefault="00AD20B6" w:rsidP="006C081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Časť</w:t>
            </w:r>
          </w:p>
          <w:p w:rsidR="00AD20B6" w:rsidRPr="00FA347B" w:rsidRDefault="00AD20B6" w:rsidP="006C081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(navrhovaný zákon)</w:t>
            </w:r>
          </w:p>
        </w:tc>
        <w:tc>
          <w:tcPr>
            <w:tcW w:w="3405" w:type="dxa"/>
            <w:shd w:val="clear" w:color="auto" w:fill="A6A6A6"/>
            <w:vAlign w:val="center"/>
          </w:tcPr>
          <w:p w:rsidR="00AD20B6" w:rsidRPr="00FA347B" w:rsidRDefault="00AD20B6" w:rsidP="00FA347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Pôvodné znenie</w:t>
            </w:r>
          </w:p>
        </w:tc>
        <w:tc>
          <w:tcPr>
            <w:tcW w:w="5103" w:type="dxa"/>
            <w:shd w:val="clear" w:color="auto" w:fill="A6A6A6"/>
            <w:vAlign w:val="center"/>
          </w:tcPr>
          <w:p w:rsidR="00AD20B6" w:rsidRPr="00FA347B" w:rsidRDefault="00AD20B6" w:rsidP="00FA347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Navrhované znenie</w:t>
            </w:r>
          </w:p>
        </w:tc>
        <w:tc>
          <w:tcPr>
            <w:tcW w:w="4394" w:type="dxa"/>
            <w:shd w:val="clear" w:color="auto" w:fill="A6A6A6"/>
            <w:vAlign w:val="center"/>
          </w:tcPr>
          <w:p w:rsidR="00AD20B6" w:rsidRPr="00FA347B" w:rsidRDefault="00AD20B6" w:rsidP="00FA347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Poznámka</w:t>
            </w:r>
            <w:r w:rsidR="00EB6935" w:rsidRPr="00FA347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/ odôvodnenie</w:t>
            </w:r>
          </w:p>
        </w:tc>
        <w:tc>
          <w:tcPr>
            <w:tcW w:w="1701" w:type="dxa"/>
            <w:shd w:val="clear" w:color="auto" w:fill="A6A6A6"/>
            <w:vAlign w:val="center"/>
          </w:tcPr>
          <w:p w:rsidR="00AD20B6" w:rsidRPr="00FA347B" w:rsidRDefault="00AD20B6" w:rsidP="00FA347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Spôsob vyhodnotenia</w:t>
            </w:r>
          </w:p>
        </w:tc>
      </w:tr>
      <w:tr w:rsidR="00AB7480" w:rsidRPr="00FA347B" w:rsidTr="003E0245">
        <w:trPr>
          <w:cantSplit/>
          <w:trHeight w:val="830"/>
        </w:trPr>
        <w:tc>
          <w:tcPr>
            <w:tcW w:w="1523" w:type="dxa"/>
          </w:tcPr>
          <w:p w:rsidR="006C081E" w:rsidRDefault="00FA347B" w:rsidP="006C081E">
            <w:pPr>
              <w:pStyle w:val="Normlnywebov8"/>
              <w:spacing w:before="0" w:after="0"/>
              <w:ind w:left="0" w:righ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sz w:val="20"/>
                <w:szCs w:val="20"/>
              </w:rPr>
              <w:t xml:space="preserve">Čl. I, </w:t>
            </w:r>
          </w:p>
          <w:p w:rsidR="004B1A77" w:rsidRPr="00FA347B" w:rsidRDefault="004B1A77" w:rsidP="006C081E">
            <w:pPr>
              <w:pStyle w:val="Normlnywebov8"/>
              <w:spacing w:before="0" w:after="0"/>
              <w:ind w:left="0" w:righ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sz w:val="20"/>
                <w:szCs w:val="20"/>
              </w:rPr>
              <w:t>§ 36</w:t>
            </w:r>
          </w:p>
          <w:p w:rsidR="00AB7480" w:rsidRPr="00FA347B" w:rsidRDefault="00AB7480" w:rsidP="006C081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405" w:type="dxa"/>
          </w:tcPr>
          <w:p w:rsidR="004B1A77" w:rsidRPr="00FA347B" w:rsidRDefault="004B1A77" w:rsidP="004B1A77">
            <w:pPr>
              <w:pStyle w:val="Normlnywebov8"/>
              <w:spacing w:before="0" w:after="0"/>
              <w:ind w:left="0" w:righ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sz w:val="20"/>
                <w:szCs w:val="20"/>
              </w:rPr>
              <w:t>§ 36</w:t>
            </w:r>
          </w:p>
          <w:p w:rsidR="004B1A77" w:rsidRPr="00FA347B" w:rsidRDefault="004B1A77" w:rsidP="004B1A77">
            <w:pPr>
              <w:pStyle w:val="Normlnywebov8"/>
              <w:spacing w:before="0" w:after="0"/>
              <w:ind w:left="0" w:righ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sz w:val="20"/>
                <w:szCs w:val="20"/>
              </w:rPr>
              <w:t>Oceňovanie aktív a záväzkov</w:t>
            </w:r>
          </w:p>
          <w:p w:rsidR="00AB7480" w:rsidRPr="00FA347B" w:rsidRDefault="00AB7480" w:rsidP="00A94B4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4B1A77" w:rsidRPr="00FA347B" w:rsidRDefault="004B1A77" w:rsidP="004B1A77">
            <w:pPr>
              <w:pStyle w:val="Normlnywebov8"/>
              <w:spacing w:before="0" w:after="0"/>
              <w:ind w:left="0" w:righ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sz w:val="20"/>
                <w:szCs w:val="20"/>
              </w:rPr>
              <w:t>§ 36</w:t>
            </w:r>
          </w:p>
          <w:p w:rsidR="004B1A77" w:rsidRPr="00FA347B" w:rsidRDefault="004B1A77" w:rsidP="004B1A77">
            <w:pPr>
              <w:pStyle w:val="Normlnywebov8"/>
              <w:spacing w:before="0" w:after="0"/>
              <w:ind w:left="0" w:righ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sz w:val="20"/>
                <w:szCs w:val="20"/>
              </w:rPr>
              <w:t xml:space="preserve">Oceňovanie aktív a záväzkov </w:t>
            </w:r>
            <w:r w:rsidRPr="00FA347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pre účely stanovenia solventnosti poisťovne</w:t>
            </w:r>
          </w:p>
          <w:p w:rsidR="00C417EC" w:rsidRPr="00FA347B" w:rsidRDefault="00C417EC" w:rsidP="00A94B4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AB7480" w:rsidRPr="00FA347B" w:rsidRDefault="004B1A77" w:rsidP="00CC52E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A347B">
              <w:rPr>
                <w:rFonts w:asciiTheme="minorHAnsi" w:hAnsiTheme="minorHAnsi" w:cs="Arial"/>
                <w:sz w:val="20"/>
                <w:szCs w:val="20"/>
              </w:rPr>
              <w:t>Je úplne zrejmé, že cieľom Smernice  SII nebolo predpísať spôsoby oceňovania aktív</w:t>
            </w:r>
            <w:r w:rsidR="00CC52E3" w:rsidRPr="00FA347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A347B">
              <w:rPr>
                <w:rFonts w:asciiTheme="minorHAnsi" w:hAnsiTheme="minorHAnsi" w:cs="Arial"/>
                <w:sz w:val="20"/>
                <w:szCs w:val="20"/>
              </w:rPr>
              <w:t xml:space="preserve">a záväzkov pre poisťovne </w:t>
            </w:r>
            <w:r w:rsidRPr="00FA347B">
              <w:rPr>
                <w:rFonts w:asciiTheme="minorHAnsi" w:hAnsiTheme="minorHAnsi" w:cs="Arial"/>
                <w:b/>
                <w:sz w:val="20"/>
                <w:szCs w:val="20"/>
              </w:rPr>
              <w:t>vo všeobecnosti</w:t>
            </w:r>
            <w:r w:rsidRPr="00FA347B">
              <w:rPr>
                <w:rFonts w:asciiTheme="minorHAnsi" w:hAnsiTheme="minorHAnsi" w:cs="Arial"/>
                <w:sz w:val="20"/>
                <w:szCs w:val="20"/>
              </w:rPr>
              <w:t>, ale vo vzťahu ku</w:t>
            </w:r>
            <w:r w:rsidR="00CC52E3" w:rsidRPr="00FA347B">
              <w:rPr>
                <w:rFonts w:asciiTheme="minorHAnsi" w:hAnsiTheme="minorHAnsi" w:cs="Arial"/>
                <w:sz w:val="20"/>
                <w:szCs w:val="20"/>
              </w:rPr>
              <w:t xml:space="preserve"> stanoveniu</w:t>
            </w:r>
            <w:r w:rsidRPr="00FA347B">
              <w:rPr>
                <w:rFonts w:asciiTheme="minorHAnsi" w:hAnsiTheme="minorHAnsi" w:cs="Arial"/>
                <w:sz w:val="20"/>
                <w:szCs w:val="20"/>
              </w:rPr>
              <w:t xml:space="preserve"> solventnosti</w:t>
            </w:r>
            <w:r w:rsidR="00CC52E3" w:rsidRPr="00FA347B">
              <w:rPr>
                <w:rFonts w:asciiTheme="minorHAnsi" w:hAnsiTheme="minorHAnsi" w:cs="Arial"/>
                <w:sz w:val="20"/>
                <w:szCs w:val="20"/>
              </w:rPr>
              <w:t xml:space="preserve"> poisťovne</w:t>
            </w:r>
            <w:r w:rsidRPr="00FA347B">
              <w:rPr>
                <w:rFonts w:asciiTheme="minorHAnsi" w:hAnsiTheme="minorHAnsi" w:cs="Arial"/>
                <w:sz w:val="20"/>
                <w:szCs w:val="20"/>
              </w:rPr>
              <w:t xml:space="preserve">. Ako príklad </w:t>
            </w:r>
            <w:r w:rsidR="00CC52E3" w:rsidRPr="00FA347B">
              <w:rPr>
                <w:rFonts w:asciiTheme="minorHAnsi" w:hAnsiTheme="minorHAnsi" w:cs="Arial"/>
                <w:sz w:val="20"/>
                <w:szCs w:val="20"/>
              </w:rPr>
              <w:t>uvádzam finančné umiestnenie, ktoré podľa princípov IFRS (a teda v SR Zákona o </w:t>
            </w:r>
            <w:r w:rsidR="00231705" w:rsidRPr="00FA347B">
              <w:rPr>
                <w:rFonts w:asciiTheme="minorHAnsi" w:hAnsiTheme="minorHAnsi" w:cs="Arial"/>
                <w:sz w:val="20"/>
                <w:szCs w:val="20"/>
              </w:rPr>
              <w:t>účtovníctve</w:t>
            </w:r>
            <w:r w:rsidR="00CC52E3" w:rsidRPr="00FA347B">
              <w:rPr>
                <w:rFonts w:asciiTheme="minorHAnsi" w:hAnsiTheme="minorHAnsi" w:cs="Arial"/>
                <w:sz w:val="20"/>
                <w:szCs w:val="20"/>
              </w:rPr>
              <w:t xml:space="preserve">) sa môže klasifikovať rôzne a následne rôzne oceňovať. Pokiaľ sa neupraví znenie v Zákone o poisťovníctve, ktoré jednoznačne </w:t>
            </w:r>
            <w:r w:rsidR="00CC52E3" w:rsidRPr="00FA347B">
              <w:rPr>
                <w:rFonts w:asciiTheme="minorHAnsi" w:hAnsiTheme="minorHAnsi" w:cs="Arial"/>
                <w:b/>
                <w:sz w:val="20"/>
                <w:szCs w:val="20"/>
              </w:rPr>
              <w:t>definuje účel oceňovania aktív a pasív</w:t>
            </w:r>
            <w:r w:rsidR="00231705" w:rsidRPr="00FA347B">
              <w:rPr>
                <w:rFonts w:asciiTheme="minorHAnsi" w:hAnsiTheme="minorHAnsi" w:cs="Arial"/>
                <w:sz w:val="20"/>
                <w:szCs w:val="20"/>
              </w:rPr>
              <w:t xml:space="preserve">, mohlo by sa stať, že </w:t>
            </w:r>
            <w:r w:rsidR="00CC52E3" w:rsidRPr="00FA347B">
              <w:rPr>
                <w:rFonts w:asciiTheme="minorHAnsi" w:hAnsiTheme="minorHAnsi" w:cs="Arial"/>
                <w:sz w:val="20"/>
                <w:szCs w:val="20"/>
              </w:rPr>
              <w:t>oceňovanie</w:t>
            </w:r>
            <w:r w:rsidR="00231705" w:rsidRPr="00FA347B">
              <w:rPr>
                <w:rFonts w:asciiTheme="minorHAnsi" w:hAnsiTheme="minorHAnsi" w:cs="Arial"/>
                <w:sz w:val="20"/>
                <w:szCs w:val="20"/>
              </w:rPr>
              <w:t xml:space="preserve"> uvedené v tomto novom zákone o poisťovníctve (a to nielen rezerv ale aj majetku)</w:t>
            </w:r>
            <w:r w:rsidR="00CC52E3" w:rsidRPr="00FA347B">
              <w:rPr>
                <w:rFonts w:asciiTheme="minorHAnsi" w:hAnsiTheme="minorHAnsi" w:cs="Arial"/>
                <w:sz w:val="20"/>
                <w:szCs w:val="20"/>
              </w:rPr>
              <w:t xml:space="preserve"> sa bude vyžadovať aj pre účely účtovníctva. V prípade, že by Zákon o poisťovníctve naopak predpokladal, že od jeho platnosti by mali byť aj účtovné súvahy poisťovní plne „market consistent“, i</w:t>
            </w:r>
            <w:r w:rsidR="007C0913" w:rsidRPr="00FA347B">
              <w:rPr>
                <w:rFonts w:asciiTheme="minorHAnsi" w:hAnsiTheme="minorHAnsi" w:cs="Arial"/>
                <w:sz w:val="20"/>
                <w:szCs w:val="20"/>
              </w:rPr>
              <w:t>š</w:t>
            </w:r>
            <w:r w:rsidR="00CC52E3" w:rsidRPr="00FA347B">
              <w:rPr>
                <w:rFonts w:asciiTheme="minorHAnsi" w:hAnsiTheme="minorHAnsi" w:cs="Arial"/>
                <w:sz w:val="20"/>
                <w:szCs w:val="20"/>
              </w:rPr>
              <w:t>iel by vysoko nad rámec požiadaviek Direktívy aj medzinárodných účtovných štandardov IFRS.</w:t>
            </w:r>
            <w:r w:rsidR="007C0913" w:rsidRPr="00FA347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:rsidR="005249FA" w:rsidRPr="00FA347B" w:rsidRDefault="005249FA" w:rsidP="007C09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17EC" w:rsidRPr="00FA347B" w:rsidRDefault="0093314E" w:rsidP="00A94B4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A347B">
              <w:rPr>
                <w:rFonts w:asciiTheme="minorHAnsi" w:hAnsiTheme="minorHAnsi" w:cs="Arial"/>
                <w:sz w:val="20"/>
                <w:szCs w:val="20"/>
              </w:rPr>
              <w:t>Bude potrebné upraviť vo všetkých relevantných častiach textu alebo jednorazovým vyhlásením („disclaimerom), ktoré sa bude týkať celého zákona</w:t>
            </w:r>
          </w:p>
        </w:tc>
      </w:tr>
      <w:tr w:rsidR="00EB58F6" w:rsidRPr="00FA347B" w:rsidTr="003E0245">
        <w:trPr>
          <w:cantSplit/>
          <w:trHeight w:val="830"/>
        </w:trPr>
        <w:tc>
          <w:tcPr>
            <w:tcW w:w="1523" w:type="dxa"/>
          </w:tcPr>
          <w:p w:rsidR="006C081E" w:rsidRDefault="006C081E" w:rsidP="006C081E">
            <w:pPr>
              <w:pStyle w:val="Normlnywebov8"/>
              <w:spacing w:before="0" w:after="0"/>
              <w:ind w:left="0" w:righ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sz w:val="20"/>
                <w:szCs w:val="20"/>
              </w:rPr>
              <w:t>Čl. I,</w:t>
            </w:r>
          </w:p>
          <w:p w:rsidR="006C081E" w:rsidRDefault="00CC52E3" w:rsidP="006C081E">
            <w:pPr>
              <w:pStyle w:val="Normlnywebov8"/>
              <w:spacing w:before="0" w:after="0"/>
              <w:ind w:left="0" w:righ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A347B">
              <w:rPr>
                <w:rFonts w:asciiTheme="minorHAnsi" w:hAnsiTheme="minorHAnsi" w:cs="Arial"/>
                <w:b/>
                <w:sz w:val="20"/>
                <w:szCs w:val="20"/>
              </w:rPr>
              <w:t xml:space="preserve">Názov nad </w:t>
            </w:r>
          </w:p>
          <w:p w:rsidR="00CC52E3" w:rsidRPr="00FA347B" w:rsidRDefault="006C081E" w:rsidP="006C081E">
            <w:pPr>
              <w:pStyle w:val="Normlnywebov8"/>
              <w:spacing w:before="0" w:after="0"/>
              <w:ind w:left="0" w:right="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sz w:val="20"/>
                <w:szCs w:val="20"/>
              </w:rPr>
              <w:t xml:space="preserve">§ </w:t>
            </w:r>
            <w:r w:rsidR="00FA347B" w:rsidRPr="00FA347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C52E3" w:rsidRPr="00FA347B">
              <w:rPr>
                <w:rFonts w:asciiTheme="minorHAnsi" w:hAnsiTheme="minorHAnsi"/>
                <w:b/>
                <w:sz w:val="20"/>
                <w:szCs w:val="20"/>
              </w:rPr>
              <w:t>37</w:t>
            </w:r>
          </w:p>
          <w:p w:rsidR="00EB58F6" w:rsidRPr="00FA347B" w:rsidRDefault="00EB58F6" w:rsidP="006C081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405" w:type="dxa"/>
          </w:tcPr>
          <w:p w:rsidR="00CC52E3" w:rsidRPr="00FA347B" w:rsidRDefault="00CC52E3" w:rsidP="00CC52E3">
            <w:pPr>
              <w:pStyle w:val="Normlnywebov8"/>
              <w:spacing w:before="0" w:after="0"/>
              <w:ind w:left="0" w:righ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sz w:val="20"/>
                <w:szCs w:val="20"/>
              </w:rPr>
              <w:t>Pravidlá týkajúce sa technických rezerv</w:t>
            </w:r>
          </w:p>
          <w:p w:rsidR="00EB58F6" w:rsidRPr="00FA347B" w:rsidRDefault="00EB58F6" w:rsidP="00A94B4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CC52E3" w:rsidRPr="00FA347B" w:rsidRDefault="00CC52E3" w:rsidP="00CC52E3">
            <w:pPr>
              <w:pStyle w:val="Normlnywebov8"/>
              <w:spacing w:before="0" w:after="0"/>
              <w:ind w:left="0" w:righ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sz w:val="20"/>
                <w:szCs w:val="20"/>
              </w:rPr>
              <w:t xml:space="preserve">Pravidlá </w:t>
            </w:r>
            <w:r w:rsidRPr="00FA347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oceňovania pre účely stanovenia solventnosti</w:t>
            </w:r>
            <w:r w:rsidRPr="00FA347B">
              <w:rPr>
                <w:rFonts w:asciiTheme="minorHAnsi" w:hAnsiTheme="minorHAnsi"/>
                <w:b/>
                <w:sz w:val="20"/>
                <w:szCs w:val="20"/>
              </w:rPr>
              <w:t xml:space="preserve"> týkajúce sa technických rezerv</w:t>
            </w:r>
          </w:p>
          <w:p w:rsidR="00EB58F6" w:rsidRPr="00FA347B" w:rsidRDefault="00EB58F6" w:rsidP="00A94B4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EB58F6" w:rsidRPr="00FA347B" w:rsidRDefault="00CC52E3" w:rsidP="003E024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A347B">
              <w:rPr>
                <w:rFonts w:asciiTheme="minorHAnsi" w:hAnsiTheme="minorHAnsi" w:cs="Arial"/>
                <w:sz w:val="20"/>
                <w:szCs w:val="20"/>
              </w:rPr>
              <w:t xml:space="preserve">Dtto ako vyššie. Zámerom Direktívy SII nebolo predpísať pravidlá oceňovania týkajúce sa technických rezerv </w:t>
            </w:r>
            <w:r w:rsidRPr="00FA347B">
              <w:rPr>
                <w:rFonts w:asciiTheme="minorHAnsi" w:hAnsiTheme="minorHAnsi" w:cs="Arial"/>
                <w:b/>
                <w:sz w:val="20"/>
                <w:szCs w:val="20"/>
              </w:rPr>
              <w:t>vo všeobecnosti</w:t>
            </w:r>
            <w:r w:rsidRPr="00FA347B">
              <w:rPr>
                <w:rFonts w:asciiTheme="minorHAnsi" w:hAnsiTheme="minorHAnsi" w:cs="Arial"/>
                <w:sz w:val="20"/>
                <w:szCs w:val="20"/>
              </w:rPr>
              <w:t xml:space="preserve"> ale iba pre účely stanovenia solventnosti</w:t>
            </w:r>
          </w:p>
        </w:tc>
        <w:tc>
          <w:tcPr>
            <w:tcW w:w="1701" w:type="dxa"/>
          </w:tcPr>
          <w:p w:rsidR="00EB58F6" w:rsidRPr="00FA347B" w:rsidRDefault="00CC52E3" w:rsidP="00A94B4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A347B">
              <w:rPr>
                <w:rFonts w:asciiTheme="minorHAnsi" w:hAnsiTheme="minorHAnsi" w:cs="Arial"/>
                <w:sz w:val="20"/>
                <w:szCs w:val="20"/>
              </w:rPr>
              <w:t>Ako vyššie</w:t>
            </w:r>
          </w:p>
        </w:tc>
      </w:tr>
      <w:tr w:rsidR="00BB4B77" w:rsidRPr="00FA347B" w:rsidTr="0064447B">
        <w:trPr>
          <w:cantSplit/>
          <w:trHeight w:val="697"/>
        </w:trPr>
        <w:tc>
          <w:tcPr>
            <w:tcW w:w="1523" w:type="dxa"/>
          </w:tcPr>
          <w:p w:rsidR="006C081E" w:rsidRDefault="00FA347B" w:rsidP="006C081E">
            <w:pPr>
              <w:pStyle w:val="Normlnywebov8"/>
              <w:spacing w:before="0" w:after="0"/>
              <w:ind w:left="0" w:righ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sz w:val="20"/>
                <w:szCs w:val="20"/>
              </w:rPr>
              <w:t xml:space="preserve">Čl. I, </w:t>
            </w:r>
          </w:p>
          <w:p w:rsidR="005E55FC" w:rsidRPr="00FA347B" w:rsidRDefault="005E55FC" w:rsidP="006C081E">
            <w:pPr>
              <w:pStyle w:val="Normlnywebov8"/>
              <w:spacing w:before="0" w:after="0"/>
              <w:ind w:left="0" w:right="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sz w:val="20"/>
                <w:szCs w:val="20"/>
              </w:rPr>
              <w:t>§ 37</w:t>
            </w:r>
            <w:r w:rsidR="006C08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A347B">
              <w:rPr>
                <w:rFonts w:asciiTheme="minorHAnsi" w:hAnsiTheme="minorHAnsi"/>
                <w:b/>
                <w:sz w:val="20"/>
                <w:szCs w:val="20"/>
              </w:rPr>
              <w:t>(1)</w:t>
            </w:r>
          </w:p>
          <w:p w:rsidR="00BB4B77" w:rsidRPr="00FA347B" w:rsidRDefault="00BB4B77" w:rsidP="006C081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405" w:type="dxa"/>
          </w:tcPr>
          <w:p w:rsidR="00BB4B77" w:rsidRPr="00FA347B" w:rsidRDefault="005E55FC" w:rsidP="00A94B4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Cs/>
                <w:sz w:val="20"/>
                <w:szCs w:val="20"/>
              </w:rPr>
              <w:t>(1) Poisťovňa a zaisťovňa sú povinné tvoriť technické rezervy na všetky záväzky voči poistníkom, poisteným, príjemcom poistného plnenia, príjemcom zaistného plnenia a Slovenskej kancelárii poisťovateľov</w:t>
            </w:r>
          </w:p>
        </w:tc>
        <w:tc>
          <w:tcPr>
            <w:tcW w:w="5103" w:type="dxa"/>
          </w:tcPr>
          <w:p w:rsidR="00BB4B77" w:rsidRPr="00FA347B" w:rsidRDefault="005E55FC" w:rsidP="00A94B4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Cs/>
                <w:sz w:val="20"/>
                <w:szCs w:val="20"/>
              </w:rPr>
              <w:t xml:space="preserve">(1) Poisťovňa a zaisťovňa sú povinné tvoriť technické rezervy na všetky záväzky voči poistníkom, poisteným, príjemcom poistného plnenia, príjemcom zaistného plnenia </w:t>
            </w:r>
            <w:r w:rsidRPr="00FA347B">
              <w:rPr>
                <w:rFonts w:asciiTheme="minorHAnsi" w:hAnsiTheme="minorHAnsi"/>
                <w:bCs/>
                <w:strike/>
                <w:color w:val="FF0000"/>
                <w:sz w:val="20"/>
                <w:szCs w:val="20"/>
              </w:rPr>
              <w:t>a Slovenskej kancelárii poisťovateľov</w:t>
            </w:r>
          </w:p>
        </w:tc>
        <w:tc>
          <w:tcPr>
            <w:tcW w:w="4394" w:type="dxa"/>
          </w:tcPr>
          <w:p w:rsidR="005E55FC" w:rsidRPr="00FA347B" w:rsidRDefault="005E55FC" w:rsidP="005E55FC">
            <w:pPr>
              <w:pStyle w:val="Normlnywebov8"/>
              <w:spacing w:before="0" w:after="0"/>
              <w:ind w:left="0" w:right="0"/>
              <w:rPr>
                <w:rFonts w:asciiTheme="minorHAnsi" w:hAnsiTheme="minorHAnsi"/>
                <w:sz w:val="20"/>
                <w:szCs w:val="20"/>
              </w:rPr>
            </w:pPr>
            <w:r w:rsidRPr="00FA347B">
              <w:rPr>
                <w:rFonts w:asciiTheme="minorHAnsi" w:hAnsiTheme="minorHAnsi" w:cs="Arial"/>
                <w:sz w:val="20"/>
                <w:szCs w:val="20"/>
              </w:rPr>
              <w:t xml:space="preserve">Text ide </w:t>
            </w:r>
            <w:r w:rsidRPr="00FA347B">
              <w:rPr>
                <w:rFonts w:asciiTheme="minorHAnsi" w:hAnsiTheme="minorHAnsi" w:cs="Arial"/>
                <w:b/>
                <w:sz w:val="20"/>
                <w:szCs w:val="20"/>
              </w:rPr>
              <w:t xml:space="preserve">nad rámec znenia Smernice. </w:t>
            </w:r>
            <w:r w:rsidRPr="00FA347B">
              <w:rPr>
                <w:rFonts w:asciiTheme="minorHAnsi" w:hAnsiTheme="minorHAnsi" w:cs="Arial"/>
                <w:sz w:val="20"/>
                <w:szCs w:val="20"/>
              </w:rPr>
              <w:t xml:space="preserve">Keďže však podľa </w:t>
            </w:r>
            <w:r w:rsidRPr="00FA347B">
              <w:rPr>
                <w:rFonts w:asciiTheme="minorHAnsi" w:hAnsiTheme="minorHAnsi"/>
                <w:sz w:val="20"/>
                <w:szCs w:val="20"/>
              </w:rPr>
              <w:t>§ 36 musí poisťovňa preceniť všetky svoje záväzky (nielen technické rezervy) „sumou, za ktorú by ich mohli previesť alebo vysporiadať v nezávislej transakcii medzi informovanými dobrovoľne súhlasiacimi zúčastnenými stranami“, zosúladenie s dikciou Direktívy by nemalo spôsobiť problém</w:t>
            </w:r>
          </w:p>
          <w:p w:rsidR="00BB4B77" w:rsidRPr="00FA347B" w:rsidRDefault="00BB4B77" w:rsidP="00A94B4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B77" w:rsidRPr="00FA347B" w:rsidRDefault="00BB4B77" w:rsidP="00A94B4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B58F6" w:rsidRPr="00FA347B" w:rsidTr="00EB58F6">
        <w:trPr>
          <w:cantSplit/>
          <w:trHeight w:val="3258"/>
        </w:trPr>
        <w:tc>
          <w:tcPr>
            <w:tcW w:w="1523" w:type="dxa"/>
          </w:tcPr>
          <w:p w:rsidR="006C081E" w:rsidRDefault="00FA347B" w:rsidP="006C081E">
            <w:pPr>
              <w:pStyle w:val="Odsekzoznamu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Čl. I, </w:t>
            </w:r>
          </w:p>
          <w:p w:rsidR="00EB58F6" w:rsidRPr="00FA347B" w:rsidRDefault="000701A6" w:rsidP="006C081E">
            <w:pPr>
              <w:pStyle w:val="Odsekzoznamu"/>
              <w:ind w:left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sz w:val="20"/>
                <w:szCs w:val="20"/>
              </w:rPr>
              <w:t>§ 73 (7)</w:t>
            </w:r>
          </w:p>
        </w:tc>
        <w:tc>
          <w:tcPr>
            <w:tcW w:w="3405" w:type="dxa"/>
          </w:tcPr>
          <w:p w:rsidR="000701A6" w:rsidRPr="00FA347B" w:rsidRDefault="000701A6" w:rsidP="000701A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FA347B">
              <w:rPr>
                <w:rFonts w:asciiTheme="minorHAnsi" w:hAnsiTheme="minorHAnsi"/>
                <w:sz w:val="20"/>
                <w:szCs w:val="20"/>
                <w:lang w:eastAsia="sk-SK"/>
              </w:rPr>
              <w:t xml:space="preserve">(7) Poisťovňa je povinná viesť účtovnú evidenciu osobitne pre životné poistenie a neživotné poistenie a pripraviť účtovné závierky tak, aby sa oddelene vykázali výnosy a náklady pre životné poistenie a neživotné poistenie, najmä poistné, platby zaisťovateľom, príjmy z investícií, výplaty poistných plnení, tvorba technických rezerv, platby zaisťovateľov a prevádzkové náklady. Položky spoločné pre obidva poistné druhy sa zaúčtujú podľa rozdelenia navrhnutého poisťovňou a po súhlase Národnej banky Slovenska. </w:t>
            </w:r>
          </w:p>
          <w:p w:rsidR="00EB58F6" w:rsidRPr="00FA347B" w:rsidRDefault="00EB58F6" w:rsidP="00A94B4D">
            <w:pPr>
              <w:pStyle w:val="Textkomentra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</w:tcPr>
          <w:p w:rsidR="000701A6" w:rsidRPr="00FA347B" w:rsidRDefault="000701A6" w:rsidP="000701A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FA347B">
              <w:rPr>
                <w:rFonts w:asciiTheme="minorHAnsi" w:hAnsiTheme="minorHAnsi"/>
                <w:sz w:val="20"/>
                <w:szCs w:val="20"/>
                <w:lang w:eastAsia="sk-SK"/>
              </w:rPr>
              <w:t>(7) Poisťovňa je povinná viesť účtovnú evidenciu osobitne pre životné poistenie a neživotné poistenie a pripraviť účtovné závierky tak, aby sa oddelene vykázali výnosy a náklady pre životné poistenie a neživotné poistenie, najmä poistné, platby zaisťovateľom</w:t>
            </w:r>
            <w:r w:rsidRPr="00FA347B">
              <w:rPr>
                <w:rFonts w:asciiTheme="minorHAnsi" w:hAnsiTheme="minorHAnsi"/>
                <w:color w:val="00B050"/>
                <w:sz w:val="20"/>
                <w:szCs w:val="20"/>
                <w:lang w:eastAsia="sk-SK"/>
              </w:rPr>
              <w:t>, príjmy z investícií</w:t>
            </w:r>
            <w:r w:rsidRPr="00FA347B">
              <w:rPr>
                <w:rFonts w:asciiTheme="minorHAnsi" w:hAnsiTheme="minorHAnsi"/>
                <w:sz w:val="20"/>
                <w:szCs w:val="20"/>
                <w:lang w:eastAsia="sk-SK"/>
              </w:rPr>
              <w:t xml:space="preserve">, výplaty poistných plnení, tvorba </w:t>
            </w:r>
            <w:r w:rsidRPr="00FA347B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účtovných</w:t>
            </w:r>
            <w:r w:rsidRPr="00FA347B">
              <w:rPr>
                <w:rFonts w:asciiTheme="minorHAnsi" w:hAnsiTheme="minorHAnsi"/>
                <w:sz w:val="20"/>
                <w:szCs w:val="20"/>
                <w:lang w:eastAsia="sk-SK"/>
              </w:rPr>
              <w:t xml:space="preserve"> technických rezerv, platby zaisťovateľov a prevádzkové náklady. Položky spoločné pre obidva poistné druhy sa zaúčtujú podľa rozdelenia navrhnutého poisťovňou a po súhlase Národnej banky Slovenska. </w:t>
            </w:r>
          </w:p>
          <w:p w:rsidR="00195091" w:rsidRPr="00FA347B" w:rsidRDefault="00195091" w:rsidP="00B55A8D">
            <w:pPr>
              <w:pStyle w:val="Odsekzoznamu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EB58F6" w:rsidRPr="00FA347B" w:rsidRDefault="000701A6" w:rsidP="00951F3B">
            <w:pPr>
              <w:pStyle w:val="Textkomentra"/>
              <w:spacing w:after="0" w:line="240" w:lineRule="auto"/>
              <w:rPr>
                <w:rFonts w:asciiTheme="minorHAnsi" w:hAnsiTheme="minorHAnsi" w:cs="Arial"/>
              </w:rPr>
            </w:pPr>
            <w:r w:rsidRPr="00FA347B">
              <w:rPr>
                <w:rFonts w:asciiTheme="minorHAnsi" w:hAnsiTheme="minorHAnsi" w:cs="Arial"/>
              </w:rPr>
              <w:t xml:space="preserve"> </w:t>
            </w:r>
            <w:r w:rsidR="00951F3B" w:rsidRPr="00FA347B">
              <w:rPr>
                <w:rFonts w:asciiTheme="minorHAnsi" w:hAnsiTheme="minorHAnsi" w:cs="Arial"/>
              </w:rPr>
              <w:t>Nakoľko sú pre účely tohto zákona technické rezervy zadefinované veľmi špecificky, je potrebné v tejto časti, ktorá explicitne hovorí o účtovnej evidencii rozšíriť termín technické rezervy o prívlastok účtovné.</w:t>
            </w:r>
          </w:p>
          <w:p w:rsidR="00951F3B" w:rsidRPr="00FA347B" w:rsidRDefault="00951F3B" w:rsidP="00951F3B">
            <w:pPr>
              <w:pStyle w:val="Textkomentra"/>
              <w:spacing w:after="0" w:line="240" w:lineRule="auto"/>
              <w:rPr>
                <w:rFonts w:asciiTheme="minorHAnsi" w:hAnsiTheme="minorHAnsi" w:cs="Arial"/>
              </w:rPr>
            </w:pPr>
          </w:p>
          <w:p w:rsidR="00951F3B" w:rsidRPr="00FA347B" w:rsidRDefault="00951F3B" w:rsidP="00951F3B">
            <w:pPr>
              <w:pStyle w:val="Textkomentra"/>
              <w:spacing w:after="0" w:line="240" w:lineRule="auto"/>
              <w:rPr>
                <w:rFonts w:asciiTheme="minorHAnsi" w:hAnsiTheme="minorHAnsi" w:cs="Arial"/>
              </w:rPr>
            </w:pPr>
            <w:r w:rsidRPr="00FA347B">
              <w:rPr>
                <w:rFonts w:asciiTheme="minorHAnsi" w:hAnsiTheme="minorHAnsi" w:cs="Arial"/>
              </w:rPr>
              <w:t xml:space="preserve">Podľa rovnakej logiky si je potrebné uvedomiť, že aj príjmy z investícií v tejto časti uvedené, môžu byť iné, než keby boli investície oceňované v účtovníctve trhovou hodnotou, proste účtovné hodnoty a hodnoty pre </w:t>
            </w:r>
            <w:r w:rsidR="0093314E" w:rsidRPr="00FA347B">
              <w:rPr>
                <w:rFonts w:asciiTheme="minorHAnsi" w:hAnsiTheme="minorHAnsi" w:cs="Arial"/>
              </w:rPr>
              <w:t>výpočet</w:t>
            </w:r>
            <w:r w:rsidRPr="00FA347B">
              <w:rPr>
                <w:rFonts w:asciiTheme="minorHAnsi" w:hAnsiTheme="minorHAnsi" w:cs="Arial"/>
              </w:rPr>
              <w:t xml:space="preserve"> solventnosti sú dve veci.</w:t>
            </w:r>
          </w:p>
          <w:p w:rsidR="00951F3B" w:rsidRPr="00FA347B" w:rsidRDefault="00951F3B" w:rsidP="00951F3B">
            <w:pPr>
              <w:pStyle w:val="Textkomentra"/>
              <w:spacing w:after="0" w:line="240" w:lineRule="auto"/>
              <w:rPr>
                <w:rFonts w:asciiTheme="minorHAnsi" w:hAnsiTheme="minorHAnsi" w:cs="Arial"/>
              </w:rPr>
            </w:pPr>
          </w:p>
          <w:p w:rsidR="00951F3B" w:rsidRPr="00FA347B" w:rsidRDefault="00951F3B" w:rsidP="00951F3B">
            <w:pPr>
              <w:pStyle w:val="Textkomentra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EB58F6" w:rsidRPr="00FA347B" w:rsidRDefault="00EB58F6" w:rsidP="00A94B4D">
            <w:pPr>
              <w:pStyle w:val="Odsekzoznamu"/>
              <w:ind w:left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A347B" w:rsidRPr="00FA347B" w:rsidTr="00FA347B">
        <w:trPr>
          <w:cantSplit/>
          <w:trHeight w:val="1290"/>
        </w:trPr>
        <w:tc>
          <w:tcPr>
            <w:tcW w:w="1523" w:type="dxa"/>
          </w:tcPr>
          <w:p w:rsidR="00FA347B" w:rsidRDefault="00FA347B" w:rsidP="006C081E">
            <w:pPr>
              <w:pStyle w:val="Odsekzoznamu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sz w:val="20"/>
                <w:szCs w:val="20"/>
              </w:rPr>
              <w:t>Čl. I,</w:t>
            </w:r>
          </w:p>
          <w:p w:rsidR="00FA347B" w:rsidRDefault="00FA347B" w:rsidP="006C081E">
            <w:pPr>
              <w:pStyle w:val="Odsekzoznamu"/>
              <w:ind w:left="0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A347B">
              <w:rPr>
                <w:rFonts w:asciiTheme="minorHAnsi" w:hAnsiTheme="minorHAnsi" w:cs="Times New Roman"/>
                <w:b/>
                <w:sz w:val="20"/>
                <w:szCs w:val="20"/>
              </w:rPr>
              <w:t>§ 78 ods. 1, písm. a),</w:t>
            </w:r>
          </w:p>
          <w:p w:rsidR="00FA347B" w:rsidRDefault="00FA347B" w:rsidP="006C081E">
            <w:pPr>
              <w:pStyle w:val="Odsekzoznamu"/>
              <w:ind w:left="0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A347B">
              <w:rPr>
                <w:rFonts w:asciiTheme="minorHAnsi" w:hAnsiTheme="minorHAnsi" w:cs="Times New Roman"/>
                <w:b/>
                <w:sz w:val="20"/>
                <w:szCs w:val="20"/>
              </w:rPr>
              <w:t>bod 4.,</w:t>
            </w:r>
          </w:p>
          <w:p w:rsidR="00FA347B" w:rsidRPr="00FA347B" w:rsidRDefault="00FA347B" w:rsidP="006C081E">
            <w:pPr>
              <w:pStyle w:val="Odsekzoznamu"/>
              <w:ind w:left="0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proofErr w:type="spellStart"/>
            <w:r w:rsidRPr="00FA347B">
              <w:rPr>
                <w:rFonts w:asciiTheme="minorHAnsi" w:hAnsiTheme="minorHAnsi" w:cs="Times New Roman"/>
                <w:b/>
                <w:sz w:val="20"/>
                <w:szCs w:val="20"/>
              </w:rPr>
              <w:t>podbod</w:t>
            </w:r>
            <w:proofErr w:type="spellEnd"/>
            <w:r w:rsidRPr="00FA347B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4e.</w:t>
            </w:r>
          </w:p>
        </w:tc>
        <w:tc>
          <w:tcPr>
            <w:tcW w:w="3405" w:type="dxa"/>
          </w:tcPr>
          <w:p w:rsidR="00FA347B" w:rsidRPr="00FA347B" w:rsidRDefault="00FA347B" w:rsidP="00A556D3">
            <w:pPr>
              <w:spacing w:after="0" w:line="240" w:lineRule="auto"/>
              <w:ind w:firstLine="3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A347B">
              <w:rPr>
                <w:rFonts w:asciiTheme="minorHAnsi" w:hAnsiTheme="minorHAnsi"/>
                <w:sz w:val="20"/>
                <w:szCs w:val="20"/>
              </w:rPr>
              <w:t>4e. zdravotný stav v rozsahu nevyhnutnom na posúdenie rizika pri uzavretí poistnej zmluvy,</w:t>
            </w:r>
          </w:p>
          <w:p w:rsidR="00FA347B" w:rsidRPr="00FA347B" w:rsidRDefault="00FA347B" w:rsidP="00A556D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Theme="minorHAnsi" w:hAnsiTheme="minorHAnsi"/>
                <w:sz w:val="20"/>
                <w:szCs w:val="20"/>
                <w:lang w:eastAsia="sk-SK"/>
              </w:rPr>
            </w:pPr>
          </w:p>
        </w:tc>
        <w:tc>
          <w:tcPr>
            <w:tcW w:w="5103" w:type="dxa"/>
          </w:tcPr>
          <w:p w:rsidR="00FA347B" w:rsidRPr="00FA347B" w:rsidRDefault="00FA347B" w:rsidP="00A556D3">
            <w:pPr>
              <w:spacing w:after="0" w:line="240" w:lineRule="auto"/>
              <w:ind w:firstLine="3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A347B">
              <w:rPr>
                <w:rFonts w:asciiTheme="minorHAnsi" w:hAnsiTheme="minorHAnsi"/>
                <w:sz w:val="20"/>
                <w:szCs w:val="20"/>
              </w:rPr>
              <w:t xml:space="preserve">4e. zdravotný stav v rozsahu nevyhnutnom na posúdenie rizika pri uzavretí poistnej zmluvy </w:t>
            </w:r>
            <w:r w:rsidRPr="00FA347B">
              <w:rPr>
                <w:rFonts w:asciiTheme="minorHAnsi" w:hAnsiTheme="minorHAnsi"/>
                <w:color w:val="FF0000"/>
                <w:sz w:val="20"/>
                <w:szCs w:val="20"/>
              </w:rPr>
              <w:t>alebo počas trvania poistnej zmluvy</w:t>
            </w:r>
            <w:r w:rsidRPr="00FA347B">
              <w:rPr>
                <w:rFonts w:asciiTheme="minorHAnsi" w:hAnsiTheme="minorHAnsi"/>
                <w:sz w:val="20"/>
                <w:szCs w:val="20"/>
              </w:rPr>
              <w:t>,</w:t>
            </w:r>
          </w:p>
          <w:p w:rsidR="00FA347B" w:rsidRPr="00FA347B" w:rsidRDefault="00FA347B" w:rsidP="00A556D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Theme="minorHAnsi" w:hAnsiTheme="minorHAnsi"/>
                <w:sz w:val="20"/>
                <w:szCs w:val="20"/>
                <w:lang w:eastAsia="sk-SK"/>
              </w:rPr>
            </w:pPr>
          </w:p>
        </w:tc>
        <w:tc>
          <w:tcPr>
            <w:tcW w:w="4394" w:type="dxa"/>
          </w:tcPr>
          <w:p w:rsidR="00FA347B" w:rsidRPr="00FA347B" w:rsidRDefault="00FA347B" w:rsidP="00A556D3">
            <w:pPr>
              <w:pStyle w:val="Textkomentra"/>
              <w:spacing w:after="0" w:line="240" w:lineRule="auto"/>
              <w:rPr>
                <w:rFonts w:asciiTheme="minorHAnsi" w:hAnsiTheme="minorHAnsi" w:cs="Arial"/>
              </w:rPr>
            </w:pPr>
            <w:r w:rsidRPr="00FA347B">
              <w:rPr>
                <w:rFonts w:asciiTheme="minorHAnsi" w:hAnsiTheme="minorHAnsi" w:cs="Arial"/>
              </w:rPr>
              <w:t>Poisťovne majú v § 800 ods. 2 Občianskeho zákonníka možnosť vypovedať poistnú zmluvu do 2 mesiacov po jej uzavretí aj z dôvodov vyplývajúcich a súvisiacich s posúdením zdravotného stavu poisteného</w:t>
            </w:r>
          </w:p>
        </w:tc>
        <w:tc>
          <w:tcPr>
            <w:tcW w:w="1701" w:type="dxa"/>
          </w:tcPr>
          <w:p w:rsidR="00FA347B" w:rsidRPr="00FA347B" w:rsidRDefault="00FA347B" w:rsidP="00A556D3">
            <w:pPr>
              <w:pStyle w:val="Odsekzoznamu"/>
              <w:ind w:left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A347B" w:rsidRPr="00FA347B" w:rsidTr="0093314E">
        <w:trPr>
          <w:cantSplit/>
          <w:trHeight w:val="699"/>
        </w:trPr>
        <w:tc>
          <w:tcPr>
            <w:tcW w:w="1523" w:type="dxa"/>
          </w:tcPr>
          <w:p w:rsidR="00FA347B" w:rsidRPr="00FA347B" w:rsidRDefault="00FA347B" w:rsidP="006C081E">
            <w:pPr>
              <w:pStyle w:val="Odsekzoznamu"/>
              <w:ind w:left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sz w:val="20"/>
                <w:szCs w:val="20"/>
              </w:rPr>
              <w:t>Čl. I, § 79 (14)</w:t>
            </w:r>
          </w:p>
        </w:tc>
        <w:tc>
          <w:tcPr>
            <w:tcW w:w="3405" w:type="dxa"/>
          </w:tcPr>
          <w:p w:rsidR="00FA347B" w:rsidRPr="00FA347B" w:rsidRDefault="00FA347B" w:rsidP="00A94B4D">
            <w:pPr>
              <w:pStyle w:val="Textkomentra"/>
              <w:spacing w:after="0" w:line="240" w:lineRule="auto"/>
              <w:rPr>
                <w:rFonts w:asciiTheme="minorHAnsi" w:hAnsiTheme="minorHAnsi" w:cs="Arial"/>
              </w:rPr>
            </w:pPr>
            <w:r w:rsidRPr="00FA347B">
              <w:rPr>
                <w:rFonts w:asciiTheme="minorHAnsi" w:hAnsiTheme="minorHAnsi"/>
              </w:rPr>
              <w:t>..</w:t>
            </w:r>
            <w:r w:rsidRPr="00FA347B">
              <w:rPr>
                <w:rFonts w:asciiTheme="minorHAnsi" w:hAnsiTheme="minorHAnsi"/>
                <w:color w:val="00B050"/>
              </w:rPr>
              <w:t xml:space="preserve">.hrubých </w:t>
            </w:r>
            <w:r w:rsidRPr="00FA347B">
              <w:rPr>
                <w:rFonts w:asciiTheme="minorHAnsi" w:hAnsiTheme="minorHAnsi"/>
              </w:rPr>
              <w:t>technických rezerv</w:t>
            </w:r>
          </w:p>
        </w:tc>
        <w:tc>
          <w:tcPr>
            <w:tcW w:w="5103" w:type="dxa"/>
          </w:tcPr>
          <w:p w:rsidR="00FA347B" w:rsidRPr="00FA347B" w:rsidRDefault="00FA347B" w:rsidP="004E79B5">
            <w:pPr>
              <w:pStyle w:val="Hlavika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/>
                <w:strike/>
                <w:color w:val="00B050"/>
                <w:sz w:val="20"/>
                <w:szCs w:val="20"/>
              </w:rPr>
              <w:t>hrubých</w:t>
            </w:r>
            <w:r w:rsidRPr="00FA347B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 </w:t>
            </w:r>
            <w:r w:rsidRPr="00FA347B">
              <w:rPr>
                <w:rFonts w:asciiTheme="minorHAnsi" w:hAnsiTheme="minorHAnsi"/>
                <w:sz w:val="20"/>
                <w:szCs w:val="20"/>
              </w:rPr>
              <w:t>technických rezerv</w:t>
            </w:r>
          </w:p>
        </w:tc>
        <w:tc>
          <w:tcPr>
            <w:tcW w:w="4394" w:type="dxa"/>
          </w:tcPr>
          <w:p w:rsidR="00FA347B" w:rsidRPr="00FA347B" w:rsidRDefault="00FA347B" w:rsidP="004E79B5">
            <w:pPr>
              <w:pStyle w:val="Odsekzoznamu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FA347B">
              <w:rPr>
                <w:rFonts w:asciiTheme="minorHAnsi" w:hAnsiTheme="minorHAnsi" w:cs="Arial"/>
                <w:bCs/>
                <w:sz w:val="20"/>
                <w:szCs w:val="20"/>
              </w:rPr>
              <w:t>Nikde v Zákone nie je zadefinované, čo tento pojem znamená</w:t>
            </w:r>
          </w:p>
        </w:tc>
        <w:tc>
          <w:tcPr>
            <w:tcW w:w="1701" w:type="dxa"/>
          </w:tcPr>
          <w:p w:rsidR="00FA347B" w:rsidRPr="00FA347B" w:rsidRDefault="00FA347B" w:rsidP="00A94B4D">
            <w:pPr>
              <w:pStyle w:val="Odsekzoznamu"/>
              <w:ind w:left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A347B" w:rsidRPr="00FA347B" w:rsidTr="002A3F55">
        <w:trPr>
          <w:cantSplit/>
          <w:trHeight w:val="990"/>
        </w:trPr>
        <w:tc>
          <w:tcPr>
            <w:tcW w:w="1523" w:type="dxa"/>
          </w:tcPr>
          <w:p w:rsidR="006C081E" w:rsidRDefault="00FA347B" w:rsidP="006C081E">
            <w:pPr>
              <w:pStyle w:val="Normlnywebov8"/>
              <w:spacing w:before="0" w:after="0"/>
              <w:ind w:left="0" w:righ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sz w:val="20"/>
                <w:szCs w:val="20"/>
              </w:rPr>
              <w:t xml:space="preserve">Čl. I, </w:t>
            </w:r>
          </w:p>
          <w:p w:rsidR="00FA347B" w:rsidRPr="00FA347B" w:rsidRDefault="00FA347B" w:rsidP="006C081E">
            <w:pPr>
              <w:pStyle w:val="Normlnywebov8"/>
              <w:spacing w:before="0" w:after="0"/>
              <w:ind w:left="0" w:right="0"/>
              <w:jc w:val="center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sz w:val="20"/>
                <w:szCs w:val="20"/>
              </w:rPr>
              <w:t>§ 167</w:t>
            </w:r>
            <w:r w:rsidR="006C081E">
              <w:rPr>
                <w:rFonts w:asciiTheme="minorHAnsi" w:hAnsiTheme="minorHAnsi"/>
                <w:b/>
                <w:sz w:val="20"/>
                <w:szCs w:val="20"/>
              </w:rPr>
              <w:t xml:space="preserve"> písm. </w:t>
            </w:r>
          </w:p>
          <w:p w:rsidR="00FA347B" w:rsidRPr="00FA347B" w:rsidRDefault="00FA347B" w:rsidP="006C081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A347B">
              <w:rPr>
                <w:rFonts w:asciiTheme="minorHAnsi" w:hAnsiTheme="minorHAnsi" w:cs="Arial"/>
                <w:b/>
                <w:sz w:val="20"/>
                <w:szCs w:val="20"/>
              </w:rPr>
              <w:t>b) a c)</w:t>
            </w:r>
          </w:p>
        </w:tc>
        <w:tc>
          <w:tcPr>
            <w:tcW w:w="3405" w:type="dxa"/>
          </w:tcPr>
          <w:p w:rsidR="00FA347B" w:rsidRPr="00FA347B" w:rsidRDefault="00FA347B" w:rsidP="002A3F5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A347B">
              <w:rPr>
                <w:rFonts w:asciiTheme="minorHAnsi" w:hAnsiTheme="minorHAnsi"/>
                <w:sz w:val="20"/>
                <w:szCs w:val="20"/>
              </w:rPr>
              <w:t>celkové technické rezervy</w:t>
            </w:r>
          </w:p>
        </w:tc>
        <w:tc>
          <w:tcPr>
            <w:tcW w:w="5103" w:type="dxa"/>
          </w:tcPr>
          <w:p w:rsidR="00FA347B" w:rsidRPr="00FA347B" w:rsidRDefault="00FA347B" w:rsidP="002A3F5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A347B">
              <w:rPr>
                <w:rFonts w:asciiTheme="minorHAnsi" w:hAnsiTheme="minorHAnsi"/>
                <w:strike/>
                <w:sz w:val="20"/>
                <w:szCs w:val="20"/>
              </w:rPr>
              <w:t>celkové</w:t>
            </w:r>
            <w:r w:rsidRPr="00FA347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A347B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účtovné </w:t>
            </w:r>
            <w:r w:rsidRPr="00FA347B">
              <w:rPr>
                <w:rFonts w:asciiTheme="minorHAnsi" w:hAnsiTheme="minorHAnsi"/>
                <w:sz w:val="20"/>
                <w:szCs w:val="20"/>
              </w:rPr>
              <w:t>technické rezervy</w:t>
            </w:r>
          </w:p>
        </w:tc>
        <w:tc>
          <w:tcPr>
            <w:tcW w:w="4394" w:type="dxa"/>
          </w:tcPr>
          <w:p w:rsidR="00FA347B" w:rsidRPr="00FA347B" w:rsidRDefault="00FA347B" w:rsidP="002A3F5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A347B">
              <w:rPr>
                <w:rFonts w:asciiTheme="minorHAnsi" w:hAnsiTheme="minorHAnsi" w:cs="Arial"/>
                <w:sz w:val="20"/>
                <w:szCs w:val="20"/>
              </w:rPr>
              <w:t xml:space="preserve">Predpokladáme, že keďže ide o poisťovne, na ktoré sa </w:t>
            </w:r>
            <w:r w:rsidRPr="00FA347B">
              <w:rPr>
                <w:rFonts w:asciiTheme="minorHAnsi" w:hAnsiTheme="minorHAnsi" w:cs="Arial"/>
                <w:b/>
                <w:sz w:val="20"/>
                <w:szCs w:val="20"/>
              </w:rPr>
              <w:t>nevzťahujú</w:t>
            </w:r>
            <w:r w:rsidRPr="00FA347B">
              <w:rPr>
                <w:rFonts w:asciiTheme="minorHAnsi" w:hAnsiTheme="minorHAnsi" w:cs="Arial"/>
                <w:sz w:val="20"/>
                <w:szCs w:val="20"/>
              </w:rPr>
              <w:t xml:space="preserve"> požiadavky direktívy, nemal zákonodarca zámer tu požadovať precenenie rezerv v zmysle </w:t>
            </w:r>
            <w:r w:rsidRPr="00FA347B">
              <w:rPr>
                <w:rFonts w:asciiTheme="minorHAnsi" w:hAnsiTheme="minorHAnsi"/>
                <w:sz w:val="20"/>
                <w:szCs w:val="20"/>
              </w:rPr>
              <w:t>§</w:t>
            </w:r>
            <w:r w:rsidRPr="00FA347B">
              <w:rPr>
                <w:rFonts w:asciiTheme="minorHAnsi" w:hAnsiTheme="minorHAnsi" w:cs="Arial"/>
                <w:sz w:val="20"/>
                <w:szCs w:val="20"/>
              </w:rPr>
              <w:t xml:space="preserve">  36 až 44, kde je stanovené oceňovanie technických rezerv </w:t>
            </w:r>
            <w:r w:rsidRPr="00FA347B">
              <w:rPr>
                <w:rFonts w:asciiTheme="minorHAnsi" w:hAnsiTheme="minorHAnsi" w:cs="Arial"/>
                <w:color w:val="FF0000"/>
                <w:sz w:val="20"/>
                <w:szCs w:val="20"/>
              </w:rPr>
              <w:t>pre účely solventnosti</w:t>
            </w:r>
          </w:p>
        </w:tc>
        <w:tc>
          <w:tcPr>
            <w:tcW w:w="1701" w:type="dxa"/>
          </w:tcPr>
          <w:p w:rsidR="00FA347B" w:rsidRPr="00FA347B" w:rsidRDefault="00FA347B" w:rsidP="002A3F55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FA347B" w:rsidRPr="00FA347B" w:rsidTr="00FA347B">
        <w:trPr>
          <w:cantSplit/>
          <w:trHeight w:val="1271"/>
        </w:trPr>
        <w:tc>
          <w:tcPr>
            <w:tcW w:w="1523" w:type="dxa"/>
          </w:tcPr>
          <w:p w:rsidR="00FA347B" w:rsidRPr="00FA347B" w:rsidRDefault="00FA347B" w:rsidP="006C08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347B">
              <w:rPr>
                <w:b/>
                <w:sz w:val="20"/>
                <w:szCs w:val="20"/>
              </w:rPr>
              <w:t>Čl. I,</w:t>
            </w:r>
          </w:p>
          <w:p w:rsidR="00FA347B" w:rsidRPr="00FA347B" w:rsidRDefault="00FA347B" w:rsidP="006C081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Cs/>
                <w:sz w:val="20"/>
                <w:szCs w:val="20"/>
              </w:rPr>
              <w:t>Nadpis nad</w:t>
            </w:r>
          </w:p>
          <w:p w:rsidR="00FA347B" w:rsidRPr="00FA347B" w:rsidRDefault="00FA347B" w:rsidP="006C081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bCs/>
                <w:sz w:val="20"/>
                <w:szCs w:val="20"/>
              </w:rPr>
              <w:t>§ 171</w:t>
            </w:r>
          </w:p>
          <w:p w:rsidR="00FA347B" w:rsidRPr="00FA347B" w:rsidRDefault="00FA347B" w:rsidP="006C081E">
            <w:pPr>
              <w:pStyle w:val="Odsekzoznamu"/>
              <w:ind w:left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405" w:type="dxa"/>
          </w:tcPr>
          <w:p w:rsidR="00FA347B" w:rsidRPr="00FA347B" w:rsidRDefault="00FA347B" w:rsidP="00A94B4D">
            <w:pPr>
              <w:pStyle w:val="Textkomentra"/>
              <w:spacing w:after="0" w:line="240" w:lineRule="auto"/>
              <w:rPr>
                <w:rFonts w:asciiTheme="minorHAnsi" w:hAnsiTheme="minorHAnsi" w:cs="Arial"/>
              </w:rPr>
            </w:pPr>
            <w:r w:rsidRPr="00FA347B">
              <w:rPr>
                <w:rFonts w:asciiTheme="minorHAnsi" w:hAnsiTheme="minorHAnsi"/>
                <w:b/>
                <w:bCs/>
              </w:rPr>
              <w:t>Technické rezervy</w:t>
            </w:r>
          </w:p>
        </w:tc>
        <w:tc>
          <w:tcPr>
            <w:tcW w:w="5103" w:type="dxa"/>
          </w:tcPr>
          <w:p w:rsidR="00FA347B" w:rsidRPr="00FA347B" w:rsidRDefault="00FA347B" w:rsidP="007A19E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A347B">
              <w:rPr>
                <w:rFonts w:asciiTheme="minorHAnsi" w:hAnsiTheme="minorHAnsi" w:cs="Arial"/>
                <w:sz w:val="20"/>
                <w:szCs w:val="20"/>
              </w:rPr>
              <w:t xml:space="preserve">Technické rezervy  </w:t>
            </w:r>
            <w:r w:rsidRPr="00FA347B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poisťovne, na ktorú sa uplatňuje osobitný režim</w:t>
            </w:r>
          </w:p>
        </w:tc>
        <w:tc>
          <w:tcPr>
            <w:tcW w:w="4394" w:type="dxa"/>
          </w:tcPr>
          <w:p w:rsidR="00FA347B" w:rsidRPr="00FA347B" w:rsidRDefault="00FA347B" w:rsidP="002A5F56">
            <w:pPr>
              <w:pStyle w:val="Textkomentra"/>
              <w:spacing w:after="0" w:line="240" w:lineRule="auto"/>
              <w:rPr>
                <w:rFonts w:asciiTheme="minorHAnsi" w:hAnsiTheme="minorHAnsi" w:cs="Arial"/>
              </w:rPr>
            </w:pPr>
            <w:r w:rsidRPr="00FA347B">
              <w:rPr>
                <w:rFonts w:asciiTheme="minorHAnsi" w:hAnsiTheme="minorHAnsi" w:cs="Arial"/>
              </w:rPr>
              <w:t xml:space="preserve">Inak by bolo v rozpore s </w:t>
            </w:r>
            <w:r w:rsidRPr="00FA347B">
              <w:rPr>
                <w:rFonts w:asciiTheme="minorHAnsi" w:hAnsiTheme="minorHAnsi"/>
              </w:rPr>
              <w:t>§ 38</w:t>
            </w:r>
            <w:r w:rsidRPr="00FA347B">
              <w:rPr>
                <w:rFonts w:asciiTheme="minorHAnsi" w:hAnsiTheme="minorHAnsi" w:cs="Arial"/>
              </w:rPr>
              <w:t xml:space="preserve">  </w:t>
            </w:r>
          </w:p>
        </w:tc>
        <w:tc>
          <w:tcPr>
            <w:tcW w:w="1701" w:type="dxa"/>
          </w:tcPr>
          <w:p w:rsidR="00FA347B" w:rsidRPr="00FA347B" w:rsidRDefault="00FA347B" w:rsidP="00A94B4D">
            <w:pPr>
              <w:pStyle w:val="Odsekzoznamu"/>
              <w:ind w:left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 w:cs="Arial"/>
                <w:b/>
                <w:bCs/>
                <w:color w:val="FF0000"/>
                <w:sz w:val="20"/>
                <w:szCs w:val="20"/>
              </w:rPr>
              <w:t>Treba primerane upraviť v celej časti, ktorá sa týka osobitného režimu</w:t>
            </w:r>
          </w:p>
        </w:tc>
      </w:tr>
      <w:tr w:rsidR="00FA347B" w:rsidRPr="00FA347B" w:rsidTr="00FA347B">
        <w:trPr>
          <w:cantSplit/>
          <w:trHeight w:val="990"/>
        </w:trPr>
        <w:tc>
          <w:tcPr>
            <w:tcW w:w="1523" w:type="dxa"/>
          </w:tcPr>
          <w:p w:rsidR="00FA347B" w:rsidRPr="00FA347B" w:rsidRDefault="00FA347B" w:rsidP="006C08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347B">
              <w:rPr>
                <w:b/>
                <w:sz w:val="20"/>
                <w:szCs w:val="20"/>
              </w:rPr>
              <w:t>Čl. I,</w:t>
            </w:r>
          </w:p>
          <w:p w:rsidR="00FA347B" w:rsidRPr="00FA347B" w:rsidRDefault="00FA347B" w:rsidP="006C081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bCs/>
                <w:sz w:val="20"/>
                <w:szCs w:val="20"/>
              </w:rPr>
              <w:t>§ 172</w:t>
            </w:r>
          </w:p>
          <w:p w:rsidR="00FA347B" w:rsidRPr="00FA347B" w:rsidRDefault="00FA347B" w:rsidP="006C081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405" w:type="dxa"/>
          </w:tcPr>
          <w:p w:rsidR="00FA347B" w:rsidRPr="00FA347B" w:rsidRDefault="00FA347B" w:rsidP="002A5F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bCs/>
                <w:sz w:val="20"/>
                <w:szCs w:val="20"/>
              </w:rPr>
              <w:t>Zásady výpočtu technických rezerv v životnom poistení</w:t>
            </w:r>
          </w:p>
          <w:p w:rsidR="00FA347B" w:rsidRPr="00FA347B" w:rsidRDefault="00FA347B" w:rsidP="00A94B4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FA347B" w:rsidRPr="00FA347B" w:rsidRDefault="00FA347B" w:rsidP="002A5F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Zásady výpočtu technických rezerv v životnom poistení </w:t>
            </w:r>
            <w:r w:rsidRPr="00FA347B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poisťovne, na ktorú sa uplatňuje osobitný režim</w:t>
            </w:r>
          </w:p>
          <w:p w:rsidR="00FA347B" w:rsidRPr="00FA347B" w:rsidRDefault="00FA347B" w:rsidP="00A94B4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FA347B" w:rsidRPr="00FA347B" w:rsidRDefault="00FA347B" w:rsidP="00A94B4D">
            <w:pPr>
              <w:pStyle w:val="Textkomentra"/>
              <w:spacing w:after="0" w:line="240" w:lineRule="auto"/>
              <w:rPr>
                <w:rFonts w:asciiTheme="minorHAnsi" w:hAnsiTheme="minorHAnsi" w:cs="Arial"/>
              </w:rPr>
            </w:pPr>
            <w:r w:rsidRPr="00FA347B">
              <w:rPr>
                <w:rFonts w:asciiTheme="minorHAnsi" w:hAnsiTheme="minorHAnsi" w:cs="Arial"/>
              </w:rPr>
              <w:t>dtto</w:t>
            </w:r>
          </w:p>
        </w:tc>
        <w:tc>
          <w:tcPr>
            <w:tcW w:w="1701" w:type="dxa"/>
          </w:tcPr>
          <w:p w:rsidR="00FA347B" w:rsidRPr="00FA347B" w:rsidRDefault="00FA347B" w:rsidP="00A94B4D">
            <w:pPr>
              <w:pStyle w:val="Odsekzoznamu"/>
              <w:ind w:left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A347B" w:rsidRPr="00FA347B" w:rsidTr="00FA347B">
        <w:trPr>
          <w:cantSplit/>
          <w:trHeight w:val="985"/>
        </w:trPr>
        <w:tc>
          <w:tcPr>
            <w:tcW w:w="1523" w:type="dxa"/>
          </w:tcPr>
          <w:p w:rsidR="00FA347B" w:rsidRPr="00FA347B" w:rsidRDefault="00FA347B" w:rsidP="006C08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347B">
              <w:rPr>
                <w:b/>
                <w:sz w:val="20"/>
                <w:szCs w:val="20"/>
              </w:rPr>
              <w:lastRenderedPageBreak/>
              <w:t>Čl. I,</w:t>
            </w:r>
          </w:p>
          <w:p w:rsidR="00FA347B" w:rsidRPr="00FA347B" w:rsidRDefault="00FA347B" w:rsidP="006C081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bCs/>
                <w:sz w:val="20"/>
                <w:szCs w:val="20"/>
              </w:rPr>
              <w:t>§ 178</w:t>
            </w:r>
          </w:p>
          <w:p w:rsidR="00FA347B" w:rsidRPr="00FA347B" w:rsidRDefault="00FA347B" w:rsidP="006C081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405" w:type="dxa"/>
          </w:tcPr>
          <w:p w:rsidR="00FA347B" w:rsidRPr="00FA347B" w:rsidRDefault="00FA347B" w:rsidP="002A5F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bCs/>
                <w:sz w:val="20"/>
                <w:szCs w:val="20"/>
              </w:rPr>
              <w:t>Spôsob umiestnenia prostriedkov technických rezerv</w:t>
            </w:r>
          </w:p>
          <w:p w:rsidR="00FA347B" w:rsidRPr="00FA347B" w:rsidRDefault="00FA347B" w:rsidP="00A94B4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FA347B" w:rsidRPr="00FA347B" w:rsidRDefault="00FA347B" w:rsidP="002A5F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Spôsob umiestnenia prostriedkov technických rezerv </w:t>
            </w:r>
            <w:r w:rsidRPr="00FA347B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poisťovne, na ktorú sa uplatňuje osobitný režim</w:t>
            </w:r>
          </w:p>
          <w:p w:rsidR="00FA347B" w:rsidRPr="00FA347B" w:rsidRDefault="00FA347B" w:rsidP="00A94B4D">
            <w:pPr>
              <w:pStyle w:val="Textkomentra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394" w:type="dxa"/>
          </w:tcPr>
          <w:p w:rsidR="00FA347B" w:rsidRPr="00FA347B" w:rsidRDefault="00FA347B" w:rsidP="00D539B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A347B">
              <w:rPr>
                <w:rFonts w:asciiTheme="minorHAnsi" w:hAnsiTheme="minorHAnsi" w:cs="Arial"/>
                <w:sz w:val="20"/>
                <w:szCs w:val="20"/>
              </w:rPr>
              <w:t xml:space="preserve">Dtto </w:t>
            </w:r>
          </w:p>
        </w:tc>
        <w:tc>
          <w:tcPr>
            <w:tcW w:w="1701" w:type="dxa"/>
          </w:tcPr>
          <w:p w:rsidR="00FA347B" w:rsidRPr="00FA347B" w:rsidRDefault="00FA347B" w:rsidP="00A94B4D">
            <w:pPr>
              <w:pStyle w:val="Odsekzoznamu"/>
              <w:ind w:left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A347B" w:rsidRPr="00FA347B" w:rsidTr="00FA347B">
        <w:trPr>
          <w:cantSplit/>
          <w:trHeight w:val="839"/>
        </w:trPr>
        <w:tc>
          <w:tcPr>
            <w:tcW w:w="1523" w:type="dxa"/>
          </w:tcPr>
          <w:p w:rsidR="00FA347B" w:rsidRPr="00FA347B" w:rsidRDefault="00FA347B" w:rsidP="006C08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347B">
              <w:rPr>
                <w:b/>
                <w:sz w:val="20"/>
                <w:szCs w:val="20"/>
              </w:rPr>
              <w:t>Čl. I,</w:t>
            </w:r>
          </w:p>
          <w:p w:rsidR="00FA347B" w:rsidRPr="00FA347B" w:rsidRDefault="00FA347B" w:rsidP="006C081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Cs/>
                <w:sz w:val="20"/>
                <w:szCs w:val="20"/>
              </w:rPr>
              <w:t>Nadpis nad</w:t>
            </w:r>
          </w:p>
          <w:p w:rsidR="00FA347B" w:rsidRPr="00FA347B" w:rsidRDefault="00FA347B" w:rsidP="006C081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bCs/>
                <w:sz w:val="20"/>
                <w:szCs w:val="20"/>
              </w:rPr>
              <w:t>§ 179</w:t>
            </w:r>
          </w:p>
          <w:p w:rsidR="00FA347B" w:rsidRPr="00FA347B" w:rsidRDefault="00FA347B" w:rsidP="006C081E">
            <w:pPr>
              <w:pStyle w:val="Odsekzoznamu"/>
              <w:ind w:left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405" w:type="dxa"/>
          </w:tcPr>
          <w:p w:rsidR="00FA347B" w:rsidRPr="00FA347B" w:rsidRDefault="00FA347B" w:rsidP="002A5F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bCs/>
                <w:sz w:val="20"/>
                <w:szCs w:val="20"/>
              </w:rPr>
              <w:t>Solventnosť poisťovne</w:t>
            </w:r>
          </w:p>
          <w:p w:rsidR="00FA347B" w:rsidRPr="00FA347B" w:rsidRDefault="00FA347B" w:rsidP="00A94B4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FA347B" w:rsidRPr="00FA347B" w:rsidRDefault="00FA347B" w:rsidP="002A5F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Solventnosť poisťovne </w:t>
            </w:r>
            <w:r w:rsidRPr="00FA347B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na ktorú sa uplatňuje osobitný režim</w:t>
            </w:r>
          </w:p>
          <w:p w:rsidR="00FA347B" w:rsidRPr="00FA347B" w:rsidRDefault="00FA347B" w:rsidP="00A94B4D">
            <w:pPr>
              <w:pStyle w:val="Odsekzoznamu"/>
              <w:numPr>
                <w:ilvl w:val="0"/>
                <w:numId w:val="8"/>
              </w:numPr>
              <w:ind w:left="0"/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FA347B" w:rsidRPr="00FA347B" w:rsidRDefault="00FA347B" w:rsidP="00A94B4D">
            <w:pPr>
              <w:pStyle w:val="Textkomentra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FA347B" w:rsidRPr="00FA347B" w:rsidRDefault="00FA347B" w:rsidP="00A94B4D">
            <w:pPr>
              <w:pStyle w:val="Odsekzoznamu"/>
              <w:ind w:left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A347B" w:rsidRPr="00FA347B" w:rsidTr="00FA347B">
        <w:trPr>
          <w:cantSplit/>
          <w:trHeight w:val="955"/>
        </w:trPr>
        <w:tc>
          <w:tcPr>
            <w:tcW w:w="1523" w:type="dxa"/>
          </w:tcPr>
          <w:p w:rsidR="00FA347B" w:rsidRPr="00FA347B" w:rsidRDefault="00FA347B" w:rsidP="006C08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347B">
              <w:rPr>
                <w:b/>
                <w:sz w:val="20"/>
                <w:szCs w:val="20"/>
              </w:rPr>
              <w:t>Čl. I,</w:t>
            </w:r>
          </w:p>
          <w:p w:rsidR="00FA347B" w:rsidRPr="00FA347B" w:rsidRDefault="00FA347B" w:rsidP="006C081E">
            <w:pPr>
              <w:pStyle w:val="Odsekzoznamu"/>
              <w:ind w:left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Text nad</w:t>
            </w:r>
          </w:p>
          <w:p w:rsidR="00FA347B" w:rsidRPr="00FA347B" w:rsidRDefault="00FA347B" w:rsidP="006C081E">
            <w:pPr>
              <w:pStyle w:val="Odsekzoznamu"/>
              <w:ind w:left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bCs/>
                <w:sz w:val="20"/>
                <w:szCs w:val="20"/>
              </w:rPr>
              <w:t>§ 180</w:t>
            </w:r>
          </w:p>
        </w:tc>
        <w:tc>
          <w:tcPr>
            <w:tcW w:w="3405" w:type="dxa"/>
          </w:tcPr>
          <w:p w:rsidR="00FA347B" w:rsidRPr="00FA347B" w:rsidRDefault="00FA347B" w:rsidP="003C1BCA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Systém správy a riadenia </w:t>
            </w:r>
            <w:r w:rsidRPr="00FA347B">
              <w:rPr>
                <w:rFonts w:asciiTheme="minorHAnsi" w:hAnsiTheme="minorHAnsi"/>
                <w:b/>
                <w:bCs/>
                <w:color w:val="92D050"/>
                <w:sz w:val="20"/>
                <w:szCs w:val="20"/>
              </w:rPr>
              <w:t xml:space="preserve">poisťovne, na ktorú sa uplatňuje osobitný režim </w:t>
            </w:r>
          </w:p>
          <w:p w:rsidR="00FA347B" w:rsidRPr="00FA347B" w:rsidRDefault="00FA347B" w:rsidP="003C1BC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FA347B" w:rsidRPr="00FA347B" w:rsidRDefault="00FA347B" w:rsidP="003C1BCA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Systém správy a riadenia </w:t>
            </w:r>
            <w:r w:rsidRPr="00FA347B">
              <w:rPr>
                <w:rFonts w:asciiTheme="minorHAnsi" w:hAnsiTheme="minorHAnsi"/>
                <w:b/>
                <w:bCs/>
                <w:color w:val="00B050"/>
                <w:sz w:val="20"/>
                <w:szCs w:val="20"/>
              </w:rPr>
              <w:t xml:space="preserve">poisťovne, na ktorú sa uplatňuje osobitný režim </w:t>
            </w:r>
          </w:p>
          <w:p w:rsidR="00FA347B" w:rsidRPr="00FA347B" w:rsidRDefault="00FA347B" w:rsidP="00A94B4D">
            <w:pPr>
              <w:pStyle w:val="Odsekzoznamu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FA347B" w:rsidRPr="00FA347B" w:rsidRDefault="00FA347B" w:rsidP="003C1BCA">
            <w:pPr>
              <w:pStyle w:val="Textkomentra"/>
              <w:spacing w:after="0" w:line="240" w:lineRule="auto"/>
              <w:rPr>
                <w:rFonts w:asciiTheme="minorHAnsi" w:hAnsiTheme="minorHAnsi" w:cs="Arial"/>
              </w:rPr>
            </w:pPr>
            <w:r w:rsidRPr="00FA347B">
              <w:rPr>
                <w:rFonts w:asciiTheme="minorHAnsi" w:hAnsiTheme="minorHAnsi" w:cs="Arial"/>
              </w:rPr>
              <w:t>... táto dikcia je OK, dali sme ju sem ako vzor, že niekde to zákon používa správne a niekde (viď body vyššie), nie</w:t>
            </w:r>
          </w:p>
        </w:tc>
        <w:tc>
          <w:tcPr>
            <w:tcW w:w="1701" w:type="dxa"/>
          </w:tcPr>
          <w:p w:rsidR="00FA347B" w:rsidRPr="00FA347B" w:rsidRDefault="00FA347B" w:rsidP="00A94B4D">
            <w:pPr>
              <w:pStyle w:val="Odsekzoznamu"/>
              <w:ind w:left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A347B" w:rsidRPr="00FA347B" w:rsidTr="0093314E">
        <w:trPr>
          <w:cantSplit/>
          <w:trHeight w:val="955"/>
        </w:trPr>
        <w:tc>
          <w:tcPr>
            <w:tcW w:w="1523" w:type="dxa"/>
          </w:tcPr>
          <w:p w:rsidR="00232A45" w:rsidRPr="00FA347B" w:rsidRDefault="00232A45" w:rsidP="006C08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347B">
              <w:rPr>
                <w:b/>
                <w:sz w:val="20"/>
                <w:szCs w:val="20"/>
              </w:rPr>
              <w:t>Čl. I,</w:t>
            </w:r>
          </w:p>
          <w:p w:rsidR="006C081E" w:rsidRPr="006C081E" w:rsidRDefault="006C081E" w:rsidP="006C081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C081E">
              <w:rPr>
                <w:rFonts w:asciiTheme="minorHAnsi" w:hAnsiTheme="minorHAnsi"/>
                <w:b/>
                <w:bCs/>
                <w:sz w:val="20"/>
                <w:szCs w:val="20"/>
              </w:rPr>
              <w:t>Nadpis pod</w:t>
            </w:r>
          </w:p>
          <w:p w:rsidR="006C081E" w:rsidRPr="00FA347B" w:rsidRDefault="00FA347B" w:rsidP="006C081E">
            <w:pPr>
              <w:pStyle w:val="Odsekzoznamu"/>
              <w:ind w:left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sz w:val="20"/>
                <w:szCs w:val="20"/>
              </w:rPr>
              <w:t>§ 182</w:t>
            </w:r>
            <w:r w:rsidR="006C081E" w:rsidRPr="00FA347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  <w:p w:rsidR="00FA347B" w:rsidRPr="00FA347B" w:rsidRDefault="00FA347B" w:rsidP="006C081E">
            <w:pPr>
              <w:pStyle w:val="Normlnywebov8"/>
              <w:spacing w:before="0" w:after="0"/>
              <w:ind w:left="0" w:righ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A347B" w:rsidRPr="00FA347B" w:rsidRDefault="00FA347B" w:rsidP="006C081E">
            <w:pPr>
              <w:pStyle w:val="Odsekzoznamu"/>
              <w:ind w:left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405" w:type="dxa"/>
          </w:tcPr>
          <w:p w:rsidR="00FA347B" w:rsidRPr="00FA347B" w:rsidRDefault="00FA347B" w:rsidP="003C1BCA">
            <w:pPr>
              <w:pStyle w:val="Normlnywebov8"/>
              <w:spacing w:before="0" w:after="0"/>
              <w:ind w:left="0" w:righ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sz w:val="20"/>
                <w:szCs w:val="20"/>
              </w:rPr>
              <w:t>Riadenie rizík</w:t>
            </w:r>
          </w:p>
          <w:p w:rsidR="00FA347B" w:rsidRPr="00FA347B" w:rsidRDefault="00FA347B" w:rsidP="00A94B4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FA347B" w:rsidRPr="00FA347B" w:rsidRDefault="00FA347B" w:rsidP="003C1BCA">
            <w:pPr>
              <w:pStyle w:val="Normlnywebov8"/>
              <w:spacing w:before="0" w:after="0"/>
              <w:ind w:left="0" w:righ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A347B">
              <w:rPr>
                <w:rFonts w:asciiTheme="minorHAnsi" w:hAnsiTheme="minorHAnsi"/>
                <w:b/>
                <w:sz w:val="20"/>
                <w:szCs w:val="20"/>
              </w:rPr>
              <w:t xml:space="preserve">Riadenie rizík </w:t>
            </w:r>
            <w:r w:rsidRPr="00FA347B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poisťovne, na ktorú sa uplatňuje osobitný režim</w:t>
            </w:r>
          </w:p>
          <w:p w:rsidR="00FA347B" w:rsidRPr="00FA347B" w:rsidRDefault="00FA347B" w:rsidP="00A94B4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FA347B" w:rsidRPr="00FA347B" w:rsidRDefault="00F80940" w:rsidP="00F80940">
            <w:pPr>
              <w:pStyle w:val="Textkomentra"/>
              <w:spacing w:after="0" w:line="240" w:lineRule="auto"/>
              <w:rPr>
                <w:rFonts w:asciiTheme="minorHAnsi" w:hAnsiTheme="minorHAnsi" w:cs="Arial"/>
                <w:lang w:eastAsia="sk-SK"/>
              </w:rPr>
            </w:pPr>
            <w:r>
              <w:rPr>
                <w:rFonts w:asciiTheme="minorHAnsi" w:hAnsiTheme="minorHAnsi" w:cs="Arial"/>
                <w:lang w:eastAsia="sk-SK"/>
              </w:rPr>
              <w:t>Na toto ustanovenie sa vzťahuje osobitný režim, preto v záujme predchádzania vzniku nedorozumení ohľadom jeho výkladu alebo použitia, je potrebné zmeniť aj názov tohto ustanovenia</w:t>
            </w:r>
          </w:p>
        </w:tc>
        <w:tc>
          <w:tcPr>
            <w:tcW w:w="1701" w:type="dxa"/>
          </w:tcPr>
          <w:p w:rsidR="00FA347B" w:rsidRPr="00FA347B" w:rsidRDefault="00FA347B" w:rsidP="00A94B4D">
            <w:pPr>
              <w:pStyle w:val="Odsekzoznamu"/>
              <w:ind w:left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A347B" w:rsidRPr="00FA347B" w:rsidTr="0093314E">
        <w:trPr>
          <w:cantSplit/>
          <w:trHeight w:val="812"/>
        </w:trPr>
        <w:tc>
          <w:tcPr>
            <w:tcW w:w="1523" w:type="dxa"/>
          </w:tcPr>
          <w:p w:rsidR="00232A45" w:rsidRPr="00FA347B" w:rsidRDefault="00232A45" w:rsidP="006C08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347B">
              <w:rPr>
                <w:b/>
                <w:sz w:val="20"/>
                <w:szCs w:val="20"/>
              </w:rPr>
              <w:t>Čl. I,</w:t>
            </w:r>
          </w:p>
          <w:p w:rsidR="006C081E" w:rsidRPr="006C081E" w:rsidRDefault="006C081E" w:rsidP="006C081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C081E">
              <w:rPr>
                <w:rFonts w:asciiTheme="minorHAnsi" w:hAnsiTheme="minorHAnsi"/>
                <w:b/>
                <w:bCs/>
                <w:sz w:val="20"/>
                <w:szCs w:val="20"/>
              </w:rPr>
              <w:t>Nadpis pod</w:t>
            </w:r>
          </w:p>
          <w:p w:rsidR="00FA347B" w:rsidRPr="00FA347B" w:rsidRDefault="006C081E" w:rsidP="006C081E">
            <w:pPr>
              <w:pStyle w:val="Normlnywebov8"/>
              <w:spacing w:before="0" w:after="0"/>
              <w:ind w:left="0" w:righ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§</w:t>
            </w:r>
            <w:r w:rsidR="00FA347B" w:rsidRPr="00FA347B">
              <w:rPr>
                <w:rFonts w:asciiTheme="minorHAnsi" w:hAnsiTheme="minorHAnsi"/>
                <w:b/>
                <w:sz w:val="20"/>
                <w:szCs w:val="20"/>
              </w:rPr>
              <w:t>§ 183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až</w:t>
            </w:r>
            <w:r w:rsidR="00FA347B" w:rsidRPr="00FA347B">
              <w:rPr>
                <w:rFonts w:asciiTheme="minorHAnsi" w:hAnsiTheme="minorHAnsi"/>
                <w:b/>
                <w:sz w:val="20"/>
                <w:szCs w:val="20"/>
              </w:rPr>
              <w:t xml:space="preserve"> 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  <w:p w:rsidR="00FA347B" w:rsidRPr="00FA347B" w:rsidRDefault="00FA347B" w:rsidP="006C081E">
            <w:pPr>
              <w:pStyle w:val="Odsekzoznamu"/>
              <w:ind w:left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405" w:type="dxa"/>
          </w:tcPr>
          <w:p w:rsidR="00FA347B" w:rsidRPr="00FA347B" w:rsidRDefault="00FA347B" w:rsidP="00A94B4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A347B">
              <w:rPr>
                <w:rFonts w:asciiTheme="minorHAnsi" w:hAnsiTheme="minorHAnsi" w:cs="Arial"/>
                <w:sz w:val="20"/>
                <w:szCs w:val="20"/>
              </w:rPr>
              <w:t>...</w:t>
            </w:r>
          </w:p>
        </w:tc>
        <w:tc>
          <w:tcPr>
            <w:tcW w:w="5103" w:type="dxa"/>
          </w:tcPr>
          <w:p w:rsidR="00FA347B" w:rsidRPr="00FA347B" w:rsidRDefault="00FA347B" w:rsidP="00A94B4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A347B">
              <w:rPr>
                <w:rFonts w:asciiTheme="minorHAnsi" w:hAnsiTheme="minorHAnsi" w:cs="Arial"/>
                <w:sz w:val="20"/>
                <w:szCs w:val="20"/>
              </w:rPr>
              <w:t xml:space="preserve">.... </w:t>
            </w:r>
            <w:r w:rsidRPr="00FA347B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poisťovne, na ktorú sa uplatňuje osobitný režim</w:t>
            </w:r>
          </w:p>
        </w:tc>
        <w:tc>
          <w:tcPr>
            <w:tcW w:w="4394" w:type="dxa"/>
          </w:tcPr>
          <w:p w:rsidR="00FA347B" w:rsidRPr="00FA347B" w:rsidRDefault="006C081E" w:rsidP="00A94B4D">
            <w:pPr>
              <w:pStyle w:val="Textkomentra"/>
              <w:spacing w:after="0" w:line="240" w:lineRule="auto"/>
              <w:rPr>
                <w:rFonts w:asciiTheme="minorHAnsi" w:hAnsiTheme="minorHAnsi" w:cs="Arial"/>
                <w:lang w:eastAsia="sk-SK"/>
              </w:rPr>
            </w:pPr>
            <w:r>
              <w:rPr>
                <w:rFonts w:asciiTheme="minorHAnsi" w:hAnsiTheme="minorHAnsi" w:cs="Arial"/>
                <w:lang w:eastAsia="sk-SK"/>
              </w:rPr>
              <w:t xml:space="preserve">Na tieto ustanovenia sa vzťahuje osobitný režim, preto v záujme </w:t>
            </w:r>
            <w:r w:rsidR="00F80940">
              <w:rPr>
                <w:rFonts w:asciiTheme="minorHAnsi" w:hAnsiTheme="minorHAnsi" w:cs="Arial"/>
                <w:lang w:eastAsia="sk-SK"/>
              </w:rPr>
              <w:t>predchádzania vzniku nedorozumení ohľadom výkladu alebo použitia, je potrebné zmeniť aj názov prísl. ustanovenia</w:t>
            </w:r>
          </w:p>
        </w:tc>
        <w:tc>
          <w:tcPr>
            <w:tcW w:w="1701" w:type="dxa"/>
          </w:tcPr>
          <w:p w:rsidR="00FA347B" w:rsidRPr="00FA347B" w:rsidRDefault="00FA347B" w:rsidP="00A94B4D">
            <w:pPr>
              <w:pStyle w:val="Odsekzoznamu"/>
              <w:ind w:left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A347B" w:rsidRPr="00FA347B" w:rsidTr="00FA347B">
        <w:trPr>
          <w:cantSplit/>
          <w:trHeight w:val="1444"/>
        </w:trPr>
        <w:tc>
          <w:tcPr>
            <w:tcW w:w="1523" w:type="dxa"/>
          </w:tcPr>
          <w:p w:rsidR="00FA347B" w:rsidRPr="00FA347B" w:rsidRDefault="00FA347B" w:rsidP="006C081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sk-SK" w:bidi="si-LK"/>
              </w:rPr>
            </w:pPr>
            <w:r w:rsidRPr="00FA347B">
              <w:rPr>
                <w:rFonts w:asciiTheme="minorHAnsi" w:hAnsiTheme="minorHAnsi"/>
                <w:b/>
                <w:bCs/>
                <w:sz w:val="20"/>
                <w:szCs w:val="20"/>
                <w:lang w:eastAsia="sk-SK" w:bidi="si-LK"/>
              </w:rPr>
              <w:t>Čl. III bod 1</w:t>
            </w:r>
          </w:p>
        </w:tc>
        <w:tc>
          <w:tcPr>
            <w:tcW w:w="3405" w:type="dxa"/>
          </w:tcPr>
          <w:p w:rsidR="00FA347B" w:rsidRPr="00FA347B" w:rsidRDefault="00F80940" w:rsidP="00A94B4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sk-SK" w:bidi="si-LK"/>
              </w:rPr>
            </w:pPr>
            <w:r>
              <w:rPr>
                <w:rFonts w:asciiTheme="minorHAnsi" w:hAnsiTheme="minorHAnsi"/>
                <w:sz w:val="20"/>
                <w:szCs w:val="20"/>
                <w:lang w:eastAsia="sk-SK" w:bidi="si-LK"/>
              </w:rPr>
              <w:t>-</w:t>
            </w:r>
          </w:p>
        </w:tc>
        <w:tc>
          <w:tcPr>
            <w:tcW w:w="5103" w:type="dxa"/>
          </w:tcPr>
          <w:p w:rsidR="00FA347B" w:rsidRDefault="00F80940" w:rsidP="00A94B4D">
            <w:pPr>
              <w:spacing w:after="0" w:line="240" w:lineRule="auto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F80940">
              <w:rPr>
                <w:rFonts w:asciiTheme="minorHAnsi" w:hAnsiTheme="minorHAnsi" w:cs="Arial"/>
                <w:color w:val="FF0000"/>
                <w:sz w:val="20"/>
                <w:szCs w:val="20"/>
              </w:rPr>
              <w:t>Prechodné ustanovenie k §8 ods. 3</w:t>
            </w:r>
          </w:p>
          <w:p w:rsidR="00F80940" w:rsidRPr="00FA347B" w:rsidRDefault="00F80940" w:rsidP="00F80940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FF0000"/>
                <w:sz w:val="20"/>
                <w:szCs w:val="20"/>
              </w:rPr>
              <w:t>Ustanovenie § 8 ods. 3 sa vzťahuje iba na poistné zmluvy uzavreté po 1.4.2015</w:t>
            </w:r>
            <w:r w:rsidR="002934C9">
              <w:rPr>
                <w:rFonts w:asciiTheme="minorHAnsi" w:hAnsiTheme="minorHAnsi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FA347B" w:rsidRPr="00FA347B" w:rsidRDefault="00F80940" w:rsidP="00231705">
            <w:pPr>
              <w:pStyle w:val="Textkomentra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Aj keď v dôvodovej správe sa k tomuto bodu uvádza, že „Zavedenie systému </w:t>
            </w:r>
            <w:proofErr w:type="spellStart"/>
            <w:r>
              <w:rPr>
                <w:rFonts w:asciiTheme="minorHAnsi" w:hAnsiTheme="minorHAnsi" w:cs="Arial"/>
              </w:rPr>
              <w:t>bonus-malus</w:t>
            </w:r>
            <w:proofErr w:type="spellEnd"/>
            <w:r>
              <w:rPr>
                <w:rFonts w:asciiTheme="minorHAnsi" w:hAnsiTheme="minorHAnsi" w:cs="Arial"/>
              </w:rPr>
              <w:t xml:space="preserve"> sa bude vzťahovať len na </w:t>
            </w:r>
            <w:proofErr w:type="spellStart"/>
            <w:r>
              <w:rPr>
                <w:rFonts w:asciiTheme="minorHAnsi" w:hAnsiTheme="minorHAnsi" w:cs="Arial"/>
              </w:rPr>
              <w:t>novouzavreté</w:t>
            </w:r>
            <w:proofErr w:type="spellEnd"/>
            <w:r>
              <w:rPr>
                <w:rFonts w:asciiTheme="minorHAnsi" w:hAnsiTheme="minorHAnsi" w:cs="Arial"/>
              </w:rPr>
              <w:t xml:space="preserve"> poistné zmluvy v poistení zodpovednosti.“, podľa nášho názoru by tento zámer navrhovateľa mal byť premietnutý v zákone, ktorý na rozdiel od dôvodovej správy je legislatívnym dokumentom </w:t>
            </w:r>
          </w:p>
        </w:tc>
        <w:tc>
          <w:tcPr>
            <w:tcW w:w="1701" w:type="dxa"/>
          </w:tcPr>
          <w:p w:rsidR="00FA347B" w:rsidRPr="00FA347B" w:rsidRDefault="00FA347B" w:rsidP="00A94B4D">
            <w:pPr>
              <w:pStyle w:val="Odsekzoznamu"/>
              <w:ind w:left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747741" w:rsidRPr="00FA347B" w:rsidTr="00FA347B">
        <w:trPr>
          <w:cantSplit/>
          <w:trHeight w:val="1444"/>
        </w:trPr>
        <w:tc>
          <w:tcPr>
            <w:tcW w:w="1523" w:type="dxa"/>
          </w:tcPr>
          <w:p w:rsidR="00747741" w:rsidRPr="00FA347B" w:rsidRDefault="00747741" w:rsidP="006C081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sk-SK" w:bidi="si-LK"/>
              </w:rPr>
            </w:pPr>
            <w:r w:rsidRPr="00FA347B">
              <w:rPr>
                <w:rFonts w:asciiTheme="minorHAnsi" w:hAnsiTheme="minorHAnsi"/>
                <w:b/>
                <w:bCs/>
                <w:sz w:val="20"/>
                <w:szCs w:val="20"/>
                <w:lang w:eastAsia="sk-SK" w:bidi="si-LK"/>
              </w:rPr>
              <w:t>Čl. III bod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sk-SK" w:bidi="si-LK"/>
              </w:rPr>
              <w:t xml:space="preserve"> 2 (vypustenie § 9 ods. 5)</w:t>
            </w:r>
          </w:p>
        </w:tc>
        <w:tc>
          <w:tcPr>
            <w:tcW w:w="3405" w:type="dxa"/>
          </w:tcPr>
          <w:p w:rsidR="00747741" w:rsidRPr="00FA347B" w:rsidRDefault="00747741" w:rsidP="00A94B4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sk-SK" w:bidi="si-LK"/>
              </w:rPr>
            </w:pPr>
          </w:p>
        </w:tc>
        <w:tc>
          <w:tcPr>
            <w:tcW w:w="5103" w:type="dxa"/>
          </w:tcPr>
          <w:p w:rsidR="00747741" w:rsidRPr="00FA347B" w:rsidRDefault="00850C8D" w:rsidP="00A94B4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394" w:type="dxa"/>
          </w:tcPr>
          <w:p w:rsidR="00D8767B" w:rsidRDefault="00747741" w:rsidP="00747741">
            <w:pPr>
              <w:pStyle w:val="Textkomentra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 súčasnom zákone je</w:t>
            </w:r>
            <w:r w:rsidRPr="00747741">
              <w:rPr>
                <w:rFonts w:asciiTheme="minorHAnsi" w:hAnsiTheme="minorHAnsi" w:cs="Arial"/>
              </w:rPr>
              <w:t xml:space="preserve"> bariér</w:t>
            </w:r>
            <w:r>
              <w:rPr>
                <w:rFonts w:asciiTheme="minorHAnsi" w:hAnsiTheme="minorHAnsi" w:cs="Arial"/>
              </w:rPr>
              <w:t xml:space="preserve">a, aby klient nemenil poisťovňu, keď má platiť poistné. </w:t>
            </w:r>
            <w:r w:rsidRPr="00747741">
              <w:rPr>
                <w:rFonts w:asciiTheme="minorHAnsi" w:hAnsiTheme="minorHAnsi" w:cs="Arial"/>
              </w:rPr>
              <w:t>Keďže po ne</w:t>
            </w:r>
            <w:r>
              <w:rPr>
                <w:rFonts w:asciiTheme="minorHAnsi" w:hAnsiTheme="minorHAnsi" w:cs="Arial"/>
              </w:rPr>
              <w:t>za</w:t>
            </w:r>
            <w:r w:rsidRPr="00747741">
              <w:rPr>
                <w:rFonts w:asciiTheme="minorHAnsi" w:hAnsiTheme="minorHAnsi" w:cs="Arial"/>
              </w:rPr>
              <w:t xml:space="preserve">platení </w:t>
            </w:r>
            <w:r>
              <w:rPr>
                <w:rFonts w:asciiTheme="minorHAnsi" w:hAnsiTheme="minorHAnsi" w:cs="Arial"/>
              </w:rPr>
              <w:t xml:space="preserve">poistného </w:t>
            </w:r>
            <w:r w:rsidR="00993A42">
              <w:rPr>
                <w:rFonts w:asciiTheme="minorHAnsi" w:hAnsiTheme="minorHAnsi" w:cs="Arial"/>
              </w:rPr>
              <w:t xml:space="preserve">platnosť </w:t>
            </w:r>
            <w:r>
              <w:rPr>
                <w:rFonts w:asciiTheme="minorHAnsi" w:hAnsiTheme="minorHAnsi" w:cs="Arial"/>
              </w:rPr>
              <w:t>poistn</w:t>
            </w:r>
            <w:r w:rsidR="00993A42">
              <w:rPr>
                <w:rFonts w:asciiTheme="minorHAnsi" w:hAnsiTheme="minorHAnsi" w:cs="Arial"/>
              </w:rPr>
              <w:t>ej</w:t>
            </w:r>
            <w:r w:rsidRPr="00747741">
              <w:rPr>
                <w:rFonts w:asciiTheme="minorHAnsi" w:hAnsiTheme="minorHAnsi" w:cs="Arial"/>
              </w:rPr>
              <w:t xml:space="preserve"> zmluv</w:t>
            </w:r>
            <w:r w:rsidR="00993A42">
              <w:rPr>
                <w:rFonts w:asciiTheme="minorHAnsi" w:hAnsiTheme="minorHAnsi" w:cs="Arial"/>
              </w:rPr>
              <w:t>y</w:t>
            </w:r>
            <w:r w:rsidRPr="00747741">
              <w:rPr>
                <w:rFonts w:asciiTheme="minorHAnsi" w:hAnsiTheme="minorHAnsi" w:cs="Arial"/>
              </w:rPr>
              <w:t xml:space="preserve"> do </w:t>
            </w:r>
            <w:r>
              <w:rPr>
                <w:rFonts w:asciiTheme="minorHAnsi" w:hAnsiTheme="minorHAnsi" w:cs="Arial"/>
              </w:rPr>
              <w:t xml:space="preserve">1 </w:t>
            </w:r>
            <w:r w:rsidRPr="00747741">
              <w:rPr>
                <w:rFonts w:asciiTheme="minorHAnsi" w:hAnsiTheme="minorHAnsi" w:cs="Arial"/>
              </w:rPr>
              <w:t xml:space="preserve">mesiaca </w:t>
            </w:r>
            <w:r w:rsidR="00993A42">
              <w:rPr>
                <w:rFonts w:asciiTheme="minorHAnsi" w:hAnsiTheme="minorHAnsi" w:cs="Arial"/>
              </w:rPr>
              <w:t>s</w:t>
            </w:r>
            <w:r w:rsidRPr="00747741">
              <w:rPr>
                <w:rFonts w:asciiTheme="minorHAnsi" w:hAnsiTheme="minorHAnsi" w:cs="Arial"/>
              </w:rPr>
              <w:t xml:space="preserve">končí, </w:t>
            </w:r>
            <w:r w:rsidR="00993A42">
              <w:rPr>
                <w:rFonts w:asciiTheme="minorHAnsi" w:hAnsiTheme="minorHAnsi" w:cs="Arial"/>
              </w:rPr>
              <w:t>v nadväznosti na</w:t>
            </w:r>
            <w:r>
              <w:rPr>
                <w:rFonts w:asciiTheme="minorHAnsi" w:hAnsiTheme="minorHAnsi" w:cs="Arial"/>
              </w:rPr>
              <w:t xml:space="preserve"> </w:t>
            </w:r>
            <w:r w:rsidR="00993A42" w:rsidRPr="00993A42">
              <w:rPr>
                <w:rFonts w:asciiTheme="minorHAnsi" w:hAnsiTheme="minorHAnsi" w:cs="Arial"/>
              </w:rPr>
              <w:t>vypustenie § 9 ods. 5</w:t>
            </w:r>
            <w:r w:rsidR="00993A42">
              <w:rPr>
                <w:rFonts w:asciiTheme="minorHAnsi" w:hAnsiTheme="minorHAnsi" w:cs="Arial"/>
              </w:rPr>
              <w:t xml:space="preserve"> </w:t>
            </w:r>
            <w:r w:rsidRPr="00747741">
              <w:rPr>
                <w:rFonts w:asciiTheme="minorHAnsi" w:hAnsiTheme="minorHAnsi" w:cs="Arial"/>
              </w:rPr>
              <w:t xml:space="preserve">stúpne počet klientov, ktorí </w:t>
            </w:r>
            <w:r>
              <w:rPr>
                <w:rFonts w:asciiTheme="minorHAnsi" w:hAnsiTheme="minorHAnsi" w:cs="Arial"/>
              </w:rPr>
              <w:t>prejdú</w:t>
            </w:r>
            <w:r w:rsidRPr="00747741">
              <w:rPr>
                <w:rFonts w:asciiTheme="minorHAnsi" w:hAnsiTheme="minorHAnsi" w:cs="Arial"/>
              </w:rPr>
              <w:t xml:space="preserve"> z jednej poisťovne do druhej. </w:t>
            </w:r>
          </w:p>
          <w:p w:rsidR="00747741" w:rsidRDefault="00747741" w:rsidP="00747741">
            <w:pPr>
              <w:pStyle w:val="Textkomentra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</w:t>
            </w:r>
            <w:r w:rsidRPr="00747741">
              <w:rPr>
                <w:rFonts w:asciiTheme="minorHAnsi" w:hAnsiTheme="minorHAnsi" w:cs="Arial"/>
              </w:rPr>
              <w:t>lient, ktorému</w:t>
            </w:r>
            <w:r>
              <w:rPr>
                <w:rFonts w:asciiTheme="minorHAnsi" w:hAnsiTheme="minorHAnsi" w:cs="Arial"/>
              </w:rPr>
              <w:t xml:space="preserve"> poisťovňa</w:t>
            </w:r>
            <w:r w:rsidRPr="00747741">
              <w:rPr>
                <w:rFonts w:asciiTheme="minorHAnsi" w:hAnsiTheme="minorHAnsi" w:cs="Arial"/>
              </w:rPr>
              <w:t xml:space="preserve"> po </w:t>
            </w:r>
            <w:r>
              <w:rPr>
                <w:rFonts w:asciiTheme="minorHAnsi" w:hAnsiTheme="minorHAnsi" w:cs="Arial"/>
              </w:rPr>
              <w:t>poistnej udalosti</w:t>
            </w:r>
            <w:r w:rsidRPr="00747741">
              <w:rPr>
                <w:rFonts w:asciiTheme="minorHAnsi" w:hAnsiTheme="minorHAnsi" w:cs="Arial"/>
              </w:rPr>
              <w:t xml:space="preserve"> (podľa nového ustanovenia § 8/3)  navýši</w:t>
            </w:r>
            <w:r>
              <w:rPr>
                <w:rFonts w:asciiTheme="minorHAnsi" w:hAnsiTheme="minorHAnsi" w:cs="Arial"/>
              </w:rPr>
              <w:t xml:space="preserve"> poistné, je pravdepodobné, že</w:t>
            </w:r>
            <w:r w:rsidRPr="00747741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nezaplatí</w:t>
            </w:r>
            <w:r w:rsidR="00D8767B">
              <w:rPr>
                <w:rFonts w:asciiTheme="minorHAnsi" w:hAnsiTheme="minorHAnsi" w:cs="Arial"/>
              </w:rPr>
              <w:t>, zmluva o mesiac zanikne</w:t>
            </w:r>
            <w:r w:rsidRPr="00747741">
              <w:rPr>
                <w:rFonts w:asciiTheme="minorHAnsi" w:hAnsiTheme="minorHAnsi" w:cs="Arial"/>
              </w:rPr>
              <w:t xml:space="preserve"> a</w:t>
            </w:r>
            <w:r>
              <w:rPr>
                <w:rFonts w:asciiTheme="minorHAnsi" w:hAnsiTheme="minorHAnsi" w:cs="Arial"/>
              </w:rPr>
              <w:t> </w:t>
            </w:r>
            <w:r w:rsidR="00D8767B">
              <w:rPr>
                <w:rFonts w:asciiTheme="minorHAnsi" w:hAnsiTheme="minorHAnsi" w:cs="Arial"/>
              </w:rPr>
              <w:t>klient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47741">
              <w:rPr>
                <w:rFonts w:asciiTheme="minorHAnsi" w:hAnsiTheme="minorHAnsi" w:cs="Arial"/>
              </w:rPr>
              <w:t xml:space="preserve">prejde do 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47741">
              <w:rPr>
                <w:rFonts w:asciiTheme="minorHAnsi" w:hAnsiTheme="minorHAnsi" w:cs="Arial"/>
              </w:rPr>
              <w:t>konkuren</w:t>
            </w:r>
            <w:r>
              <w:rPr>
                <w:rFonts w:asciiTheme="minorHAnsi" w:hAnsiTheme="minorHAnsi" w:cs="Arial"/>
              </w:rPr>
              <w:t>čnej poisťovne</w:t>
            </w:r>
            <w:r w:rsidRPr="00747741">
              <w:rPr>
                <w:rFonts w:asciiTheme="minorHAnsi" w:hAnsiTheme="minorHAnsi" w:cs="Arial"/>
              </w:rPr>
              <w:t xml:space="preserve"> za lepš</w:t>
            </w:r>
            <w:r>
              <w:rPr>
                <w:rFonts w:asciiTheme="minorHAnsi" w:hAnsiTheme="minorHAnsi" w:cs="Arial"/>
              </w:rPr>
              <w:t>ími</w:t>
            </w:r>
            <w:r w:rsidRPr="00747741">
              <w:rPr>
                <w:rFonts w:asciiTheme="minorHAnsi" w:hAnsiTheme="minorHAnsi" w:cs="Arial"/>
              </w:rPr>
              <w:t xml:space="preserve"> podmienk</w:t>
            </w:r>
            <w:r>
              <w:rPr>
                <w:rFonts w:asciiTheme="minorHAnsi" w:hAnsiTheme="minorHAnsi" w:cs="Arial"/>
              </w:rPr>
              <w:t>ami (výška poistného)</w:t>
            </w:r>
            <w:r w:rsidRPr="00747741">
              <w:rPr>
                <w:rFonts w:asciiTheme="minorHAnsi" w:hAnsiTheme="minorHAnsi" w:cs="Arial"/>
              </w:rPr>
              <w:t xml:space="preserve">. </w:t>
            </w:r>
          </w:p>
          <w:p w:rsidR="00747741" w:rsidRPr="00FA347B" w:rsidRDefault="00747741" w:rsidP="00747741">
            <w:pPr>
              <w:pStyle w:val="Textkomentra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Podľa nášho názoru </w:t>
            </w:r>
            <w:r w:rsidRPr="00D8767B">
              <w:rPr>
                <w:rFonts w:asciiTheme="minorHAnsi" w:hAnsiTheme="minorHAnsi" w:cs="Arial"/>
                <w:u w:val="single"/>
              </w:rPr>
              <w:t>by následne mali existovať jednotné pravidlá pre získavanie bonusu pri vstupe do poistenia</w:t>
            </w:r>
          </w:p>
        </w:tc>
        <w:tc>
          <w:tcPr>
            <w:tcW w:w="1701" w:type="dxa"/>
          </w:tcPr>
          <w:p w:rsidR="00747741" w:rsidRPr="00FA347B" w:rsidRDefault="00747741" w:rsidP="00A94B4D">
            <w:pPr>
              <w:pStyle w:val="Odsekzoznamu"/>
              <w:ind w:left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A347B" w:rsidRPr="00FA347B" w:rsidTr="00FA347B">
        <w:trPr>
          <w:cantSplit/>
          <w:trHeight w:val="1444"/>
        </w:trPr>
        <w:tc>
          <w:tcPr>
            <w:tcW w:w="1523" w:type="dxa"/>
          </w:tcPr>
          <w:p w:rsidR="00FA347B" w:rsidRPr="00FA347B" w:rsidRDefault="00FA347B" w:rsidP="006C081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sk-SK" w:bidi="si-LK"/>
              </w:rPr>
            </w:pPr>
            <w:r w:rsidRPr="00FA347B">
              <w:rPr>
                <w:rFonts w:asciiTheme="minorHAnsi" w:hAnsiTheme="minorHAnsi"/>
                <w:b/>
                <w:bCs/>
                <w:sz w:val="20"/>
                <w:szCs w:val="20"/>
                <w:lang w:eastAsia="sk-SK" w:bidi="si-LK"/>
              </w:rPr>
              <w:lastRenderedPageBreak/>
              <w:t>Čl. IV</w:t>
            </w:r>
          </w:p>
          <w:p w:rsidR="00FA347B" w:rsidRPr="00FA347B" w:rsidRDefault="00FA347B" w:rsidP="006C081E">
            <w:pPr>
              <w:spacing w:before="240"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05" w:type="dxa"/>
          </w:tcPr>
          <w:p w:rsidR="00FA347B" w:rsidRPr="00FA347B" w:rsidRDefault="00FA347B" w:rsidP="00A94B4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A347B">
              <w:rPr>
                <w:rFonts w:asciiTheme="minorHAnsi" w:hAnsiTheme="minorHAnsi"/>
                <w:sz w:val="20"/>
                <w:szCs w:val="20"/>
                <w:lang w:eastAsia="sk-SK" w:bidi="si-LK"/>
              </w:rPr>
              <w:t>Tento zákon nadobúda účinnosť 1. apríla 2015 okrem čl. I § 1 až 193, § 196 až 207 a čl. II, ktoré nadobúdajú účinnosť 1. januára 2016</w:t>
            </w:r>
          </w:p>
        </w:tc>
        <w:tc>
          <w:tcPr>
            <w:tcW w:w="5103" w:type="dxa"/>
          </w:tcPr>
          <w:p w:rsidR="00FA347B" w:rsidRPr="00FA347B" w:rsidRDefault="00850C8D" w:rsidP="00A94B4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4394" w:type="dxa"/>
          </w:tcPr>
          <w:p w:rsidR="00FA347B" w:rsidRPr="00FA347B" w:rsidRDefault="00FA347B" w:rsidP="0011784F">
            <w:pPr>
              <w:pStyle w:val="Textkomentra"/>
              <w:spacing w:after="0" w:line="240" w:lineRule="auto"/>
              <w:rPr>
                <w:rFonts w:asciiTheme="minorHAnsi" w:hAnsiTheme="minorHAnsi" w:cs="Arial"/>
              </w:rPr>
            </w:pPr>
            <w:r w:rsidRPr="00FA347B">
              <w:rPr>
                <w:rFonts w:asciiTheme="minorHAnsi" w:hAnsiTheme="minorHAnsi" w:cs="Arial"/>
              </w:rPr>
              <w:t xml:space="preserve">Z tohto textu vyplýva, že medzi 1.4.2015 až 1.1.2016 budú platiť iba § 194, 195 </w:t>
            </w:r>
            <w:r w:rsidR="0011784F">
              <w:rPr>
                <w:rFonts w:asciiTheme="minorHAnsi" w:hAnsiTheme="minorHAnsi" w:cs="Arial"/>
              </w:rPr>
              <w:t>vrátane</w:t>
            </w:r>
            <w:r w:rsidRPr="00FA347B">
              <w:rPr>
                <w:rFonts w:asciiTheme="minorHAnsi" w:hAnsiTheme="minorHAnsi" w:cs="Arial"/>
              </w:rPr>
              <w:t xml:space="preserve"> zm</w:t>
            </w:r>
            <w:r w:rsidR="0011784F">
              <w:rPr>
                <w:rFonts w:asciiTheme="minorHAnsi" w:hAnsiTheme="minorHAnsi" w:cs="Arial"/>
              </w:rPr>
              <w:t>ien</w:t>
            </w:r>
            <w:r w:rsidRPr="00FA347B">
              <w:rPr>
                <w:rFonts w:asciiTheme="minorHAnsi" w:hAnsiTheme="minorHAnsi" w:cs="Arial"/>
              </w:rPr>
              <w:t xml:space="preserve"> zákona </w:t>
            </w:r>
            <w:r w:rsidR="0011784F">
              <w:rPr>
                <w:rFonts w:asciiTheme="minorHAnsi" w:hAnsiTheme="minorHAnsi" w:cs="Arial"/>
              </w:rPr>
              <w:t>381/2001 Z.z. a b</w:t>
            </w:r>
            <w:r w:rsidRPr="00FA347B">
              <w:rPr>
                <w:rFonts w:asciiTheme="minorHAnsi" w:hAnsiTheme="minorHAnsi" w:cs="Arial"/>
              </w:rPr>
              <w:t xml:space="preserve">udú existovať vedľa seba dva zákony o poisťovníctve – starý aj nový (lebo § 207 </w:t>
            </w:r>
            <w:r w:rsidR="0011784F" w:rsidRPr="00FA347B">
              <w:rPr>
                <w:rFonts w:asciiTheme="minorHAnsi" w:hAnsiTheme="minorHAnsi" w:cs="Arial"/>
              </w:rPr>
              <w:t xml:space="preserve">ruší </w:t>
            </w:r>
            <w:r w:rsidR="0011784F">
              <w:rPr>
                <w:rFonts w:asciiTheme="minorHAnsi" w:hAnsiTheme="minorHAnsi" w:cs="Arial"/>
              </w:rPr>
              <w:t>pôvodný</w:t>
            </w:r>
            <w:r w:rsidRPr="00FA347B">
              <w:rPr>
                <w:rFonts w:asciiTheme="minorHAnsi" w:hAnsiTheme="minorHAnsi" w:cs="Arial"/>
              </w:rPr>
              <w:t xml:space="preserve"> zákon</w:t>
            </w:r>
            <w:r w:rsidR="0011784F">
              <w:rPr>
                <w:rFonts w:asciiTheme="minorHAnsi" w:hAnsiTheme="minorHAnsi" w:cs="Arial"/>
              </w:rPr>
              <w:t xml:space="preserve"> až od 1.1 2016 )</w:t>
            </w:r>
          </w:p>
        </w:tc>
        <w:tc>
          <w:tcPr>
            <w:tcW w:w="1701" w:type="dxa"/>
          </w:tcPr>
          <w:p w:rsidR="00FA347B" w:rsidRPr="00FA347B" w:rsidRDefault="00FA347B" w:rsidP="00A94B4D">
            <w:pPr>
              <w:pStyle w:val="Odsekzoznamu"/>
              <w:ind w:left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:rsidR="00AD20B6" w:rsidRPr="00FA347B" w:rsidRDefault="00AD20B6" w:rsidP="00A94B4D">
      <w:pPr>
        <w:spacing w:after="0" w:line="240" w:lineRule="auto"/>
        <w:rPr>
          <w:rFonts w:asciiTheme="minorHAnsi" w:hAnsiTheme="minorHAnsi" w:cs="Arial"/>
          <w:bCs/>
          <w:sz w:val="20"/>
          <w:szCs w:val="20"/>
        </w:rPr>
      </w:pPr>
    </w:p>
    <w:p w:rsidR="00D356A7" w:rsidRPr="00FA347B" w:rsidRDefault="00D356A7" w:rsidP="00A94B4D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FA347B">
        <w:rPr>
          <w:rFonts w:asciiTheme="minorHAnsi" w:hAnsiTheme="minorHAnsi" w:cs="Arial"/>
          <w:sz w:val="20"/>
          <w:szCs w:val="20"/>
        </w:rPr>
        <w:t xml:space="preserve">Myslíme si, že ambícia zákonodarcu spojiť do jedného zákona veľmi zložité požiadavky z Direktívy  </w:t>
      </w:r>
      <w:proofErr w:type="spellStart"/>
      <w:r w:rsidRPr="00FA347B">
        <w:rPr>
          <w:rFonts w:asciiTheme="minorHAnsi" w:hAnsiTheme="minorHAnsi" w:cs="Arial"/>
          <w:sz w:val="20"/>
          <w:szCs w:val="20"/>
        </w:rPr>
        <w:t>Solvency</w:t>
      </w:r>
      <w:proofErr w:type="spellEnd"/>
      <w:r w:rsidRPr="00FA347B">
        <w:rPr>
          <w:rFonts w:asciiTheme="minorHAnsi" w:hAnsiTheme="minorHAnsi" w:cs="Arial"/>
          <w:sz w:val="20"/>
          <w:szCs w:val="20"/>
        </w:rPr>
        <w:t xml:space="preserve"> II spolu s požiadavkami na poisťovne, ktoré nespadajú do „</w:t>
      </w:r>
      <w:proofErr w:type="spellStart"/>
      <w:r w:rsidRPr="00FA347B">
        <w:rPr>
          <w:rFonts w:asciiTheme="minorHAnsi" w:hAnsiTheme="minorHAnsi" w:cs="Arial"/>
          <w:sz w:val="20"/>
          <w:szCs w:val="20"/>
        </w:rPr>
        <w:t>Scope</w:t>
      </w:r>
      <w:proofErr w:type="spellEnd"/>
      <w:r w:rsidRPr="00FA347B">
        <w:rPr>
          <w:rFonts w:asciiTheme="minorHAnsi" w:hAnsiTheme="minorHAnsi" w:cs="Arial"/>
          <w:sz w:val="20"/>
          <w:szCs w:val="20"/>
        </w:rPr>
        <w:t xml:space="preserve">“ tejto Direktívy a navyše s legislatívou ohľadne </w:t>
      </w:r>
      <w:proofErr w:type="spellStart"/>
      <w:r w:rsidRPr="00FA347B">
        <w:rPr>
          <w:rFonts w:asciiTheme="minorHAnsi" w:hAnsiTheme="minorHAnsi" w:cs="Arial"/>
          <w:sz w:val="20"/>
          <w:szCs w:val="20"/>
        </w:rPr>
        <w:t>licencovania</w:t>
      </w:r>
      <w:proofErr w:type="spellEnd"/>
      <w:r w:rsidRPr="00FA347B">
        <w:rPr>
          <w:rFonts w:asciiTheme="minorHAnsi" w:hAnsiTheme="minorHAnsi" w:cs="Arial"/>
          <w:sz w:val="20"/>
          <w:szCs w:val="20"/>
        </w:rPr>
        <w:t xml:space="preserve"> a voľného trhu atď. vedie k dokumentu, ktorý je mimoriadne neprehľadný a v mnohých oblastiach nejednoznačný. Navrhujeme zákon rozdeliť na viacero jednoduchších zákonných noriem</w:t>
      </w:r>
    </w:p>
    <w:p w:rsidR="00692C28" w:rsidRPr="00FA347B" w:rsidRDefault="00692C28" w:rsidP="00A94B4D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sectPr w:rsidR="00692C28" w:rsidRPr="00FA347B" w:rsidSect="00987CD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9B8" w:rsidRDefault="000759B8" w:rsidP="00444D81">
      <w:pPr>
        <w:spacing w:after="0" w:line="240" w:lineRule="auto"/>
      </w:pPr>
      <w:r>
        <w:separator/>
      </w:r>
    </w:p>
  </w:endnote>
  <w:endnote w:type="continuationSeparator" w:id="0">
    <w:p w:rsidR="000759B8" w:rsidRDefault="000759B8" w:rsidP="0044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9B8" w:rsidRDefault="000759B8" w:rsidP="00444D81">
      <w:pPr>
        <w:spacing w:after="0" w:line="240" w:lineRule="auto"/>
      </w:pPr>
      <w:r>
        <w:separator/>
      </w:r>
    </w:p>
  </w:footnote>
  <w:footnote w:type="continuationSeparator" w:id="0">
    <w:p w:rsidR="000759B8" w:rsidRDefault="000759B8" w:rsidP="00444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71676"/>
    <w:multiLevelType w:val="multilevel"/>
    <w:tmpl w:val="BBBC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19711E"/>
    <w:multiLevelType w:val="hybridMultilevel"/>
    <w:tmpl w:val="9232ECE4"/>
    <w:lvl w:ilvl="0" w:tplc="91E21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086957"/>
    <w:multiLevelType w:val="multilevel"/>
    <w:tmpl w:val="DA2E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8F05E3"/>
    <w:multiLevelType w:val="hybridMultilevel"/>
    <w:tmpl w:val="3708758A"/>
    <w:lvl w:ilvl="0" w:tplc="2AE0176E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A93C12"/>
    <w:multiLevelType w:val="hybridMultilevel"/>
    <w:tmpl w:val="6088C132"/>
    <w:lvl w:ilvl="0" w:tplc="041B0017">
      <w:start w:val="1"/>
      <w:numFmt w:val="lowerLetter"/>
      <w:lvlText w:val="%1)"/>
      <w:lvlJc w:val="left"/>
      <w:pPr>
        <w:tabs>
          <w:tab w:val="num" w:pos="2472"/>
        </w:tabs>
        <w:ind w:left="247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192"/>
        </w:tabs>
        <w:ind w:left="319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912"/>
        </w:tabs>
        <w:ind w:left="391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632"/>
        </w:tabs>
        <w:ind w:left="463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352"/>
        </w:tabs>
        <w:ind w:left="535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072"/>
        </w:tabs>
        <w:ind w:left="607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792"/>
        </w:tabs>
        <w:ind w:left="679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512"/>
        </w:tabs>
        <w:ind w:left="751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232"/>
        </w:tabs>
        <w:ind w:left="8232" w:hanging="180"/>
      </w:pPr>
    </w:lvl>
  </w:abstractNum>
  <w:abstractNum w:abstractNumId="5">
    <w:nsid w:val="39AD6E63"/>
    <w:multiLevelType w:val="hybridMultilevel"/>
    <w:tmpl w:val="C594320A"/>
    <w:lvl w:ilvl="0" w:tplc="A0B83F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D78AA"/>
    <w:multiLevelType w:val="hybridMultilevel"/>
    <w:tmpl w:val="DC6CD42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A044AA"/>
    <w:multiLevelType w:val="hybridMultilevel"/>
    <w:tmpl w:val="D1B6EDB2"/>
    <w:lvl w:ilvl="0" w:tplc="87347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16"/>
        <w:szCs w:val="16"/>
      </w:rPr>
    </w:lvl>
    <w:lvl w:ilvl="1" w:tplc="FFFFFFFF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776C4A"/>
    <w:multiLevelType w:val="hybridMultilevel"/>
    <w:tmpl w:val="25E88338"/>
    <w:lvl w:ilvl="0" w:tplc="78C82660">
      <w:start w:val="1"/>
      <w:numFmt w:val="decimal"/>
      <w:lvlText w:val="(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033983"/>
    <w:multiLevelType w:val="hybridMultilevel"/>
    <w:tmpl w:val="3948E4EC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5DDB6758"/>
    <w:multiLevelType w:val="hybridMultilevel"/>
    <w:tmpl w:val="11DEF5C8"/>
    <w:lvl w:ilvl="0" w:tplc="FBFA2F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92653E"/>
    <w:multiLevelType w:val="hybridMultilevel"/>
    <w:tmpl w:val="C5107856"/>
    <w:lvl w:ilvl="0" w:tplc="2DE6535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7F5FC1"/>
    <w:multiLevelType w:val="hybridMultilevel"/>
    <w:tmpl w:val="B846EFCA"/>
    <w:lvl w:ilvl="0" w:tplc="CC1CD7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2D6202"/>
    <w:multiLevelType w:val="multilevel"/>
    <w:tmpl w:val="8026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AB5CE2"/>
    <w:multiLevelType w:val="hybridMultilevel"/>
    <w:tmpl w:val="14880E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2"/>
  </w:num>
  <w:num w:numId="5">
    <w:abstractNumId w:val="11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4"/>
  </w:num>
  <w:num w:numId="12">
    <w:abstractNumId w:val="9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20B6"/>
    <w:rsid w:val="0000479B"/>
    <w:rsid w:val="000065D3"/>
    <w:rsid w:val="00010C5E"/>
    <w:rsid w:val="00030E61"/>
    <w:rsid w:val="0004267F"/>
    <w:rsid w:val="000701A6"/>
    <w:rsid w:val="000709F0"/>
    <w:rsid w:val="000748D2"/>
    <w:rsid w:val="000759B8"/>
    <w:rsid w:val="0008114A"/>
    <w:rsid w:val="0009541F"/>
    <w:rsid w:val="000D6D2E"/>
    <w:rsid w:val="000E730C"/>
    <w:rsid w:val="000F5AA7"/>
    <w:rsid w:val="00114A3A"/>
    <w:rsid w:val="0011784F"/>
    <w:rsid w:val="00120B8E"/>
    <w:rsid w:val="00127984"/>
    <w:rsid w:val="00147E35"/>
    <w:rsid w:val="00160E5D"/>
    <w:rsid w:val="0016455C"/>
    <w:rsid w:val="001724BC"/>
    <w:rsid w:val="00173B99"/>
    <w:rsid w:val="00183BF6"/>
    <w:rsid w:val="00195091"/>
    <w:rsid w:val="00195CC1"/>
    <w:rsid w:val="001A25AF"/>
    <w:rsid w:val="001A638D"/>
    <w:rsid w:val="001B03C2"/>
    <w:rsid w:val="001B1170"/>
    <w:rsid w:val="001C22AF"/>
    <w:rsid w:val="001C2915"/>
    <w:rsid w:val="001D4E94"/>
    <w:rsid w:val="001E5948"/>
    <w:rsid w:val="001F7CB3"/>
    <w:rsid w:val="0020075D"/>
    <w:rsid w:val="002126E8"/>
    <w:rsid w:val="00213E15"/>
    <w:rsid w:val="00223736"/>
    <w:rsid w:val="00231705"/>
    <w:rsid w:val="00232A45"/>
    <w:rsid w:val="0026073A"/>
    <w:rsid w:val="00261BF8"/>
    <w:rsid w:val="00267C10"/>
    <w:rsid w:val="002717D6"/>
    <w:rsid w:val="00286627"/>
    <w:rsid w:val="00287E42"/>
    <w:rsid w:val="002934C9"/>
    <w:rsid w:val="002A195E"/>
    <w:rsid w:val="002A3F55"/>
    <w:rsid w:val="002A5F56"/>
    <w:rsid w:val="002D2792"/>
    <w:rsid w:val="002D7848"/>
    <w:rsid w:val="002E2325"/>
    <w:rsid w:val="00331166"/>
    <w:rsid w:val="00345900"/>
    <w:rsid w:val="00351405"/>
    <w:rsid w:val="00370383"/>
    <w:rsid w:val="003B260A"/>
    <w:rsid w:val="003C1BCA"/>
    <w:rsid w:val="003D677F"/>
    <w:rsid w:val="003E0245"/>
    <w:rsid w:val="003E046D"/>
    <w:rsid w:val="003E66F9"/>
    <w:rsid w:val="003F190A"/>
    <w:rsid w:val="003F2C51"/>
    <w:rsid w:val="003F2DF7"/>
    <w:rsid w:val="00413D33"/>
    <w:rsid w:val="00414F25"/>
    <w:rsid w:val="00422C10"/>
    <w:rsid w:val="0044299D"/>
    <w:rsid w:val="00444D81"/>
    <w:rsid w:val="00450B07"/>
    <w:rsid w:val="0045353E"/>
    <w:rsid w:val="00456EC0"/>
    <w:rsid w:val="00461086"/>
    <w:rsid w:val="00467060"/>
    <w:rsid w:val="00470471"/>
    <w:rsid w:val="004749F8"/>
    <w:rsid w:val="00474D2A"/>
    <w:rsid w:val="00483483"/>
    <w:rsid w:val="004A0689"/>
    <w:rsid w:val="004B1A77"/>
    <w:rsid w:val="004B2996"/>
    <w:rsid w:val="004E3755"/>
    <w:rsid w:val="004E3EDD"/>
    <w:rsid w:val="004E79B5"/>
    <w:rsid w:val="004F6A57"/>
    <w:rsid w:val="0050287C"/>
    <w:rsid w:val="00510A0F"/>
    <w:rsid w:val="00513617"/>
    <w:rsid w:val="005249FA"/>
    <w:rsid w:val="0052741E"/>
    <w:rsid w:val="00542CDB"/>
    <w:rsid w:val="00543001"/>
    <w:rsid w:val="00552874"/>
    <w:rsid w:val="005749B8"/>
    <w:rsid w:val="005B48A5"/>
    <w:rsid w:val="005C5B86"/>
    <w:rsid w:val="005D1832"/>
    <w:rsid w:val="005E35FB"/>
    <w:rsid w:val="005E55FC"/>
    <w:rsid w:val="005E5C64"/>
    <w:rsid w:val="00600797"/>
    <w:rsid w:val="006070A7"/>
    <w:rsid w:val="006075BA"/>
    <w:rsid w:val="006210AA"/>
    <w:rsid w:val="00643423"/>
    <w:rsid w:val="0064447B"/>
    <w:rsid w:val="00660B29"/>
    <w:rsid w:val="00661A8D"/>
    <w:rsid w:val="00661CEC"/>
    <w:rsid w:val="00664783"/>
    <w:rsid w:val="00666B42"/>
    <w:rsid w:val="00674721"/>
    <w:rsid w:val="0069032F"/>
    <w:rsid w:val="00692C28"/>
    <w:rsid w:val="006A4CF1"/>
    <w:rsid w:val="006A5720"/>
    <w:rsid w:val="006B3D2D"/>
    <w:rsid w:val="006C081E"/>
    <w:rsid w:val="006C178D"/>
    <w:rsid w:val="006D56B2"/>
    <w:rsid w:val="006D6C21"/>
    <w:rsid w:val="006E3744"/>
    <w:rsid w:val="006F4035"/>
    <w:rsid w:val="00701EEA"/>
    <w:rsid w:val="007021CF"/>
    <w:rsid w:val="007049B6"/>
    <w:rsid w:val="00711B7F"/>
    <w:rsid w:val="007209F3"/>
    <w:rsid w:val="0072260B"/>
    <w:rsid w:val="00745DD0"/>
    <w:rsid w:val="00747741"/>
    <w:rsid w:val="007653B6"/>
    <w:rsid w:val="00766466"/>
    <w:rsid w:val="007673E3"/>
    <w:rsid w:val="007733D9"/>
    <w:rsid w:val="007851E0"/>
    <w:rsid w:val="0079031E"/>
    <w:rsid w:val="007907B4"/>
    <w:rsid w:val="007959FD"/>
    <w:rsid w:val="007965F8"/>
    <w:rsid w:val="007A00F8"/>
    <w:rsid w:val="007A19EA"/>
    <w:rsid w:val="007C0913"/>
    <w:rsid w:val="007C25BC"/>
    <w:rsid w:val="007C52DF"/>
    <w:rsid w:val="007D665A"/>
    <w:rsid w:val="008307E6"/>
    <w:rsid w:val="00834A64"/>
    <w:rsid w:val="00835413"/>
    <w:rsid w:val="00837C14"/>
    <w:rsid w:val="00840619"/>
    <w:rsid w:val="00850C8D"/>
    <w:rsid w:val="008A1F56"/>
    <w:rsid w:val="008B227E"/>
    <w:rsid w:val="008B7B64"/>
    <w:rsid w:val="008C26C6"/>
    <w:rsid w:val="008C4E85"/>
    <w:rsid w:val="008E466C"/>
    <w:rsid w:val="008F2C9D"/>
    <w:rsid w:val="008F7626"/>
    <w:rsid w:val="009012B6"/>
    <w:rsid w:val="009046DD"/>
    <w:rsid w:val="0093314E"/>
    <w:rsid w:val="00934C57"/>
    <w:rsid w:val="009373AC"/>
    <w:rsid w:val="00945B8E"/>
    <w:rsid w:val="00947664"/>
    <w:rsid w:val="00947823"/>
    <w:rsid w:val="00951F3B"/>
    <w:rsid w:val="0095571D"/>
    <w:rsid w:val="00960701"/>
    <w:rsid w:val="0097679B"/>
    <w:rsid w:val="00987CD1"/>
    <w:rsid w:val="00993A42"/>
    <w:rsid w:val="0099589B"/>
    <w:rsid w:val="009B7B4C"/>
    <w:rsid w:val="009C49DB"/>
    <w:rsid w:val="009D13FA"/>
    <w:rsid w:val="009E409C"/>
    <w:rsid w:val="009F0EFC"/>
    <w:rsid w:val="009F11B9"/>
    <w:rsid w:val="009F51D4"/>
    <w:rsid w:val="00A129DD"/>
    <w:rsid w:val="00A33E9A"/>
    <w:rsid w:val="00A36315"/>
    <w:rsid w:val="00A4027F"/>
    <w:rsid w:val="00A5668D"/>
    <w:rsid w:val="00A63633"/>
    <w:rsid w:val="00A706DA"/>
    <w:rsid w:val="00A70E8B"/>
    <w:rsid w:val="00A71ACC"/>
    <w:rsid w:val="00A72A80"/>
    <w:rsid w:val="00A75DAE"/>
    <w:rsid w:val="00A817F5"/>
    <w:rsid w:val="00A94B4D"/>
    <w:rsid w:val="00AA5AA6"/>
    <w:rsid w:val="00AB736A"/>
    <w:rsid w:val="00AB7480"/>
    <w:rsid w:val="00AC0FD6"/>
    <w:rsid w:val="00AC48E9"/>
    <w:rsid w:val="00AC7364"/>
    <w:rsid w:val="00AD20B6"/>
    <w:rsid w:val="00AE464F"/>
    <w:rsid w:val="00AF2618"/>
    <w:rsid w:val="00B01ED8"/>
    <w:rsid w:val="00B32917"/>
    <w:rsid w:val="00B35D8F"/>
    <w:rsid w:val="00B51B1C"/>
    <w:rsid w:val="00B5583C"/>
    <w:rsid w:val="00B55A8D"/>
    <w:rsid w:val="00B60F60"/>
    <w:rsid w:val="00B63B8D"/>
    <w:rsid w:val="00B6655E"/>
    <w:rsid w:val="00B764C4"/>
    <w:rsid w:val="00B76632"/>
    <w:rsid w:val="00B93DF0"/>
    <w:rsid w:val="00BB4B77"/>
    <w:rsid w:val="00BE56FD"/>
    <w:rsid w:val="00C37609"/>
    <w:rsid w:val="00C417EC"/>
    <w:rsid w:val="00C469A9"/>
    <w:rsid w:val="00C50B3D"/>
    <w:rsid w:val="00C55AFB"/>
    <w:rsid w:val="00C55BB5"/>
    <w:rsid w:val="00C5738B"/>
    <w:rsid w:val="00C75FA9"/>
    <w:rsid w:val="00C85C08"/>
    <w:rsid w:val="00CA3124"/>
    <w:rsid w:val="00CC52E3"/>
    <w:rsid w:val="00CC7888"/>
    <w:rsid w:val="00D05210"/>
    <w:rsid w:val="00D214E4"/>
    <w:rsid w:val="00D35167"/>
    <w:rsid w:val="00D356A7"/>
    <w:rsid w:val="00D47A5F"/>
    <w:rsid w:val="00D527BF"/>
    <w:rsid w:val="00D538E2"/>
    <w:rsid w:val="00D5394A"/>
    <w:rsid w:val="00D539BD"/>
    <w:rsid w:val="00D54E94"/>
    <w:rsid w:val="00D70236"/>
    <w:rsid w:val="00D7084C"/>
    <w:rsid w:val="00D867F2"/>
    <w:rsid w:val="00D8767B"/>
    <w:rsid w:val="00D91EB7"/>
    <w:rsid w:val="00D97D14"/>
    <w:rsid w:val="00DA3572"/>
    <w:rsid w:val="00DA403C"/>
    <w:rsid w:val="00DB0F88"/>
    <w:rsid w:val="00DB13F6"/>
    <w:rsid w:val="00DC36AA"/>
    <w:rsid w:val="00DE7825"/>
    <w:rsid w:val="00E0603E"/>
    <w:rsid w:val="00E06175"/>
    <w:rsid w:val="00E46541"/>
    <w:rsid w:val="00E71903"/>
    <w:rsid w:val="00E75033"/>
    <w:rsid w:val="00E9016F"/>
    <w:rsid w:val="00EA433C"/>
    <w:rsid w:val="00EB58F6"/>
    <w:rsid w:val="00EB6935"/>
    <w:rsid w:val="00ED4260"/>
    <w:rsid w:val="00F01C50"/>
    <w:rsid w:val="00F01E32"/>
    <w:rsid w:val="00F0555C"/>
    <w:rsid w:val="00F411DC"/>
    <w:rsid w:val="00F5399C"/>
    <w:rsid w:val="00F57EFE"/>
    <w:rsid w:val="00F67B6F"/>
    <w:rsid w:val="00F80940"/>
    <w:rsid w:val="00FA347B"/>
    <w:rsid w:val="00FA3F62"/>
    <w:rsid w:val="00FB1710"/>
    <w:rsid w:val="00FD22B3"/>
    <w:rsid w:val="00FF0298"/>
    <w:rsid w:val="00FF3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0B6"/>
    <w:rPr>
      <w:rFonts w:ascii="Calibri" w:eastAsia="Calibri" w:hAnsi="Calibri" w:cs="Times New Roman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AD20B6"/>
    <w:pPr>
      <w:spacing w:after="0" w:line="240" w:lineRule="auto"/>
      <w:ind w:left="720"/>
    </w:pPr>
    <w:rPr>
      <w:rFonts w:cs="Calibri"/>
      <w:lang w:bidi="si-LK"/>
    </w:rPr>
  </w:style>
  <w:style w:type="paragraph" w:styleId="Textkomentra">
    <w:name w:val="annotation text"/>
    <w:basedOn w:val="Normlny"/>
    <w:link w:val="TextkomentraChar"/>
    <w:semiHidden/>
    <w:rsid w:val="00AD20B6"/>
    <w:rPr>
      <w:rFonts w:eastAsia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AD20B6"/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Default">
    <w:name w:val="Default"/>
    <w:rsid w:val="00AD20B6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paragraph" w:customStyle="1" w:styleId="Normlnywebov8">
    <w:name w:val="Normálny (webový)8"/>
    <w:basedOn w:val="Normlny"/>
    <w:rsid w:val="00AD20B6"/>
    <w:pPr>
      <w:spacing w:before="75" w:after="75" w:line="240" w:lineRule="auto"/>
      <w:ind w:left="225" w:right="225"/>
    </w:pPr>
    <w:rPr>
      <w:rFonts w:ascii="Times New Roman" w:eastAsia="Times New Roman" w:hAnsi="Times New Roman"/>
      <w:lang w:eastAsia="sk-SK"/>
    </w:rPr>
  </w:style>
  <w:style w:type="character" w:styleId="Odkaznakomentr">
    <w:name w:val="annotation reference"/>
    <w:semiHidden/>
    <w:rsid w:val="00267C10"/>
    <w:rPr>
      <w:rFonts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C10"/>
    <w:rPr>
      <w:rFonts w:ascii="Tahoma" w:eastAsia="Calibri" w:hAnsi="Tahoma" w:cs="Tahoma"/>
      <w:sz w:val="16"/>
      <w:szCs w:val="16"/>
      <w:lang w:eastAsia="en-US"/>
    </w:rPr>
  </w:style>
  <w:style w:type="paragraph" w:styleId="Textkoncovejpoznmky">
    <w:name w:val="endnote text"/>
    <w:basedOn w:val="Normlny"/>
    <w:link w:val="TextkoncovejpoznmkyChar"/>
    <w:semiHidden/>
    <w:rsid w:val="00444D8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koncovejpoznmkyChar">
    <w:name w:val="Text koncovej poznámky Char"/>
    <w:basedOn w:val="Predvolenpsmoodseku"/>
    <w:link w:val="Textkoncovejpoznmky"/>
    <w:semiHidden/>
    <w:rsid w:val="00444D8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ncovpoznmku">
    <w:name w:val="endnote reference"/>
    <w:basedOn w:val="Predvolenpsmoodseku"/>
    <w:semiHidden/>
    <w:rsid w:val="00444D81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660B2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60B2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660B29"/>
    <w:rPr>
      <w:vertAlign w:val="superscript"/>
    </w:rPr>
  </w:style>
  <w:style w:type="paragraph" w:styleId="Hlavika">
    <w:name w:val="header"/>
    <w:basedOn w:val="Normlny"/>
    <w:link w:val="HlavikaChar"/>
    <w:unhideWhenUsed/>
    <w:rsid w:val="00FD2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D22B3"/>
    <w:rPr>
      <w:rFonts w:ascii="Calibri" w:eastAsia="Calibri" w:hAnsi="Calibri" w:cs="Times New Roman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FD2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FD22B3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0B6"/>
    <w:rPr>
      <w:rFonts w:ascii="Calibri" w:eastAsia="Calibri" w:hAnsi="Calibri" w:cs="Times New Roman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AD20B6"/>
    <w:pPr>
      <w:spacing w:after="0" w:line="240" w:lineRule="auto"/>
      <w:ind w:left="720"/>
    </w:pPr>
    <w:rPr>
      <w:rFonts w:cs="Calibri"/>
      <w:lang w:bidi="si-LK"/>
    </w:rPr>
  </w:style>
  <w:style w:type="paragraph" w:styleId="Textkomentra">
    <w:name w:val="annotation text"/>
    <w:basedOn w:val="Normlny"/>
    <w:link w:val="TextkomentraChar"/>
    <w:semiHidden/>
    <w:rsid w:val="00AD20B6"/>
    <w:rPr>
      <w:rFonts w:eastAsia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AD20B6"/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Default">
    <w:name w:val="Default"/>
    <w:rsid w:val="00AD20B6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paragraph" w:customStyle="1" w:styleId="Normlnywebov8">
    <w:name w:val="Normálny (webový)8"/>
    <w:basedOn w:val="Normlny"/>
    <w:rsid w:val="00AD20B6"/>
    <w:pPr>
      <w:spacing w:before="75" w:after="75" w:line="240" w:lineRule="auto"/>
      <w:ind w:left="225" w:right="225"/>
    </w:pPr>
    <w:rPr>
      <w:rFonts w:ascii="Times New Roman" w:eastAsia="Times New Roman" w:hAnsi="Times New Roman"/>
      <w:lang w:eastAsia="sk-SK"/>
    </w:rPr>
  </w:style>
  <w:style w:type="character" w:styleId="Odkaznakomentr">
    <w:name w:val="annotation reference"/>
    <w:semiHidden/>
    <w:rsid w:val="00267C10"/>
    <w:rPr>
      <w:rFonts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C10"/>
    <w:rPr>
      <w:rFonts w:ascii="Tahoma" w:eastAsia="Calibri" w:hAnsi="Tahoma" w:cs="Tahoma"/>
      <w:sz w:val="16"/>
      <w:szCs w:val="16"/>
      <w:lang w:eastAsia="en-US"/>
    </w:rPr>
  </w:style>
  <w:style w:type="paragraph" w:styleId="Textvysvetlivky">
    <w:name w:val="endnote text"/>
    <w:basedOn w:val="Normlny"/>
    <w:link w:val="TextvysvetlivkyChar"/>
    <w:semiHidden/>
    <w:rsid w:val="00444D8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444D8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semiHidden/>
    <w:rsid w:val="00444D81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660B2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60B2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660B29"/>
    <w:rPr>
      <w:vertAlign w:val="superscript"/>
    </w:rPr>
  </w:style>
  <w:style w:type="paragraph" w:styleId="Hlavika">
    <w:name w:val="header"/>
    <w:basedOn w:val="Normlny"/>
    <w:link w:val="HlavikaChar"/>
    <w:unhideWhenUsed/>
    <w:rsid w:val="00FD2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D22B3"/>
    <w:rPr>
      <w:rFonts w:ascii="Calibri" w:eastAsia="Calibri" w:hAnsi="Calibri" w:cs="Times New Roman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FD2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FD22B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A25D8-833D-47A0-85F9-9CED834E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Kaňka Peter, JUDr.</dc:creator>
  <cp:lastModifiedBy>lehotska</cp:lastModifiedBy>
  <cp:revision>2</cp:revision>
  <cp:lastPrinted>2014-05-29T10:38:00Z</cp:lastPrinted>
  <dcterms:created xsi:type="dcterms:W3CDTF">2014-09-16T13:34:00Z</dcterms:created>
  <dcterms:modified xsi:type="dcterms:W3CDTF">2014-09-16T13:34:00Z</dcterms:modified>
</cp:coreProperties>
</file>