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42" w:rsidRDefault="00903D42" w:rsidP="00903D42">
      <w:pPr>
        <w:rPr>
          <w:b/>
          <w:bCs/>
          <w:color w:val="1F497D"/>
        </w:rPr>
      </w:pPr>
      <w:r>
        <w:rPr>
          <w:b/>
          <w:bCs/>
          <w:color w:val="1F497D"/>
        </w:rPr>
        <w:t>Čo by malo obsahovať vinkulačné tlačivo</w:t>
      </w:r>
    </w:p>
    <w:p w:rsidR="00903D42" w:rsidRDefault="00903D42" w:rsidP="00903D42">
      <w:pPr>
        <w:rPr>
          <w:color w:val="1F497D"/>
        </w:rPr>
      </w:pPr>
    </w:p>
    <w:p w:rsidR="00903D42" w:rsidRDefault="00903D42" w:rsidP="00903D42">
      <w:pPr>
        <w:rPr>
          <w:color w:val="1F497D"/>
        </w:rPr>
      </w:pPr>
      <w:r>
        <w:rPr>
          <w:color w:val="1F497D"/>
        </w:rPr>
        <w:t>- identifikačné údaje klienta (poistníka), veriteľa a poisťovne</w:t>
      </w:r>
    </w:p>
    <w:p w:rsidR="00903D42" w:rsidRDefault="00903D42" w:rsidP="00903D42">
      <w:pPr>
        <w:rPr>
          <w:color w:val="1F497D"/>
        </w:rPr>
      </w:pPr>
      <w:r>
        <w:rPr>
          <w:color w:val="1F497D"/>
        </w:rPr>
        <w:t xml:space="preserve">- identifikácia predmetu vinkulácie </w:t>
      </w:r>
    </w:p>
    <w:p w:rsidR="00903D42" w:rsidRDefault="00903D42" w:rsidP="00903D42">
      <w:pPr>
        <w:rPr>
          <w:color w:val="1F497D"/>
        </w:rPr>
      </w:pPr>
      <w:r>
        <w:rPr>
          <w:color w:val="1F497D"/>
        </w:rPr>
        <w:t>- základné informácie o poistnej zmluve - číslo poistnej zmluvy, typ poistenia, výška poistnej sumy, výška spoluúčasti</w:t>
      </w:r>
    </w:p>
    <w:p w:rsidR="00903D42" w:rsidRDefault="00903D42" w:rsidP="00903D42">
      <w:pPr>
        <w:rPr>
          <w:color w:val="1F497D"/>
        </w:rPr>
      </w:pPr>
      <w:r>
        <w:rPr>
          <w:color w:val="1F497D"/>
        </w:rPr>
        <w:t>- číslo úverovej  zmluvy, doba splácania úveru, výška poskytnutého úveru</w:t>
      </w:r>
    </w:p>
    <w:p w:rsidR="00903D42" w:rsidRDefault="00903D42" w:rsidP="00903D42">
      <w:pPr>
        <w:rPr>
          <w:color w:val="1F497D"/>
        </w:rPr>
      </w:pPr>
      <w:r>
        <w:rPr>
          <w:color w:val="1F497D"/>
        </w:rPr>
        <w:t>- vinkulovaná suma, číslo vinkulácie</w:t>
      </w:r>
    </w:p>
    <w:p w:rsidR="00903D42" w:rsidRDefault="00903D42" w:rsidP="00903D42">
      <w:pPr>
        <w:rPr>
          <w:color w:val="1F497D"/>
        </w:rPr>
      </w:pPr>
      <w:r>
        <w:rPr>
          <w:color w:val="1F497D"/>
        </w:rPr>
        <w:t xml:space="preserve">- spôsob komunikácie medzi poisťovňou a bankou </w:t>
      </w:r>
    </w:p>
    <w:p w:rsidR="000569B7" w:rsidRDefault="000569B7" w:rsidP="00903D42">
      <w:pPr>
        <w:rPr>
          <w:color w:val="1F497D"/>
        </w:rPr>
      </w:pPr>
    </w:p>
    <w:p w:rsidR="000569B7" w:rsidRDefault="000569B7" w:rsidP="000569B7">
      <w:pPr>
        <w:rPr>
          <w:color w:val="1F497D"/>
        </w:rPr>
      </w:pPr>
      <w:r w:rsidRPr="000569B7">
        <w:rPr>
          <w:b/>
          <w:color w:val="1F497D"/>
        </w:rPr>
        <w:t>Údaje, ktoré môžeme bankám poskytovať</w:t>
      </w:r>
      <w:r>
        <w:rPr>
          <w:color w:val="1F497D"/>
        </w:rPr>
        <w:t xml:space="preserve"> (s tým, že musia byť naprogramované):</w:t>
      </w:r>
    </w:p>
    <w:p w:rsidR="000569B7" w:rsidRDefault="000569B7" w:rsidP="000569B7">
      <w:pPr>
        <w:rPr>
          <w:color w:val="1F497D"/>
        </w:rPr>
      </w:pPr>
    </w:p>
    <w:p w:rsidR="000569B7" w:rsidRDefault="000569B7" w:rsidP="000569B7">
      <w:pPr>
        <w:rPr>
          <w:color w:val="1F497D"/>
        </w:rPr>
      </w:pPr>
      <w:r>
        <w:rPr>
          <w:color w:val="1F497D"/>
        </w:rPr>
        <w:t>- neuhrádzanie následného poistného v dohodnutej výške a čase, súbežne so zaslaním výzvy na zaplatenie poistného</w:t>
      </w:r>
    </w:p>
    <w:p w:rsidR="000569B7" w:rsidRDefault="000569B7" w:rsidP="000569B7">
      <w:pPr>
        <w:rPr>
          <w:color w:val="1F497D"/>
        </w:rPr>
      </w:pPr>
      <w:r>
        <w:rPr>
          <w:color w:val="1F497D"/>
        </w:rPr>
        <w:t>- poukázanie platby poistného plnenia v prospech banky</w:t>
      </w:r>
    </w:p>
    <w:p w:rsidR="000569B7" w:rsidRDefault="000569B7" w:rsidP="000569B7">
      <w:pPr>
        <w:rPr>
          <w:color w:val="1F497D"/>
        </w:rPr>
      </w:pPr>
      <w:r>
        <w:rPr>
          <w:color w:val="1F497D"/>
        </w:rPr>
        <w:t>- zmeny poistnej zmluvy – zníženie rozsahu poistného krytia, zníženie poistnej sumy, zvýšenie spoluúčasti na poistnom plnení</w:t>
      </w:r>
    </w:p>
    <w:p w:rsidR="000569B7" w:rsidRDefault="000569B7" w:rsidP="000569B7">
      <w:pPr>
        <w:rPr>
          <w:color w:val="1F497D"/>
        </w:rPr>
      </w:pPr>
      <w:r>
        <w:rPr>
          <w:color w:val="1F497D"/>
        </w:rPr>
        <w:t xml:space="preserve">- zánik poistnej zmluvy do 5 pracovných dní odo dňa jej zániku </w:t>
      </w:r>
    </w:p>
    <w:p w:rsidR="000569B7" w:rsidRDefault="000569B7" w:rsidP="000569B7">
      <w:pPr>
        <w:rPr>
          <w:color w:val="1F497D"/>
        </w:rPr>
      </w:pPr>
    </w:p>
    <w:p w:rsidR="000569B7" w:rsidRDefault="000569B7" w:rsidP="000569B7">
      <w:pPr>
        <w:rPr>
          <w:color w:val="1F497D"/>
        </w:rPr>
      </w:pPr>
      <w:r>
        <w:rPr>
          <w:color w:val="1F497D"/>
        </w:rPr>
        <w:t xml:space="preserve">Informovanie o skutočnosti, ktorá mala alebo má za následok zánik PZ (čl. V písm. d) osobitnej formulárovej dohody), je podľa nášho názoru komplikovanejšie, keďže by sme museli monitorovať takéto oznámenia a sledovať, či PZ skutočne zanikla (napr. z dôvodu </w:t>
      </w:r>
      <w:proofErr w:type="spellStart"/>
      <w:r>
        <w:rPr>
          <w:color w:val="1F497D"/>
        </w:rPr>
        <w:t>späťvzatia</w:t>
      </w:r>
      <w:proofErr w:type="spellEnd"/>
      <w:r>
        <w:rPr>
          <w:color w:val="1F497D"/>
        </w:rPr>
        <w:t xml:space="preserve"> výpovede klienta) a toto následne oznamovať banke, t.j. v niektorých prípadoch by sme oznamovali dvakrát. 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D42"/>
    <w:rsid w:val="000569B7"/>
    <w:rsid w:val="001837FA"/>
    <w:rsid w:val="00242AF0"/>
    <w:rsid w:val="005C3637"/>
    <w:rsid w:val="00827E2A"/>
    <w:rsid w:val="008E6EF9"/>
    <w:rsid w:val="00903D42"/>
    <w:rsid w:val="009425F9"/>
    <w:rsid w:val="00AA0245"/>
    <w:rsid w:val="00BB7785"/>
    <w:rsid w:val="00BE2C1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3D42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2013-07-01T13:13:00Z</dcterms:created>
  <dcterms:modified xsi:type="dcterms:W3CDTF">2013-07-04T11:08:00Z</dcterms:modified>
</cp:coreProperties>
</file>