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7ED" w:rsidRDefault="003E47ED" w:rsidP="003E47ED">
      <w:pPr>
        <w:rPr>
          <w:rFonts w:ascii="Arial" w:hAnsi="Arial" w:cs="Arial"/>
          <w:color w:val="1F497D"/>
          <w:sz w:val="20"/>
          <w:szCs w:val="20"/>
        </w:rPr>
      </w:pPr>
      <w:r>
        <w:rPr>
          <w:rFonts w:ascii="Arial" w:hAnsi="Arial" w:cs="Arial"/>
          <w:color w:val="1F497D"/>
          <w:sz w:val="20"/>
          <w:szCs w:val="20"/>
        </w:rPr>
        <w:t xml:space="preserve">Bod 2 návrhu zákona: zmena odkazu 1) – je tam odkaz na OZ – predpokladám, že vďaka tomuto odkazu sa nám sťaží argumentácia ohľadne možnosti „výkladu“ ustanovení Občianskeho zákonníka zo strany NBS (napr. pri čelných sklách sme argumentovali, že NBS nie je oprávnená vykladať ustanovenia OZ, týmto odkazom sa naša argumentácia oslabí, pretože NBS získa oprávnenie dávať stanoviská aj k jednotlivým ustanoveniam OZ týkajúcim sa napr. aj náhrady škody, keďže je to súčasťou PZP); podľa tohto bude mať NBS v podstate oprávnenie vykladať aj ustanovenia o neprijateľných zmluvných podmienkach z OZ (cez </w:t>
      </w:r>
      <w:proofErr w:type="spellStart"/>
      <w:r>
        <w:rPr>
          <w:rFonts w:ascii="Arial" w:hAnsi="Arial" w:cs="Arial"/>
          <w:color w:val="1F497D"/>
          <w:sz w:val="20"/>
          <w:szCs w:val="20"/>
        </w:rPr>
        <w:t>ust</w:t>
      </w:r>
      <w:proofErr w:type="spellEnd"/>
      <w:r>
        <w:rPr>
          <w:rFonts w:ascii="Arial" w:hAnsi="Arial" w:cs="Arial"/>
          <w:color w:val="1F497D"/>
          <w:sz w:val="20"/>
          <w:szCs w:val="20"/>
        </w:rPr>
        <w:t xml:space="preserve">. § 2 ods. 9 </w:t>
      </w:r>
      <w:proofErr w:type="spellStart"/>
      <w:r>
        <w:rPr>
          <w:rFonts w:ascii="Arial" w:hAnsi="Arial" w:cs="Arial"/>
          <w:color w:val="1F497D"/>
          <w:sz w:val="20"/>
          <w:szCs w:val="20"/>
        </w:rPr>
        <w:t>z.č</w:t>
      </w:r>
      <w:proofErr w:type="spellEnd"/>
      <w:r>
        <w:rPr>
          <w:rFonts w:ascii="Arial" w:hAnsi="Arial" w:cs="Arial"/>
          <w:color w:val="1F497D"/>
          <w:sz w:val="20"/>
          <w:szCs w:val="20"/>
        </w:rPr>
        <w:t xml:space="preserve">. 747/2004 </w:t>
      </w:r>
      <w:proofErr w:type="spellStart"/>
      <w:r>
        <w:rPr>
          <w:rFonts w:ascii="Arial" w:hAnsi="Arial" w:cs="Arial"/>
          <w:color w:val="1F497D"/>
          <w:sz w:val="20"/>
          <w:szCs w:val="20"/>
        </w:rPr>
        <w:t>Z.z</w:t>
      </w:r>
      <w:proofErr w:type="spellEnd"/>
      <w:r>
        <w:rPr>
          <w:rFonts w:ascii="Arial" w:hAnsi="Arial" w:cs="Arial"/>
          <w:color w:val="1F497D"/>
          <w:sz w:val="20"/>
          <w:szCs w:val="20"/>
        </w:rPr>
        <w:t>.)</w:t>
      </w:r>
    </w:p>
    <w:p w:rsidR="003E47ED" w:rsidRDefault="003E47ED" w:rsidP="003E47ED">
      <w:pPr>
        <w:rPr>
          <w:rFonts w:ascii="Arial" w:hAnsi="Arial" w:cs="Arial"/>
          <w:color w:val="1F497D"/>
          <w:sz w:val="20"/>
          <w:szCs w:val="20"/>
        </w:rPr>
      </w:pPr>
    </w:p>
    <w:p w:rsidR="003E47ED" w:rsidRDefault="003E47ED" w:rsidP="003E47ED">
      <w:pPr>
        <w:rPr>
          <w:rFonts w:ascii="Arial" w:hAnsi="Arial" w:cs="Arial"/>
          <w:b/>
          <w:bCs/>
          <w:color w:val="1F497D"/>
          <w:sz w:val="20"/>
          <w:szCs w:val="20"/>
        </w:rPr>
      </w:pPr>
      <w:r>
        <w:rPr>
          <w:rFonts w:ascii="Arial" w:hAnsi="Arial" w:cs="Arial"/>
          <w:color w:val="1F497D"/>
          <w:sz w:val="20"/>
          <w:szCs w:val="20"/>
        </w:rPr>
        <w:t xml:space="preserve">Bod 3 – zo znenia „vykonáva ochranu finančného spotrebiteľa vrátane vybavovania podaní finančných spotrebiteľov </w:t>
      </w:r>
      <w:r>
        <w:rPr>
          <w:rFonts w:ascii="Arial" w:hAnsi="Arial" w:cs="Arial"/>
          <w:b/>
          <w:bCs/>
          <w:color w:val="1F497D"/>
          <w:sz w:val="20"/>
          <w:szCs w:val="20"/>
        </w:rPr>
        <w:t>a iných klientov</w:t>
      </w:r>
      <w:r>
        <w:rPr>
          <w:rFonts w:ascii="Arial" w:hAnsi="Arial" w:cs="Arial"/>
          <w:color w:val="1F497D"/>
          <w:sz w:val="20"/>
          <w:szCs w:val="20"/>
        </w:rPr>
        <w:t xml:space="preserve">“ sa zdá, že pod ochranu finančného spotrebiteľa patria aj vybavovanie podaní iných klientov, ktorí nie sú finančnými spotrebiteľmi, otázkou je, </w:t>
      </w:r>
      <w:r>
        <w:rPr>
          <w:rFonts w:ascii="Arial" w:hAnsi="Arial" w:cs="Arial"/>
          <w:b/>
          <w:bCs/>
          <w:color w:val="1F497D"/>
          <w:sz w:val="20"/>
          <w:szCs w:val="20"/>
        </w:rPr>
        <w:t>z akého dôvodu by sa podania iných klientov ako finančných spotrebiteľov mali tiež považovať za ochranu finančného spotrebiteľa</w:t>
      </w:r>
    </w:p>
    <w:p w:rsidR="003E47ED" w:rsidRDefault="003E47ED" w:rsidP="003E47ED">
      <w:pPr>
        <w:rPr>
          <w:rFonts w:ascii="Arial" w:hAnsi="Arial" w:cs="Arial"/>
          <w:color w:val="1F497D"/>
          <w:sz w:val="20"/>
          <w:szCs w:val="20"/>
        </w:rPr>
      </w:pPr>
    </w:p>
    <w:p w:rsidR="003E47ED" w:rsidRDefault="003E47ED" w:rsidP="003E47ED">
      <w:pPr>
        <w:rPr>
          <w:rFonts w:ascii="Arial" w:hAnsi="Arial" w:cs="Arial"/>
          <w:color w:val="1F497D"/>
          <w:sz w:val="20"/>
          <w:szCs w:val="20"/>
        </w:rPr>
      </w:pPr>
      <w:r>
        <w:rPr>
          <w:rFonts w:ascii="Arial" w:hAnsi="Arial" w:cs="Arial"/>
          <w:color w:val="1F497D"/>
          <w:sz w:val="20"/>
          <w:szCs w:val="20"/>
        </w:rPr>
        <w:t>Bod 5 – veta po doplnení by znela takto: Dohľadom na mieste je získavanie informácií a podkladov o skutočnostiach, ktoré sa týkajú dohliadaného subjektu a jeho činnosti, finančných spotrebiteľov alebo iných osôb, ktorých postavenie, obchody alebo iná činnosť súvisí s dohliadaným subjektom, spravidla priamo u dohliadaného subjektu .... – zaradenie „finančných spotrebiteľov“ týmto spôsobom nemá logiku; ak bude v </w:t>
      </w:r>
      <w:proofErr w:type="spellStart"/>
      <w:r>
        <w:rPr>
          <w:rFonts w:ascii="Arial" w:hAnsi="Arial" w:cs="Arial"/>
          <w:color w:val="1F497D"/>
          <w:sz w:val="20"/>
          <w:szCs w:val="20"/>
        </w:rPr>
        <w:t>ust</w:t>
      </w:r>
      <w:proofErr w:type="spellEnd"/>
      <w:r>
        <w:rPr>
          <w:rFonts w:ascii="Arial" w:hAnsi="Arial" w:cs="Arial"/>
          <w:color w:val="1F497D"/>
          <w:sz w:val="20"/>
          <w:szCs w:val="20"/>
        </w:rPr>
        <w:t>. § 1 ods. 2 zadefinované, že dohľad nad finančným trhom ... vrátane ochrany finančných spotrebiteľov vykonáva NBS ....., je táto navrhovaná úprava nadbytočná a aj zmätočná; predmetom dohľadu predsa nemá byť získavanie informácií o finančných spotrebiteľoch ako takých, ale o tom, či v rámci svojej činnosti dohliadaný subjekt neporušil práva finančných spotrebiteľov, resp. či dodržiava predpisy na ochranu spotrebiteľov; v tom prípade stačí aj pôvodné znenie týchto ustanovení bez doplnenia slovného spojenia „finančných spotrebiteľov“</w:t>
      </w:r>
    </w:p>
    <w:p w:rsidR="003E47ED" w:rsidRDefault="003E47ED" w:rsidP="003E47ED">
      <w:pPr>
        <w:rPr>
          <w:rFonts w:ascii="Arial" w:hAnsi="Arial" w:cs="Arial"/>
          <w:color w:val="1F497D"/>
          <w:sz w:val="20"/>
          <w:szCs w:val="20"/>
        </w:rPr>
      </w:pPr>
    </w:p>
    <w:p w:rsidR="003E47ED" w:rsidRDefault="003E47ED" w:rsidP="003E47ED">
      <w:pPr>
        <w:rPr>
          <w:rFonts w:ascii="Arial" w:hAnsi="Arial" w:cs="Arial"/>
          <w:color w:val="1F497D"/>
          <w:sz w:val="20"/>
          <w:szCs w:val="20"/>
        </w:rPr>
      </w:pPr>
      <w:r>
        <w:rPr>
          <w:rFonts w:ascii="Arial" w:hAnsi="Arial" w:cs="Arial"/>
          <w:color w:val="1F497D"/>
          <w:sz w:val="20"/>
          <w:szCs w:val="20"/>
        </w:rPr>
        <w:t xml:space="preserve">bod 8 – vzhľadom na úpravu dohľadu na mieste pod utajenou identitou by sa mali samostatne upraviť oprávnenia osoby, ktorá bude vystupovať pod utajenou identitou, a tiež výnimky z povinností dohliadaného subjektu v týchto prípadoch, pretože </w:t>
      </w:r>
      <w:r>
        <w:rPr>
          <w:rFonts w:ascii="Arial" w:hAnsi="Arial" w:cs="Arial"/>
          <w:color w:val="1F497D"/>
          <w:sz w:val="20"/>
          <w:szCs w:val="20"/>
          <w:u w:val="single"/>
        </w:rPr>
        <w:t>ak dohliadaný subjekt nevie, že ide o osobu s utajenou identitou, nebude môcť splniť svoju povinnosť poskytnúť jej súčinnosť</w:t>
      </w:r>
      <w:r>
        <w:rPr>
          <w:rFonts w:ascii="Arial" w:hAnsi="Arial" w:cs="Arial"/>
          <w:color w:val="1F497D"/>
          <w:sz w:val="20"/>
          <w:szCs w:val="20"/>
        </w:rPr>
        <w:t xml:space="preserve">;  </w:t>
      </w:r>
    </w:p>
    <w:p w:rsidR="003E47ED" w:rsidRDefault="003E47ED" w:rsidP="003E47ED">
      <w:pPr>
        <w:pStyle w:val="Odsekzoznamu"/>
        <w:numPr>
          <w:ilvl w:val="0"/>
          <w:numId w:val="1"/>
        </w:numPr>
        <w:rPr>
          <w:rFonts w:ascii="Arial" w:hAnsi="Arial" w:cs="Arial"/>
          <w:color w:val="1F497D"/>
          <w:sz w:val="20"/>
          <w:szCs w:val="20"/>
        </w:rPr>
      </w:pPr>
      <w:r>
        <w:rPr>
          <w:rFonts w:ascii="Arial" w:hAnsi="Arial" w:cs="Arial"/>
          <w:color w:val="1F497D"/>
          <w:sz w:val="20"/>
          <w:szCs w:val="20"/>
        </w:rPr>
        <w:t>Mali by byť stanovené aj nejaké lehoty,  doba, počas ktorej sa môže takýto dohľad vykonávať; skutočnosť, či si dohliadaný subjekt plní svoje povinnosti pri konaní so spotrebiteľom je možné preveriť aj iným spôsobom, než je tento, ktorý je zároveň menej kontroverzný; novelou OZ sa stanovili podmienky, ako má dohliadaný subjekt postupovať pri uzatváraní zmlúv so spotrebiteľom, čo všetko mu má predložiť a že je povinný preukázať, že spotrebiteľovi doklady predložil, t.j. dá sa to preveriť aj cez listinné dôkazy</w:t>
      </w:r>
    </w:p>
    <w:p w:rsidR="003E47ED" w:rsidRDefault="003E47ED" w:rsidP="003E47ED">
      <w:pPr>
        <w:pStyle w:val="Odsekzoznamu"/>
        <w:numPr>
          <w:ilvl w:val="0"/>
          <w:numId w:val="1"/>
        </w:numPr>
        <w:rPr>
          <w:rFonts w:ascii="Arial" w:hAnsi="Arial" w:cs="Arial"/>
          <w:color w:val="1F497D"/>
          <w:sz w:val="20"/>
          <w:szCs w:val="20"/>
        </w:rPr>
      </w:pPr>
      <w:r>
        <w:rPr>
          <w:rFonts w:ascii="Arial" w:hAnsi="Arial" w:cs="Arial"/>
          <w:color w:val="1F497D"/>
          <w:sz w:val="20"/>
          <w:szCs w:val="20"/>
        </w:rPr>
        <w:t>Podľa dôvodovej správy sa táto úprava prijíma najmä vo vzťahu k ochrane spotrebiteľa; avšak zo znenia zákona je možné vyvodiť, že preukaz zamestnanca má stačiť aj pri iných druhoch dohľadov, čo nemôže byť akceptované</w:t>
      </w:r>
    </w:p>
    <w:p w:rsidR="003E47ED" w:rsidRDefault="003E47ED" w:rsidP="003E47ED">
      <w:pPr>
        <w:ind w:left="360"/>
        <w:rPr>
          <w:rFonts w:ascii="Arial" w:hAnsi="Arial" w:cs="Arial"/>
          <w:color w:val="1F497D"/>
          <w:sz w:val="20"/>
          <w:szCs w:val="20"/>
        </w:rPr>
      </w:pPr>
    </w:p>
    <w:p w:rsidR="003E47ED" w:rsidRDefault="003E47ED" w:rsidP="003E47ED">
      <w:pPr>
        <w:rPr>
          <w:rFonts w:ascii="Arial" w:hAnsi="Arial" w:cs="Arial"/>
          <w:color w:val="1F497D"/>
          <w:sz w:val="20"/>
          <w:szCs w:val="20"/>
        </w:rPr>
      </w:pPr>
    </w:p>
    <w:p w:rsidR="003E47ED" w:rsidRDefault="003E47ED" w:rsidP="003E47ED">
      <w:pPr>
        <w:rPr>
          <w:rFonts w:ascii="Arial" w:hAnsi="Arial" w:cs="Arial"/>
          <w:color w:val="1F497D"/>
          <w:sz w:val="20"/>
          <w:szCs w:val="20"/>
        </w:rPr>
      </w:pPr>
      <w:r>
        <w:rPr>
          <w:rFonts w:ascii="Arial" w:hAnsi="Arial" w:cs="Arial"/>
          <w:color w:val="1F497D"/>
          <w:sz w:val="20"/>
          <w:szCs w:val="20"/>
        </w:rPr>
        <w:t xml:space="preserve">bod 9 – toto je dosť absurdné ustanovenie; </w:t>
      </w:r>
      <w:r>
        <w:rPr>
          <w:rFonts w:ascii="Arial" w:hAnsi="Arial" w:cs="Arial"/>
          <w:color w:val="1F497D"/>
          <w:sz w:val="20"/>
          <w:szCs w:val="20"/>
          <w:u w:val="single"/>
        </w:rPr>
        <w:t>aj v trestnom konaní sa na vyhotovovanie zvukových, zvukovo-obrazových a ďalších záznamov vyžaduje súhlas súdu; môže tu vzniknúť rozpor aj s ochranou osobnosti fyzických osôb vystupujúcich za dohliadaný subjekt, ako aj ochranou osobných údajov</w:t>
      </w:r>
      <w:r>
        <w:rPr>
          <w:rFonts w:ascii="Arial" w:hAnsi="Arial" w:cs="Arial"/>
          <w:color w:val="1F497D"/>
          <w:sz w:val="20"/>
          <w:szCs w:val="20"/>
        </w:rPr>
        <w:t xml:space="preserve">; navyše, ak dohliadaný subjekt nebude vedieť, že ide o osobu poverenú dohľadom, nie je povinný jej umožniť vykonávať tieto záznamy; kto zabezpečí objektívnosť takto získaných záznamov? Čo </w:t>
      </w:r>
      <w:r>
        <w:rPr>
          <w:rFonts w:ascii="Arial" w:hAnsi="Arial" w:cs="Arial"/>
          <w:color w:val="1F497D"/>
          <w:sz w:val="20"/>
          <w:szCs w:val="20"/>
          <w:u w:val="single"/>
        </w:rPr>
        <w:t>ak sa budú tieto záznamy zabezpečovať iba jednostranne a spätne sa dohliadaný subjekt nebudú mať možnosť brániť</w:t>
      </w:r>
      <w:r>
        <w:rPr>
          <w:rFonts w:ascii="Arial" w:hAnsi="Arial" w:cs="Arial"/>
          <w:color w:val="1F497D"/>
          <w:sz w:val="20"/>
          <w:szCs w:val="20"/>
        </w:rPr>
        <w:t>, že boli poskytnuté aj iné informácie a pod.? znenie tohto ustanovenia je tiež v rozpore s </w:t>
      </w:r>
      <w:proofErr w:type="spellStart"/>
      <w:r>
        <w:rPr>
          <w:rFonts w:ascii="Arial" w:hAnsi="Arial" w:cs="Arial"/>
          <w:color w:val="1F497D"/>
          <w:sz w:val="20"/>
          <w:szCs w:val="20"/>
        </w:rPr>
        <w:t>ust</w:t>
      </w:r>
      <w:proofErr w:type="spellEnd"/>
      <w:r>
        <w:rPr>
          <w:rFonts w:ascii="Arial" w:hAnsi="Arial" w:cs="Arial"/>
          <w:color w:val="1F497D"/>
          <w:sz w:val="20"/>
          <w:szCs w:val="20"/>
        </w:rPr>
        <w:t xml:space="preserve">. § 8 ods. 3 </w:t>
      </w:r>
      <w:proofErr w:type="spellStart"/>
      <w:r>
        <w:rPr>
          <w:rFonts w:ascii="Arial" w:hAnsi="Arial" w:cs="Arial"/>
          <w:color w:val="1F497D"/>
          <w:sz w:val="20"/>
          <w:szCs w:val="20"/>
        </w:rPr>
        <w:t>z.č</w:t>
      </w:r>
      <w:proofErr w:type="spellEnd"/>
      <w:r>
        <w:rPr>
          <w:rFonts w:ascii="Arial" w:hAnsi="Arial" w:cs="Arial"/>
          <w:color w:val="1F497D"/>
          <w:sz w:val="20"/>
          <w:szCs w:val="20"/>
        </w:rPr>
        <w:t xml:space="preserve">. 747/2004 </w:t>
      </w:r>
      <w:proofErr w:type="spellStart"/>
      <w:r>
        <w:rPr>
          <w:rFonts w:ascii="Arial" w:hAnsi="Arial" w:cs="Arial"/>
          <w:color w:val="1F497D"/>
          <w:sz w:val="20"/>
          <w:szCs w:val="20"/>
        </w:rPr>
        <w:t>Z.z</w:t>
      </w:r>
      <w:proofErr w:type="spellEnd"/>
      <w:r>
        <w:rPr>
          <w:rFonts w:ascii="Arial" w:hAnsi="Arial" w:cs="Arial"/>
          <w:color w:val="1F497D"/>
          <w:sz w:val="20"/>
          <w:szCs w:val="20"/>
        </w:rPr>
        <w:t xml:space="preserve">.; je tu navyše </w:t>
      </w:r>
      <w:r>
        <w:rPr>
          <w:rFonts w:ascii="Arial" w:hAnsi="Arial" w:cs="Arial"/>
          <w:color w:val="000000"/>
          <w:sz w:val="20"/>
          <w:szCs w:val="20"/>
        </w:rPr>
        <w:t>nesprávna</w:t>
      </w:r>
      <w:r>
        <w:rPr>
          <w:rFonts w:ascii="Arial" w:hAnsi="Arial" w:cs="Arial"/>
          <w:color w:val="1F497D"/>
          <w:sz w:val="20"/>
          <w:szCs w:val="20"/>
        </w:rPr>
        <w:t xml:space="preserve"> formuláci</w:t>
      </w:r>
      <w:r>
        <w:rPr>
          <w:rFonts w:ascii="Arial" w:hAnsi="Arial" w:cs="Arial"/>
          <w:color w:val="000000"/>
          <w:sz w:val="20"/>
          <w:szCs w:val="20"/>
        </w:rPr>
        <w:t>a</w:t>
      </w:r>
      <w:r>
        <w:rPr>
          <w:rFonts w:ascii="Arial" w:hAnsi="Arial" w:cs="Arial"/>
          <w:color w:val="1F497D"/>
          <w:sz w:val="20"/>
          <w:szCs w:val="20"/>
        </w:rPr>
        <w:t xml:space="preserve"> vety v navrhovanom písmene e) za bodkočiarkou; k navrhovanému písmenu f) pri takomto postupe vznikne chaos s platnosťou zmlúv; ide o veľmi široké, dalo by sa povedať až takmer bezbrehé oprávnenia, o to zvlášť, ak ich bude NBS vykonávať prostredníctvom iných osôb ako svojich zamestnancov, vo vzťahu ku ktorým dohliadaný subjekt nebude môcť ani namietnuť ich zaujatosť, keďže nebude vedieť o tom, že vykonávajú dohľad; napr. </w:t>
      </w:r>
      <w:r>
        <w:rPr>
          <w:rFonts w:ascii="Arial" w:hAnsi="Arial" w:cs="Arial"/>
          <w:color w:val="1F497D"/>
          <w:sz w:val="20"/>
          <w:szCs w:val="20"/>
          <w:u w:val="single"/>
        </w:rPr>
        <w:t xml:space="preserve">pri ostatnom dohľade bol problém s osobou prizvanou na posudzovanie výšky škody, kde sa  ukázalo, že pracoval pre spoločnosť tzv. </w:t>
      </w:r>
      <w:proofErr w:type="spellStart"/>
      <w:r>
        <w:rPr>
          <w:rFonts w:ascii="Arial" w:hAnsi="Arial" w:cs="Arial"/>
          <w:color w:val="1F497D"/>
          <w:sz w:val="20"/>
          <w:szCs w:val="20"/>
          <w:u w:val="single"/>
        </w:rPr>
        <w:t>crash-huntera</w:t>
      </w:r>
      <w:proofErr w:type="spellEnd"/>
      <w:r>
        <w:rPr>
          <w:rFonts w:ascii="Arial" w:hAnsi="Arial" w:cs="Arial"/>
          <w:color w:val="1F497D"/>
          <w:sz w:val="20"/>
          <w:szCs w:val="20"/>
          <w:u w:val="single"/>
        </w:rPr>
        <w:t xml:space="preserve"> – čo ak sa to stane aj v prípade utajeného dohľadu</w:t>
      </w:r>
      <w:r>
        <w:rPr>
          <w:rFonts w:ascii="Arial" w:hAnsi="Arial" w:cs="Arial"/>
          <w:color w:val="1F497D"/>
          <w:sz w:val="20"/>
          <w:szCs w:val="20"/>
        </w:rPr>
        <w:t xml:space="preserve">? </w:t>
      </w:r>
      <w:r>
        <w:rPr>
          <w:rFonts w:ascii="Arial" w:hAnsi="Arial" w:cs="Arial"/>
          <w:color w:val="1F497D"/>
          <w:sz w:val="20"/>
          <w:szCs w:val="20"/>
          <w:u w:val="single"/>
        </w:rPr>
        <w:t>Ako si NBS zabezpečí bezúhonnosť tejto osoby</w:t>
      </w:r>
      <w:r>
        <w:rPr>
          <w:rFonts w:ascii="Arial" w:hAnsi="Arial" w:cs="Arial"/>
          <w:color w:val="1F497D"/>
          <w:sz w:val="20"/>
          <w:szCs w:val="20"/>
        </w:rPr>
        <w:t>?</w:t>
      </w:r>
    </w:p>
    <w:p w:rsidR="003E47ED" w:rsidRDefault="003E47ED" w:rsidP="003E47ED">
      <w:pPr>
        <w:rPr>
          <w:rFonts w:ascii="Arial" w:hAnsi="Arial" w:cs="Arial"/>
          <w:color w:val="1F497D"/>
          <w:sz w:val="20"/>
          <w:szCs w:val="20"/>
          <w:u w:val="single"/>
        </w:rPr>
      </w:pPr>
      <w:r>
        <w:rPr>
          <w:rFonts w:ascii="Arial" w:hAnsi="Arial" w:cs="Arial"/>
          <w:color w:val="1F497D"/>
          <w:sz w:val="20"/>
          <w:szCs w:val="20"/>
          <w:u w:val="single"/>
        </w:rPr>
        <w:t>Utajená identita je veľmi citlivý a veľmi ľahko zneužiteľný inštitút a vyžadoval by prísnejšiu a detailnejšiu úpravu</w:t>
      </w:r>
    </w:p>
    <w:p w:rsidR="003E47ED" w:rsidRDefault="003E47ED" w:rsidP="003E47ED">
      <w:pPr>
        <w:pStyle w:val="Odsekzoznamu"/>
        <w:numPr>
          <w:ilvl w:val="0"/>
          <w:numId w:val="1"/>
        </w:numPr>
        <w:rPr>
          <w:rFonts w:ascii="Arial" w:hAnsi="Arial" w:cs="Arial"/>
          <w:color w:val="1F497D"/>
          <w:sz w:val="20"/>
          <w:szCs w:val="20"/>
        </w:rPr>
      </w:pPr>
      <w:r>
        <w:rPr>
          <w:rFonts w:ascii="Arial" w:hAnsi="Arial" w:cs="Arial"/>
          <w:color w:val="1F497D"/>
          <w:sz w:val="20"/>
          <w:szCs w:val="20"/>
        </w:rPr>
        <w:t xml:space="preserve">ide o obrovské a neprípustné oprávnenia NBS, ktoré nie sú ničím ohraničené; z danej úpravy nie je zabezpečená žiadna záruka pred zneužívaním tohto inštitútu; aj obvinení v trestnom </w:t>
      </w:r>
      <w:r>
        <w:rPr>
          <w:rFonts w:ascii="Arial" w:hAnsi="Arial" w:cs="Arial"/>
          <w:color w:val="1F497D"/>
          <w:sz w:val="20"/>
          <w:szCs w:val="20"/>
        </w:rPr>
        <w:lastRenderedPageBreak/>
        <w:t>konaní majú viac práv ako dohliadaný subjekt pri takto navrhovanom spôsobe výkonu dohľadu</w:t>
      </w:r>
    </w:p>
    <w:p w:rsidR="003E47ED" w:rsidRDefault="003E47ED" w:rsidP="003E47ED">
      <w:pPr>
        <w:pStyle w:val="Odsekzoznamu"/>
        <w:numPr>
          <w:ilvl w:val="0"/>
          <w:numId w:val="1"/>
        </w:numPr>
        <w:rPr>
          <w:rFonts w:ascii="Arial" w:hAnsi="Arial" w:cs="Arial"/>
          <w:color w:val="1F497D"/>
          <w:sz w:val="20"/>
          <w:szCs w:val="20"/>
        </w:rPr>
      </w:pPr>
      <w:r>
        <w:rPr>
          <w:rFonts w:ascii="Arial" w:hAnsi="Arial" w:cs="Arial"/>
          <w:color w:val="1F497D"/>
          <w:sz w:val="20"/>
          <w:szCs w:val="20"/>
        </w:rPr>
        <w:t>Podľa dôvodovej správy sa táto úprava prijíma najmä vo vzťahu k ochrane spotrebiteľa; avšak zo znenia zákona je možné vyvodiť, že preukaz zamestnanca má stačiť aj pri iných druhoch dohľadov, čo nemôže byť akceptované</w:t>
      </w:r>
    </w:p>
    <w:p w:rsidR="003E47ED" w:rsidRDefault="003E47ED" w:rsidP="003E47ED">
      <w:pPr>
        <w:rPr>
          <w:rFonts w:ascii="Arial" w:hAnsi="Arial" w:cs="Arial"/>
          <w:color w:val="1F497D"/>
          <w:sz w:val="20"/>
          <w:szCs w:val="20"/>
        </w:rPr>
      </w:pPr>
    </w:p>
    <w:p w:rsidR="003E47ED" w:rsidRDefault="003E47ED" w:rsidP="003E47ED">
      <w:pPr>
        <w:rPr>
          <w:rFonts w:ascii="Arial" w:hAnsi="Arial" w:cs="Arial"/>
          <w:color w:val="1F497D"/>
          <w:sz w:val="20"/>
          <w:szCs w:val="20"/>
        </w:rPr>
      </w:pPr>
      <w:r>
        <w:rPr>
          <w:rFonts w:ascii="Arial" w:hAnsi="Arial" w:cs="Arial"/>
          <w:color w:val="1F497D"/>
          <w:sz w:val="20"/>
          <w:szCs w:val="20"/>
        </w:rPr>
        <w:t xml:space="preserve">Bod 10 – náhrada dokladu totožnosti preukazom zamestnanca NBS – ako sa zabezpečí hodnovernosť tohto dokladu resp. ochrana tohto dokladu pred zneužitím? </w:t>
      </w:r>
    </w:p>
    <w:p w:rsidR="003E47ED" w:rsidRDefault="003E47ED" w:rsidP="003E47ED">
      <w:pPr>
        <w:pStyle w:val="Odsekzoznamu"/>
        <w:numPr>
          <w:ilvl w:val="0"/>
          <w:numId w:val="2"/>
        </w:numPr>
        <w:rPr>
          <w:rFonts w:ascii="Arial" w:hAnsi="Arial" w:cs="Arial"/>
          <w:color w:val="1F497D"/>
          <w:sz w:val="20"/>
          <w:szCs w:val="20"/>
        </w:rPr>
      </w:pPr>
      <w:r>
        <w:rPr>
          <w:rFonts w:ascii="Arial" w:hAnsi="Arial" w:cs="Arial"/>
          <w:color w:val="1F497D"/>
          <w:sz w:val="20"/>
          <w:szCs w:val="20"/>
        </w:rPr>
        <w:t xml:space="preserve">Takisto </w:t>
      </w:r>
      <w:r>
        <w:rPr>
          <w:rFonts w:ascii="Arial" w:hAnsi="Arial" w:cs="Arial"/>
          <w:color w:val="000000"/>
          <w:sz w:val="20"/>
          <w:szCs w:val="20"/>
        </w:rPr>
        <w:t>vidíme riziká</w:t>
      </w:r>
      <w:r>
        <w:rPr>
          <w:rFonts w:ascii="Arial" w:hAnsi="Arial" w:cs="Arial"/>
          <w:color w:val="1F497D"/>
          <w:sz w:val="20"/>
          <w:szCs w:val="20"/>
        </w:rPr>
        <w:t xml:space="preserve"> s používaním iných osôb na vykonávanie dohľadu, a to z vyššie uvedených dôvodov (bod 9)</w:t>
      </w:r>
    </w:p>
    <w:p w:rsidR="003E47ED" w:rsidRDefault="003E47ED" w:rsidP="003E47ED">
      <w:pPr>
        <w:pStyle w:val="Odsekzoznamu"/>
        <w:numPr>
          <w:ilvl w:val="0"/>
          <w:numId w:val="2"/>
        </w:numPr>
        <w:rPr>
          <w:rFonts w:ascii="Arial" w:hAnsi="Arial" w:cs="Arial"/>
          <w:color w:val="1F497D"/>
          <w:sz w:val="20"/>
          <w:szCs w:val="20"/>
        </w:rPr>
      </w:pPr>
      <w:r>
        <w:rPr>
          <w:rFonts w:ascii="Arial" w:hAnsi="Arial" w:cs="Arial"/>
          <w:color w:val="1F497D"/>
          <w:sz w:val="20"/>
          <w:szCs w:val="20"/>
        </w:rPr>
        <w:t>Podľa dôvodovej správy sa táto úprava prijíma najmä vo vzťahu k ochrane spotrebiteľa; avšak zo znenia zákona je možné vyvodiť, že preukaz zamestnanca má stačiť aj pri iných druhoch dohľadov, čo nemôže byť akceptované</w:t>
      </w:r>
    </w:p>
    <w:p w:rsidR="003E47ED" w:rsidRDefault="003E47ED" w:rsidP="003E47ED">
      <w:pPr>
        <w:pStyle w:val="Odsekzoznamu"/>
        <w:numPr>
          <w:ilvl w:val="0"/>
          <w:numId w:val="2"/>
        </w:numPr>
        <w:rPr>
          <w:rFonts w:ascii="Arial" w:hAnsi="Arial" w:cs="Arial"/>
          <w:color w:val="1F497D"/>
          <w:sz w:val="20"/>
          <w:szCs w:val="20"/>
        </w:rPr>
      </w:pPr>
      <w:r>
        <w:rPr>
          <w:rFonts w:ascii="Arial" w:hAnsi="Arial" w:cs="Arial"/>
          <w:color w:val="1F497D"/>
          <w:sz w:val="20"/>
          <w:szCs w:val="20"/>
        </w:rPr>
        <w:t>Môže nastať absurdná situácia – že osoba pod utajenou identitou sa zamestná u dohliadaného subjektu a takto bude vykonávať dohľad</w:t>
      </w:r>
    </w:p>
    <w:p w:rsidR="003E47ED" w:rsidRDefault="003E47ED" w:rsidP="003E47ED">
      <w:pPr>
        <w:rPr>
          <w:rFonts w:ascii="Arial" w:hAnsi="Arial" w:cs="Arial"/>
          <w:color w:val="1F497D"/>
          <w:sz w:val="20"/>
          <w:szCs w:val="20"/>
        </w:rPr>
      </w:pPr>
    </w:p>
    <w:p w:rsidR="003E47ED" w:rsidRDefault="003E47ED" w:rsidP="003E47ED">
      <w:pPr>
        <w:rPr>
          <w:rFonts w:ascii="Arial" w:hAnsi="Arial" w:cs="Arial"/>
          <w:color w:val="1F497D"/>
          <w:sz w:val="20"/>
          <w:szCs w:val="20"/>
        </w:rPr>
      </w:pPr>
      <w:r>
        <w:rPr>
          <w:rFonts w:ascii="Arial" w:hAnsi="Arial" w:cs="Arial"/>
          <w:color w:val="1F497D"/>
          <w:sz w:val="20"/>
          <w:szCs w:val="20"/>
        </w:rPr>
        <w:t xml:space="preserve">Bod 11 – v tomto prípade sa nebude môcť použiť </w:t>
      </w:r>
      <w:proofErr w:type="spellStart"/>
      <w:r>
        <w:rPr>
          <w:rFonts w:ascii="Arial" w:hAnsi="Arial" w:cs="Arial"/>
          <w:color w:val="1F497D"/>
          <w:sz w:val="20"/>
          <w:szCs w:val="20"/>
        </w:rPr>
        <w:t>ust</w:t>
      </w:r>
      <w:proofErr w:type="spellEnd"/>
      <w:r>
        <w:rPr>
          <w:rFonts w:ascii="Arial" w:hAnsi="Arial" w:cs="Arial"/>
          <w:color w:val="1F497D"/>
          <w:sz w:val="20"/>
          <w:szCs w:val="20"/>
        </w:rPr>
        <w:t>. § 14 a teda nie je zabezpečená ochrana účastníka dohľadu; pokiaľ ide o vykonávanie dohľadu prostredníctvom iných osôb, pri navrhovanom spôsobe dôjde k porušeniu povinnosti týchto osôb vykonávať dohľad len v sprievode osoby poverenej výkonom dohľadu</w:t>
      </w:r>
    </w:p>
    <w:p w:rsidR="003E47ED" w:rsidRDefault="003E47ED" w:rsidP="003E47ED">
      <w:pPr>
        <w:rPr>
          <w:rFonts w:ascii="Arial" w:hAnsi="Arial" w:cs="Arial"/>
          <w:color w:val="1F497D"/>
          <w:sz w:val="20"/>
          <w:szCs w:val="20"/>
        </w:rPr>
      </w:pPr>
    </w:p>
    <w:p w:rsidR="003E47ED" w:rsidRDefault="003E47ED" w:rsidP="003E47ED">
      <w:pPr>
        <w:rPr>
          <w:rFonts w:ascii="Arial" w:hAnsi="Arial" w:cs="Arial"/>
          <w:color w:val="1F497D"/>
          <w:sz w:val="20"/>
          <w:szCs w:val="20"/>
        </w:rPr>
      </w:pPr>
      <w:r>
        <w:rPr>
          <w:rFonts w:ascii="Arial" w:hAnsi="Arial" w:cs="Arial"/>
          <w:color w:val="1F497D"/>
          <w:sz w:val="20"/>
          <w:szCs w:val="20"/>
        </w:rPr>
        <w:t>Bod 18 :</w:t>
      </w:r>
    </w:p>
    <w:p w:rsidR="003E47ED" w:rsidRDefault="003E47ED" w:rsidP="003E47ED">
      <w:pPr>
        <w:rPr>
          <w:rFonts w:ascii="Arial" w:hAnsi="Arial" w:cs="Arial"/>
          <w:color w:val="1F497D"/>
          <w:sz w:val="20"/>
          <w:szCs w:val="20"/>
          <w:u w:val="single"/>
        </w:rPr>
      </w:pPr>
      <w:r>
        <w:rPr>
          <w:rFonts w:ascii="Arial" w:hAnsi="Arial" w:cs="Arial"/>
          <w:color w:val="1F497D"/>
          <w:sz w:val="20"/>
          <w:szCs w:val="20"/>
        </w:rPr>
        <w:t xml:space="preserve">§35a – na základe tohto bude mať NBS oprávnenie vyhlásiť zmluvnú podmienku za neprijateľnú – v podstate sa tým určitým spôsobom </w:t>
      </w:r>
      <w:r>
        <w:rPr>
          <w:rFonts w:ascii="Arial" w:hAnsi="Arial" w:cs="Arial"/>
          <w:color w:val="1F497D"/>
          <w:sz w:val="20"/>
          <w:szCs w:val="20"/>
          <w:u w:val="single"/>
        </w:rPr>
        <w:t>zasahuje do právomoci súdov</w:t>
      </w:r>
    </w:p>
    <w:p w:rsidR="003E47ED" w:rsidRDefault="003E47ED" w:rsidP="003E47ED">
      <w:pPr>
        <w:rPr>
          <w:rFonts w:ascii="Arial" w:hAnsi="Arial" w:cs="Arial"/>
          <w:color w:val="1F497D"/>
          <w:sz w:val="20"/>
          <w:szCs w:val="20"/>
        </w:rPr>
      </w:pPr>
    </w:p>
    <w:p w:rsidR="003E47ED" w:rsidRDefault="003E47ED" w:rsidP="003E47ED">
      <w:pPr>
        <w:rPr>
          <w:rFonts w:ascii="Arial" w:hAnsi="Arial" w:cs="Arial"/>
          <w:color w:val="1F497D"/>
          <w:sz w:val="20"/>
          <w:szCs w:val="20"/>
        </w:rPr>
      </w:pPr>
      <w:r>
        <w:rPr>
          <w:rFonts w:ascii="Arial" w:hAnsi="Arial" w:cs="Arial"/>
          <w:color w:val="1F497D"/>
          <w:sz w:val="20"/>
          <w:szCs w:val="20"/>
        </w:rPr>
        <w:t xml:space="preserve">§35b </w:t>
      </w:r>
      <w:proofErr w:type="spellStart"/>
      <w:r>
        <w:rPr>
          <w:rFonts w:ascii="Arial" w:hAnsi="Arial" w:cs="Arial"/>
          <w:color w:val="1F497D"/>
          <w:sz w:val="20"/>
          <w:szCs w:val="20"/>
        </w:rPr>
        <w:t>ods</w:t>
      </w:r>
      <w:proofErr w:type="spellEnd"/>
      <w:r>
        <w:rPr>
          <w:rFonts w:ascii="Arial" w:hAnsi="Arial" w:cs="Arial"/>
          <w:color w:val="1F497D"/>
          <w:sz w:val="20"/>
          <w:szCs w:val="20"/>
        </w:rPr>
        <w:t xml:space="preserve"> 4 – vzhľadom na zložitosť procesov vo finančných inštitúciách </w:t>
      </w:r>
      <w:r>
        <w:rPr>
          <w:rFonts w:ascii="Arial" w:hAnsi="Arial" w:cs="Arial"/>
          <w:color w:val="000000"/>
          <w:sz w:val="20"/>
          <w:szCs w:val="20"/>
        </w:rPr>
        <w:t>žiadame</w:t>
      </w:r>
      <w:r>
        <w:rPr>
          <w:rFonts w:ascii="Arial" w:hAnsi="Arial" w:cs="Arial"/>
          <w:color w:val="1F497D"/>
          <w:sz w:val="20"/>
          <w:szCs w:val="20"/>
        </w:rPr>
        <w:t xml:space="preserve"> </w:t>
      </w:r>
      <w:r>
        <w:rPr>
          <w:rFonts w:ascii="Arial" w:hAnsi="Arial" w:cs="Arial"/>
          <w:color w:val="1F497D"/>
          <w:sz w:val="20"/>
          <w:szCs w:val="20"/>
          <w:u w:val="single"/>
        </w:rPr>
        <w:t>dať dlhšiu lehotu na podanie odporu</w:t>
      </w:r>
      <w:r>
        <w:rPr>
          <w:rFonts w:ascii="Arial" w:hAnsi="Arial" w:cs="Arial"/>
          <w:color w:val="1F497D"/>
          <w:sz w:val="20"/>
          <w:szCs w:val="20"/>
        </w:rPr>
        <w:t xml:space="preserve">, a to zvlášť v prípadoch, ak </w:t>
      </w:r>
      <w:proofErr w:type="spellStart"/>
      <w:r>
        <w:rPr>
          <w:rFonts w:ascii="Arial" w:hAnsi="Arial" w:cs="Arial"/>
          <w:color w:val="1F497D"/>
          <w:sz w:val="20"/>
          <w:szCs w:val="20"/>
        </w:rPr>
        <w:t>rozkazné</w:t>
      </w:r>
      <w:proofErr w:type="spellEnd"/>
      <w:r>
        <w:rPr>
          <w:rFonts w:ascii="Arial" w:hAnsi="Arial" w:cs="Arial"/>
          <w:color w:val="1F497D"/>
          <w:sz w:val="20"/>
          <w:szCs w:val="20"/>
        </w:rPr>
        <w:t xml:space="preserve"> konanie bude vychádzať z dôkazov získaných dohľadom pod utajenou identitou; tu by mala byť povinnosť NBS nielen v rozkaze odôvodniť uloženú sankciu, ale v lehote na podanie odporu aj sprístupniť zvukové, zvukovoobrazové a iné záznamy, ktoré pri dohľade zabezpečila, aby sa mohol voči ich obsahu dohliadaný subjekt relevantným spôsobom brániť</w:t>
      </w:r>
    </w:p>
    <w:p w:rsidR="003E47ED" w:rsidRDefault="003E47ED" w:rsidP="003E47ED">
      <w:pPr>
        <w:rPr>
          <w:rFonts w:ascii="Arial" w:hAnsi="Arial" w:cs="Arial"/>
          <w:color w:val="1F497D"/>
          <w:sz w:val="20"/>
          <w:szCs w:val="20"/>
        </w:rPr>
      </w:pPr>
    </w:p>
    <w:p w:rsidR="003E47ED" w:rsidRDefault="003E47ED" w:rsidP="003E47ED">
      <w:pPr>
        <w:rPr>
          <w:rFonts w:ascii="Arial" w:hAnsi="Arial" w:cs="Arial"/>
          <w:color w:val="1F497D"/>
          <w:sz w:val="20"/>
          <w:szCs w:val="20"/>
        </w:rPr>
      </w:pPr>
      <w:r>
        <w:rPr>
          <w:rFonts w:ascii="Arial" w:hAnsi="Arial" w:cs="Arial"/>
          <w:color w:val="1F497D"/>
          <w:sz w:val="20"/>
          <w:szCs w:val="20"/>
        </w:rPr>
        <w:t>§35d – ide o </w:t>
      </w:r>
      <w:r>
        <w:rPr>
          <w:rFonts w:ascii="Arial" w:hAnsi="Arial" w:cs="Arial"/>
          <w:color w:val="1F497D"/>
          <w:sz w:val="20"/>
          <w:szCs w:val="20"/>
          <w:u w:val="single"/>
        </w:rPr>
        <w:t>veľmi vážny zásah do oprávnení dohliadaného subjektu, najmä do práva na podnikanie</w:t>
      </w:r>
      <w:r>
        <w:rPr>
          <w:rFonts w:ascii="Arial" w:hAnsi="Arial" w:cs="Arial"/>
          <w:color w:val="1F497D"/>
          <w:sz w:val="20"/>
          <w:szCs w:val="20"/>
        </w:rPr>
        <w:t xml:space="preserve">; minimálne by bolo vhodné definovať, za akých podmienok je takýto vážny zásah prípustný; navyše, otázkou je, </w:t>
      </w:r>
      <w:r>
        <w:rPr>
          <w:rFonts w:ascii="Arial" w:hAnsi="Arial" w:cs="Arial"/>
          <w:color w:val="1F497D"/>
          <w:sz w:val="20"/>
          <w:szCs w:val="20"/>
          <w:u w:val="single"/>
        </w:rPr>
        <w:t>čo bude napr. s poistným krytím počas tohto obdobia pri zmluvách, ktoré boli uzatvorené pred týmto „predbežným opatrením“; otázkou je, či v tomto prípade ide o rozhodnutie alebo iba o predbežné opatrenie</w:t>
      </w:r>
      <w:r>
        <w:rPr>
          <w:rFonts w:ascii="Arial" w:hAnsi="Arial" w:cs="Arial"/>
          <w:color w:val="1F497D"/>
          <w:sz w:val="20"/>
          <w:szCs w:val="20"/>
        </w:rPr>
        <w:t xml:space="preserve">; </w:t>
      </w:r>
      <w:r>
        <w:rPr>
          <w:rFonts w:ascii="Arial" w:hAnsi="Arial" w:cs="Arial"/>
          <w:color w:val="1F497D"/>
          <w:sz w:val="20"/>
          <w:szCs w:val="20"/>
          <w:u w:val="single"/>
        </w:rPr>
        <w:t>súvisí to aj s možnosťou, resp. nemožnosťou  dohliadaného subjektu brániť sa proti takémuto závažnému zásahu do jeho práva na podnikanie na súde</w:t>
      </w:r>
      <w:r>
        <w:rPr>
          <w:rFonts w:ascii="Arial" w:hAnsi="Arial" w:cs="Arial"/>
          <w:color w:val="1F497D"/>
          <w:sz w:val="20"/>
          <w:szCs w:val="20"/>
        </w:rPr>
        <w:t xml:space="preserve">; </w:t>
      </w:r>
      <w:r>
        <w:rPr>
          <w:rFonts w:ascii="Arial" w:hAnsi="Arial" w:cs="Arial"/>
          <w:color w:val="1F497D"/>
          <w:sz w:val="20"/>
          <w:szCs w:val="20"/>
          <w:u w:val="single"/>
        </w:rPr>
        <w:t>lehota na podanie námietok</w:t>
      </w:r>
      <w:r>
        <w:rPr>
          <w:rFonts w:ascii="Arial" w:hAnsi="Arial" w:cs="Arial"/>
          <w:color w:val="1F497D"/>
          <w:sz w:val="20"/>
          <w:szCs w:val="20"/>
        </w:rPr>
        <w:t xml:space="preserve"> </w:t>
      </w:r>
      <w:r>
        <w:rPr>
          <w:rFonts w:ascii="Arial" w:hAnsi="Arial" w:cs="Arial"/>
          <w:color w:val="1F497D"/>
          <w:sz w:val="20"/>
          <w:szCs w:val="20"/>
          <w:u w:val="single"/>
        </w:rPr>
        <w:t>je veľmi krátka</w:t>
      </w:r>
      <w:r>
        <w:rPr>
          <w:rFonts w:ascii="Arial" w:hAnsi="Arial" w:cs="Arial"/>
          <w:color w:val="1F497D"/>
          <w:sz w:val="20"/>
          <w:szCs w:val="20"/>
        </w:rPr>
        <w:t xml:space="preserve"> </w:t>
      </w:r>
      <w:r>
        <w:rPr>
          <w:rFonts w:ascii="Arial" w:hAnsi="Arial" w:cs="Arial"/>
          <w:color w:val="1F497D"/>
          <w:sz w:val="20"/>
          <w:szCs w:val="20"/>
          <w:u w:val="single"/>
        </w:rPr>
        <w:t>na tak závažný zásah</w:t>
      </w:r>
      <w:r>
        <w:rPr>
          <w:rFonts w:ascii="Arial" w:hAnsi="Arial" w:cs="Arial"/>
          <w:color w:val="1F497D"/>
          <w:sz w:val="20"/>
          <w:szCs w:val="20"/>
        </w:rPr>
        <w:t xml:space="preserve">; takisto </w:t>
      </w:r>
      <w:r>
        <w:rPr>
          <w:rFonts w:ascii="Arial" w:hAnsi="Arial" w:cs="Arial"/>
          <w:color w:val="1F497D"/>
          <w:sz w:val="20"/>
          <w:szCs w:val="20"/>
          <w:u w:val="single"/>
        </w:rPr>
        <w:t>skutočnosť, že námietka nemá odkladný účinok, je neprijateľná</w:t>
      </w:r>
      <w:r>
        <w:rPr>
          <w:rFonts w:ascii="Arial" w:hAnsi="Arial" w:cs="Arial"/>
          <w:color w:val="1F497D"/>
          <w:sz w:val="20"/>
          <w:szCs w:val="20"/>
        </w:rPr>
        <w:t xml:space="preserve">; obmedzenie podnikateľskej činnosti v tejto oblasti hoci aj len na 8 pracovných dní len z dôvodu, že NBS posúdi, že je to potrebné, je veľmi závažné; ako sa zabezpečí, že sa tento inštitút nebude zneužívať? </w:t>
      </w:r>
      <w:r>
        <w:rPr>
          <w:rFonts w:ascii="Arial" w:hAnsi="Arial" w:cs="Arial"/>
          <w:color w:val="1F497D"/>
          <w:sz w:val="20"/>
          <w:szCs w:val="20"/>
          <w:u w:val="single"/>
        </w:rPr>
        <w:t>Kto nahradí prípadnú škodu dohliadanému subjektu, ak sa preukáže, že zásah bol neoprávnený</w:t>
      </w:r>
      <w:r>
        <w:rPr>
          <w:rFonts w:ascii="Arial" w:hAnsi="Arial" w:cs="Arial"/>
          <w:color w:val="1F497D"/>
          <w:sz w:val="20"/>
          <w:szCs w:val="20"/>
        </w:rPr>
        <w:t>? Takisto navrhujeme detailnejšiu úpravu tohto inštitútu, pretože ide o veľmi závažný zásah a treba poskytnúť aj ochranu dohliadanému subjektu, nielen spotrebiteľovi</w:t>
      </w:r>
    </w:p>
    <w:p w:rsidR="003E47ED" w:rsidRDefault="003E47ED" w:rsidP="003E47ED">
      <w:pPr>
        <w:rPr>
          <w:rFonts w:ascii="Arial" w:hAnsi="Arial" w:cs="Arial"/>
          <w:color w:val="1F497D"/>
          <w:sz w:val="20"/>
          <w:szCs w:val="20"/>
        </w:rPr>
      </w:pPr>
    </w:p>
    <w:p w:rsidR="003E47ED" w:rsidRDefault="003E47ED" w:rsidP="003E47ED">
      <w:pPr>
        <w:rPr>
          <w:rFonts w:ascii="Arial" w:hAnsi="Arial" w:cs="Arial"/>
          <w:color w:val="1F497D"/>
          <w:sz w:val="20"/>
          <w:szCs w:val="20"/>
        </w:rPr>
      </w:pPr>
      <w:r>
        <w:rPr>
          <w:rFonts w:ascii="Arial" w:hAnsi="Arial" w:cs="Arial"/>
          <w:color w:val="1F497D"/>
          <w:sz w:val="20"/>
          <w:szCs w:val="20"/>
        </w:rPr>
        <w:t>§35e – ods. 2 – nekalá obchodná praktika, ktorá ešte nebola vykonaná – toto znenie je nezrozumiteľné; ako sa dozvieme, že ide o nekalú obchodnú praktiku, ak k jej výkonu ešte reálne nedošlo? Je tiež otázne, či pri ochrane spotrebiteľov je vôbec možné hovoriť o nekalej obchodnej praktike</w:t>
      </w:r>
    </w:p>
    <w:p w:rsidR="003E47ED" w:rsidRDefault="003E47ED" w:rsidP="003E47ED">
      <w:pPr>
        <w:rPr>
          <w:rFonts w:ascii="Arial" w:hAnsi="Arial" w:cs="Arial"/>
          <w:color w:val="1F497D"/>
          <w:sz w:val="20"/>
          <w:szCs w:val="20"/>
        </w:rPr>
      </w:pPr>
    </w:p>
    <w:p w:rsidR="003E47ED" w:rsidRDefault="003E47ED" w:rsidP="003E47ED">
      <w:pPr>
        <w:rPr>
          <w:rFonts w:ascii="Arial" w:hAnsi="Arial" w:cs="Arial"/>
          <w:color w:val="1F497D"/>
          <w:sz w:val="20"/>
          <w:szCs w:val="20"/>
        </w:rPr>
      </w:pPr>
      <w:r>
        <w:rPr>
          <w:rFonts w:ascii="Arial" w:hAnsi="Arial" w:cs="Arial"/>
          <w:color w:val="1F497D"/>
          <w:sz w:val="20"/>
          <w:szCs w:val="20"/>
        </w:rPr>
        <w:t xml:space="preserve">§35f – </w:t>
      </w:r>
      <w:r>
        <w:rPr>
          <w:rFonts w:ascii="Arial" w:hAnsi="Arial" w:cs="Arial"/>
          <w:color w:val="1F497D"/>
          <w:sz w:val="20"/>
          <w:szCs w:val="20"/>
          <w:u w:val="single"/>
        </w:rPr>
        <w:t xml:space="preserve">pokuta do výšky 1.000.000,- € je </w:t>
      </w:r>
      <w:r>
        <w:rPr>
          <w:rFonts w:ascii="Arial" w:hAnsi="Arial" w:cs="Arial"/>
          <w:color w:val="1F497D"/>
          <w:sz w:val="20"/>
          <w:szCs w:val="20"/>
        </w:rPr>
        <w:t>podľa môjho názoru</w:t>
      </w:r>
      <w:r>
        <w:rPr>
          <w:rFonts w:ascii="Arial" w:hAnsi="Arial" w:cs="Arial"/>
          <w:color w:val="1F497D"/>
          <w:sz w:val="20"/>
          <w:szCs w:val="20"/>
          <w:u w:val="single"/>
        </w:rPr>
        <w:t xml:space="preserve"> prísnejšou sankciou ako uloženie opatrenia na odstránenie a nápravu zistených nedostatkov</w:t>
      </w:r>
      <w:r>
        <w:rPr>
          <w:rFonts w:ascii="Arial" w:hAnsi="Arial" w:cs="Arial"/>
          <w:color w:val="1F497D"/>
          <w:sz w:val="20"/>
          <w:szCs w:val="20"/>
        </w:rPr>
        <w:t xml:space="preserve">; je tiež veľmi vysoká, takže by sa hodilo aj definovať, čo sa má pri ukladaní sankcií zohľadňovať, aký postup, a tiež zoradiť sankcie podľa ich závažnosti a intenzity </w:t>
      </w:r>
    </w:p>
    <w:p w:rsidR="003E47ED" w:rsidRDefault="003E47ED" w:rsidP="003E47ED">
      <w:pPr>
        <w:pStyle w:val="Odsekzoznamu"/>
        <w:numPr>
          <w:ilvl w:val="0"/>
          <w:numId w:val="2"/>
        </w:numPr>
        <w:rPr>
          <w:rFonts w:ascii="Arial" w:hAnsi="Arial" w:cs="Arial"/>
          <w:color w:val="1F497D"/>
          <w:sz w:val="20"/>
          <w:szCs w:val="20"/>
        </w:rPr>
      </w:pPr>
      <w:r>
        <w:rPr>
          <w:rFonts w:ascii="Arial" w:hAnsi="Arial" w:cs="Arial"/>
          <w:color w:val="1F497D"/>
          <w:sz w:val="20"/>
          <w:szCs w:val="20"/>
        </w:rPr>
        <w:t>Tiež nie je zrejmé, akým spôsobom môže pri porušení práv finančného spotrebiteľa dôjsť k poškodeniu jeho zdravia alebo života – vzhľadom na závažnosť sankcie, ktorá tu za to hrozí, by sa hodila bližšia úprava, spôsob preukazovania príčinnej súvislosti a pod.</w:t>
      </w:r>
    </w:p>
    <w:p w:rsidR="003E47ED" w:rsidRDefault="003E47ED" w:rsidP="003E47ED">
      <w:pPr>
        <w:pStyle w:val="Odsekzoznamu"/>
        <w:numPr>
          <w:ilvl w:val="0"/>
          <w:numId w:val="2"/>
        </w:numPr>
        <w:rPr>
          <w:rFonts w:ascii="Arial" w:hAnsi="Arial" w:cs="Arial"/>
          <w:color w:val="1F497D"/>
          <w:sz w:val="20"/>
          <w:szCs w:val="20"/>
        </w:rPr>
      </w:pPr>
      <w:r>
        <w:rPr>
          <w:rFonts w:ascii="Arial" w:hAnsi="Arial" w:cs="Arial"/>
          <w:color w:val="1F497D"/>
          <w:sz w:val="20"/>
          <w:szCs w:val="20"/>
        </w:rPr>
        <w:t xml:space="preserve">Desať rokov na uloženie sankcie je príliš dlhé obdobie – </w:t>
      </w:r>
      <w:r>
        <w:rPr>
          <w:rFonts w:ascii="Arial" w:hAnsi="Arial" w:cs="Arial"/>
          <w:color w:val="1F497D"/>
          <w:sz w:val="20"/>
          <w:szCs w:val="20"/>
          <w:u w:val="single"/>
        </w:rPr>
        <w:t>dohliadanému subjektu sa bude spätne za takéto dlhé obdobie ťažko dokazovať</w:t>
      </w:r>
      <w:r>
        <w:rPr>
          <w:rFonts w:ascii="Arial" w:hAnsi="Arial" w:cs="Arial"/>
          <w:color w:val="1F497D"/>
          <w:sz w:val="20"/>
          <w:szCs w:val="20"/>
        </w:rPr>
        <w:t xml:space="preserve">, že </w:t>
      </w:r>
      <w:r>
        <w:rPr>
          <w:rFonts w:ascii="Arial" w:hAnsi="Arial" w:cs="Arial"/>
          <w:color w:val="1F497D"/>
          <w:sz w:val="20"/>
          <w:szCs w:val="20"/>
          <w:u w:val="single"/>
        </w:rPr>
        <w:t>k porušeniu nedošlo, resp. že okolnosti boli iné</w:t>
      </w:r>
      <w:r>
        <w:rPr>
          <w:rFonts w:ascii="Arial" w:hAnsi="Arial" w:cs="Arial"/>
          <w:color w:val="1F497D"/>
          <w:sz w:val="20"/>
          <w:szCs w:val="20"/>
        </w:rPr>
        <w:t xml:space="preserve">; </w:t>
      </w:r>
      <w:r>
        <w:rPr>
          <w:rFonts w:ascii="Arial" w:hAnsi="Arial" w:cs="Arial"/>
          <w:color w:val="000000"/>
          <w:sz w:val="20"/>
          <w:szCs w:val="20"/>
          <w:u w:val="single"/>
        </w:rPr>
        <w:t>žiadame</w:t>
      </w:r>
      <w:r>
        <w:rPr>
          <w:rFonts w:ascii="Arial" w:hAnsi="Arial" w:cs="Arial"/>
          <w:color w:val="1F497D"/>
          <w:sz w:val="20"/>
          <w:szCs w:val="20"/>
          <w:u w:val="single"/>
        </w:rPr>
        <w:t xml:space="preserve"> skrátiť lehotu na </w:t>
      </w:r>
      <w:r>
        <w:rPr>
          <w:rFonts w:ascii="Arial" w:hAnsi="Arial" w:cs="Arial"/>
          <w:color w:val="000000"/>
          <w:sz w:val="20"/>
          <w:szCs w:val="20"/>
          <w:u w:val="single"/>
        </w:rPr>
        <w:t xml:space="preserve">max. </w:t>
      </w:r>
      <w:r>
        <w:rPr>
          <w:rFonts w:ascii="Arial" w:hAnsi="Arial" w:cs="Arial"/>
          <w:color w:val="1F497D"/>
          <w:sz w:val="20"/>
          <w:szCs w:val="20"/>
          <w:u w:val="single"/>
        </w:rPr>
        <w:t>3 roky</w:t>
      </w:r>
      <w:r>
        <w:rPr>
          <w:rFonts w:ascii="Arial" w:hAnsi="Arial" w:cs="Arial"/>
          <w:color w:val="1F497D"/>
          <w:sz w:val="20"/>
          <w:szCs w:val="20"/>
        </w:rPr>
        <w:t>,</w:t>
      </w:r>
      <w:r>
        <w:rPr>
          <w:rFonts w:ascii="Arial" w:hAnsi="Arial" w:cs="Arial"/>
          <w:color w:val="000000"/>
          <w:sz w:val="20"/>
          <w:szCs w:val="20"/>
        </w:rPr>
        <w:t xml:space="preserve"> a tak ju priblížiť štandardnému premlčaniu </w:t>
      </w:r>
      <w:r>
        <w:rPr>
          <w:rFonts w:ascii="Arial" w:hAnsi="Arial" w:cs="Arial"/>
          <w:color w:val="000000"/>
          <w:sz w:val="20"/>
          <w:szCs w:val="20"/>
        </w:rPr>
        <w:lastRenderedPageBreak/>
        <w:t>nároku, ktorý by spotrebiteľ si mohol uplatňovať súdnou cestou</w:t>
      </w:r>
      <w:r>
        <w:rPr>
          <w:rFonts w:ascii="Arial" w:hAnsi="Arial" w:cs="Arial"/>
          <w:color w:val="1F497D"/>
          <w:sz w:val="20"/>
          <w:szCs w:val="20"/>
        </w:rPr>
        <w:t xml:space="preserve"> </w:t>
      </w:r>
      <w:r>
        <w:rPr>
          <w:rFonts w:ascii="Arial" w:hAnsi="Arial" w:cs="Arial"/>
          <w:color w:val="000000"/>
          <w:sz w:val="20"/>
          <w:szCs w:val="20"/>
        </w:rPr>
        <w:t xml:space="preserve">a </w:t>
      </w:r>
      <w:r>
        <w:rPr>
          <w:rFonts w:ascii="Arial" w:hAnsi="Arial" w:cs="Arial"/>
          <w:color w:val="1F497D"/>
          <w:sz w:val="20"/>
          <w:szCs w:val="20"/>
        </w:rPr>
        <w:t>najmä ak to bude závisieť aj od výpovede zamestnancov dohliadaného subjektu</w:t>
      </w:r>
    </w:p>
    <w:p w:rsidR="003E47ED" w:rsidRDefault="003E47ED" w:rsidP="003E47ED">
      <w:pPr>
        <w:rPr>
          <w:rFonts w:ascii="Arial" w:hAnsi="Arial" w:cs="Arial"/>
          <w:color w:val="1F497D"/>
          <w:sz w:val="20"/>
          <w:szCs w:val="20"/>
        </w:rPr>
      </w:pPr>
    </w:p>
    <w:p w:rsidR="003E47ED" w:rsidRDefault="003E47ED" w:rsidP="003E47ED">
      <w:pPr>
        <w:rPr>
          <w:rFonts w:ascii="Arial" w:hAnsi="Arial" w:cs="Arial"/>
          <w:color w:val="1F497D"/>
          <w:sz w:val="20"/>
          <w:szCs w:val="20"/>
        </w:rPr>
      </w:pPr>
      <w:r>
        <w:rPr>
          <w:rFonts w:ascii="Arial" w:hAnsi="Arial" w:cs="Arial"/>
          <w:color w:val="1F497D"/>
          <w:sz w:val="20"/>
          <w:szCs w:val="20"/>
        </w:rPr>
        <w:t xml:space="preserve">§35g – ďalšia sankcia, ktorá v podstate hrozí dohliadanému subjektu za rovnaké porušenie; odňatie je veľmi závažné porušenie, odkaz na § 35d; takisto nie je vyriešené, čo v prípade, ak dohliadaný subjekt nesúhlasí s tvrdením NBS, že ide o neprijateľnú zmluvnú podmienku; </w:t>
      </w:r>
    </w:p>
    <w:p w:rsidR="003E47ED" w:rsidRDefault="003E47ED" w:rsidP="003E47ED">
      <w:pPr>
        <w:rPr>
          <w:rFonts w:ascii="Arial" w:hAnsi="Arial" w:cs="Arial"/>
          <w:color w:val="1F497D"/>
          <w:sz w:val="20"/>
          <w:szCs w:val="20"/>
        </w:rPr>
      </w:pPr>
    </w:p>
    <w:p w:rsidR="003E47ED" w:rsidRDefault="003E47ED" w:rsidP="003E47ED">
      <w:pPr>
        <w:rPr>
          <w:rFonts w:ascii="Arial" w:hAnsi="Arial" w:cs="Arial"/>
          <w:color w:val="1F497D"/>
          <w:sz w:val="20"/>
          <w:szCs w:val="20"/>
        </w:rPr>
      </w:pPr>
      <w:r>
        <w:rPr>
          <w:rFonts w:ascii="Arial" w:hAnsi="Arial" w:cs="Arial"/>
          <w:color w:val="1F497D"/>
          <w:sz w:val="20"/>
          <w:szCs w:val="20"/>
        </w:rPr>
        <w:t>§35h – nie je definované, čo sa považuje za kontrolné zaobstaranie finančnej služby; čo v prípade, ak bola zmluva uzatváraná prostredníctvom sprostredkovateľov – čo s províziami vyplatenými VFA/SFA? Čo s povinnosťou nahlasovať SKP zmluvy o PZP? Kto dohliadanému subjektu nahradí škody, ktoré mu vzniknú v dôsledku zrušenia zmluvy?</w:t>
      </w:r>
    </w:p>
    <w:p w:rsidR="003E47ED" w:rsidRDefault="003E47ED" w:rsidP="003E47ED">
      <w:pPr>
        <w:rPr>
          <w:rFonts w:ascii="Arial" w:hAnsi="Arial" w:cs="Arial"/>
          <w:color w:val="1F497D"/>
          <w:sz w:val="20"/>
          <w:szCs w:val="20"/>
        </w:rPr>
      </w:pPr>
    </w:p>
    <w:p w:rsidR="003E47ED" w:rsidRDefault="003E47ED" w:rsidP="003E47ED">
      <w:pPr>
        <w:rPr>
          <w:rFonts w:ascii="Arial" w:hAnsi="Arial" w:cs="Arial"/>
          <w:color w:val="1F497D"/>
          <w:sz w:val="20"/>
          <w:szCs w:val="20"/>
        </w:rPr>
      </w:pPr>
      <w:r>
        <w:rPr>
          <w:rFonts w:ascii="Arial" w:hAnsi="Arial" w:cs="Arial"/>
          <w:color w:val="1F497D"/>
          <w:sz w:val="20"/>
          <w:szCs w:val="20"/>
        </w:rPr>
        <w:t>§40a – ďalší „trest“ za porušenie ochrany spotrebiteľa; navrhovaná úprava niekoľkonásobne, až neprimerane trestá dohliadaný subjekt</w:t>
      </w:r>
    </w:p>
    <w:p w:rsidR="003E47ED" w:rsidRDefault="003E47ED" w:rsidP="003E47ED">
      <w:pPr>
        <w:rPr>
          <w:rFonts w:ascii="Arial" w:hAnsi="Arial" w:cs="Arial"/>
          <w:color w:val="1F497D"/>
          <w:sz w:val="20"/>
          <w:szCs w:val="20"/>
        </w:rPr>
      </w:pPr>
    </w:p>
    <w:p w:rsidR="003E47ED" w:rsidRDefault="003E47ED" w:rsidP="003E47ED">
      <w:pPr>
        <w:rPr>
          <w:rFonts w:ascii="Arial" w:hAnsi="Arial" w:cs="Arial"/>
          <w:color w:val="1F497D"/>
          <w:sz w:val="20"/>
          <w:szCs w:val="20"/>
        </w:rPr>
      </w:pPr>
      <w:r>
        <w:rPr>
          <w:rFonts w:ascii="Arial" w:hAnsi="Arial" w:cs="Arial"/>
          <w:color w:val="1F497D"/>
          <w:sz w:val="20"/>
          <w:szCs w:val="20"/>
        </w:rPr>
        <w:t xml:space="preserve">§45d- prechodné ustanovenia – </w:t>
      </w:r>
      <w:r>
        <w:rPr>
          <w:rFonts w:ascii="Arial" w:hAnsi="Arial" w:cs="Arial"/>
          <w:color w:val="1F497D"/>
          <w:sz w:val="20"/>
          <w:szCs w:val="20"/>
          <w:u w:val="single"/>
        </w:rPr>
        <w:t>ako môže dohliadaný subjekt odstrániť prípadné nedostatky pri zmluvách, ktoré už boli dávno uzatvorené</w:t>
      </w:r>
      <w:r>
        <w:rPr>
          <w:rFonts w:ascii="Arial" w:hAnsi="Arial" w:cs="Arial"/>
          <w:color w:val="1F497D"/>
          <w:sz w:val="20"/>
          <w:szCs w:val="20"/>
        </w:rPr>
        <w:t xml:space="preserve">? </w:t>
      </w:r>
      <w:r>
        <w:rPr>
          <w:rFonts w:ascii="Arial" w:hAnsi="Arial" w:cs="Arial"/>
          <w:color w:val="1F497D"/>
          <w:sz w:val="20"/>
          <w:szCs w:val="20"/>
          <w:u w:val="single"/>
        </w:rPr>
        <w:t>Tu nemôže odstrániť v podstate žiadne nedostatky a bude trestaný za niečo, čo nemôže napraviť; neprijateľná spätná účinnosť</w:t>
      </w:r>
      <w:r>
        <w:rPr>
          <w:rFonts w:ascii="Arial" w:hAnsi="Arial" w:cs="Arial"/>
          <w:color w:val="000000"/>
          <w:sz w:val="20"/>
          <w:szCs w:val="20"/>
          <w:u w:val="single"/>
        </w:rPr>
        <w:t>. Žiadame toto ustanovenie prepracovať a platnosť novely priamo aplikovať iba na zmluvy uzavreté po 1.1.2015.</w:t>
      </w:r>
    </w:p>
    <w:p w:rsidR="003E47ED" w:rsidRDefault="003E47ED" w:rsidP="003E47ED">
      <w:pPr>
        <w:rPr>
          <w:rFonts w:ascii="Arial" w:hAnsi="Arial" w:cs="Arial"/>
          <w:color w:val="1F497D"/>
          <w:sz w:val="20"/>
          <w:szCs w:val="20"/>
        </w:rPr>
      </w:pPr>
    </w:p>
    <w:p w:rsidR="003E47ED" w:rsidRDefault="003E47ED" w:rsidP="003E47ED">
      <w:pPr>
        <w:rPr>
          <w:rFonts w:ascii="Arial" w:hAnsi="Arial" w:cs="Arial"/>
          <w:color w:val="1F497D"/>
          <w:sz w:val="20"/>
          <w:szCs w:val="20"/>
        </w:rPr>
      </w:pPr>
    </w:p>
    <w:p w:rsidR="003E47ED" w:rsidRDefault="003E47ED" w:rsidP="003E47ED">
      <w:pPr>
        <w:rPr>
          <w:rFonts w:ascii="Arial" w:hAnsi="Arial" w:cs="Arial"/>
          <w:color w:val="1F497D"/>
          <w:sz w:val="16"/>
          <w:szCs w:val="16"/>
        </w:rPr>
      </w:pPr>
      <w:r>
        <w:rPr>
          <w:rFonts w:ascii="Arial" w:hAnsi="Arial" w:cs="Arial"/>
          <w:color w:val="1F497D"/>
          <w:sz w:val="16"/>
          <w:szCs w:val="16"/>
        </w:rPr>
        <w:t>S pozdravom</w:t>
      </w:r>
    </w:p>
    <w:p w:rsidR="003E47ED" w:rsidRDefault="003E47ED" w:rsidP="003E47ED">
      <w:pPr>
        <w:rPr>
          <w:rFonts w:ascii="Arial" w:hAnsi="Arial" w:cs="Arial"/>
          <w:color w:val="1F497D"/>
          <w:sz w:val="16"/>
          <w:szCs w:val="16"/>
        </w:rPr>
      </w:pPr>
    </w:p>
    <w:p w:rsidR="003E47ED" w:rsidRDefault="003E47ED" w:rsidP="003E47ED">
      <w:pPr>
        <w:rPr>
          <w:rFonts w:ascii="Arial" w:hAnsi="Arial" w:cs="Arial"/>
          <w:color w:val="1F497D"/>
          <w:sz w:val="16"/>
          <w:szCs w:val="16"/>
        </w:rPr>
      </w:pPr>
      <w:r>
        <w:rPr>
          <w:rFonts w:ascii="Arial" w:hAnsi="Arial" w:cs="Arial"/>
          <w:noProof/>
          <w:color w:val="1F497D"/>
          <w:sz w:val="16"/>
          <w:szCs w:val="16"/>
        </w:rPr>
        <w:drawing>
          <wp:inline distT="0" distB="0" distL="0" distR="0">
            <wp:extent cx="1085850" cy="1085850"/>
            <wp:effectExtent l="19050" t="0" r="0" b="0"/>
            <wp:docPr id="1" name="obrázek 1" descr="cid:image003.png@01CF960C.6672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3.png@01CF960C.66721440"/>
                    <pic:cNvPicPr>
                      <a:picLocks noChangeAspect="1" noChangeArrowheads="1"/>
                    </pic:cNvPicPr>
                  </pic:nvPicPr>
                  <pic:blipFill>
                    <a:blip r:embed="rId5" r:link="rId6" cstate="print"/>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p w:rsidR="003E47ED" w:rsidRDefault="003E47ED" w:rsidP="003E47ED">
      <w:pPr>
        <w:rPr>
          <w:rFonts w:ascii="Arial" w:hAnsi="Arial" w:cs="Arial"/>
          <w:color w:val="1F497D"/>
          <w:sz w:val="16"/>
          <w:szCs w:val="16"/>
        </w:rPr>
      </w:pPr>
    </w:p>
    <w:p w:rsidR="003E47ED" w:rsidRDefault="003E47ED" w:rsidP="003E47ED">
      <w:pPr>
        <w:rPr>
          <w:rFonts w:ascii="Arial" w:hAnsi="Arial" w:cs="Arial"/>
          <w:b/>
          <w:bCs/>
          <w:color w:val="1F497D"/>
          <w:sz w:val="16"/>
          <w:szCs w:val="16"/>
        </w:rPr>
      </w:pPr>
      <w:r>
        <w:rPr>
          <w:rFonts w:ascii="Arial" w:hAnsi="Arial" w:cs="Arial"/>
          <w:b/>
          <w:bCs/>
          <w:color w:val="1F497D"/>
          <w:sz w:val="16"/>
          <w:szCs w:val="16"/>
        </w:rPr>
        <w:t>JUDr. Jana Sýkorová</w:t>
      </w:r>
    </w:p>
    <w:p w:rsidR="003E47ED" w:rsidRDefault="003E47ED" w:rsidP="003E47ED">
      <w:pPr>
        <w:rPr>
          <w:rFonts w:ascii="Arial" w:hAnsi="Arial" w:cs="Arial"/>
          <w:color w:val="1F497D"/>
          <w:sz w:val="16"/>
          <w:szCs w:val="16"/>
        </w:rPr>
      </w:pPr>
      <w:r>
        <w:rPr>
          <w:rFonts w:ascii="Arial" w:hAnsi="Arial" w:cs="Arial"/>
          <w:color w:val="1F497D"/>
          <w:sz w:val="16"/>
          <w:szCs w:val="16"/>
        </w:rPr>
        <w:t>Právnička</w:t>
      </w:r>
    </w:p>
    <w:p w:rsidR="002C0037" w:rsidRDefault="002C0037"/>
    <w:sectPr w:rsidR="002C0037" w:rsidSect="002C00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altName w:val="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D0C49"/>
    <w:multiLevelType w:val="hybridMultilevel"/>
    <w:tmpl w:val="C186D416"/>
    <w:lvl w:ilvl="0" w:tplc="1C183402">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nsid w:val="45102CD6"/>
    <w:multiLevelType w:val="hybridMultilevel"/>
    <w:tmpl w:val="7798A44E"/>
    <w:lvl w:ilvl="0" w:tplc="66A2EF5E">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47ED"/>
    <w:rsid w:val="002C0037"/>
    <w:rsid w:val="003E47E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47ED"/>
    <w:pPr>
      <w:spacing w:after="0" w:line="240" w:lineRule="auto"/>
    </w:pPr>
    <w:rPr>
      <w:rFonts w:ascii="Calibri" w:hAnsi="Calibri"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E47ED"/>
    <w:pPr>
      <w:ind w:left="720"/>
    </w:pPr>
  </w:style>
  <w:style w:type="paragraph" w:styleId="Textbubliny">
    <w:name w:val="Balloon Text"/>
    <w:basedOn w:val="Normlny"/>
    <w:link w:val="TextbublinyChar"/>
    <w:uiPriority w:val="99"/>
    <w:semiHidden/>
    <w:unhideWhenUsed/>
    <w:rsid w:val="003E47ED"/>
    <w:rPr>
      <w:rFonts w:ascii="Tahoma" w:hAnsi="Tahoma" w:cs="Tahoma"/>
      <w:sz w:val="16"/>
      <w:szCs w:val="16"/>
    </w:rPr>
  </w:style>
  <w:style w:type="character" w:customStyle="1" w:styleId="TextbublinyChar">
    <w:name w:val="Text bubliny Char"/>
    <w:basedOn w:val="Predvolenpsmoodseku"/>
    <w:link w:val="Textbubliny"/>
    <w:uiPriority w:val="99"/>
    <w:semiHidden/>
    <w:rsid w:val="003E47ED"/>
    <w:rPr>
      <w:rFonts w:ascii="Tahoma" w:hAnsi="Tahoma" w:cs="Tahoma"/>
      <w:sz w:val="16"/>
      <w:szCs w:val="16"/>
      <w:lang w:eastAsia="sk-SK"/>
    </w:rPr>
  </w:style>
</w:styles>
</file>

<file path=word/webSettings.xml><?xml version="1.0" encoding="utf-8"?>
<w:webSettings xmlns:r="http://schemas.openxmlformats.org/officeDocument/2006/relationships" xmlns:w="http://schemas.openxmlformats.org/wordprocessingml/2006/main">
  <w:divs>
    <w:div w:id="195763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CF960C.6672144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1533</Words>
  <Characters>8740</Characters>
  <Application>Microsoft Office Word</Application>
  <DocSecurity>0</DocSecurity>
  <Lines>72</Lines>
  <Paragraphs>20</Paragraphs>
  <ScaleCrop>false</ScaleCrop>
  <Company>HP</Company>
  <LinksUpToDate>false</LinksUpToDate>
  <CharactersWithSpaces>10253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cp:revision>
  <dcterms:created xsi:type="dcterms:W3CDTF">2014-07-04T13:18:00Z</dcterms:created>
  <dcterms:modified xsi:type="dcterms:W3CDTF">2014-07-04T13:18:00Z</dcterms:modified>
</cp:coreProperties>
</file>