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80" w:rsidRDefault="00453A80" w:rsidP="00E56ECB">
      <w:r>
        <w:t>Dobrý deň prajem, za našu spoločnosť Vám zasielam nasledovné podnety na zmeny zákona č. 186/2009 Z. z. o finančnom sprostredkovaní a finančnom poradenstve:</w:t>
      </w:r>
    </w:p>
    <w:p w:rsidR="00453A80" w:rsidRDefault="00453A80" w:rsidP="00E56ECB"/>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sz w:val="20"/>
          <w:szCs w:val="20"/>
        </w:rPr>
        <w:t>Register FA – rozšíriť informácie o možnosť zistiť, pod ktorého SFA patrí PFA</w:t>
      </w:r>
    </w:p>
    <w:p w:rsidR="00453A80" w:rsidRDefault="00453A80" w:rsidP="00E56ECB">
      <w:pPr>
        <w:pStyle w:val="Odsekzoznamu"/>
        <w:ind w:left="0"/>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b/>
          <w:bCs/>
          <w:color w:val="FF0000"/>
          <w:sz w:val="20"/>
          <w:szCs w:val="20"/>
        </w:rPr>
        <w:t>Výmena informácií o sprostredkovateľoch medzi poisťovňami</w:t>
      </w:r>
      <w:r>
        <w:rPr>
          <w:rFonts w:ascii="Arial" w:hAnsi="Arial" w:cs="Arial"/>
          <w:color w:val="FF0000"/>
          <w:sz w:val="20"/>
          <w:szCs w:val="20"/>
        </w:rPr>
        <w:t xml:space="preserve"> </w:t>
      </w:r>
      <w:r>
        <w:rPr>
          <w:rFonts w:ascii="Arial" w:hAnsi="Arial" w:cs="Arial"/>
          <w:sz w:val="20"/>
          <w:szCs w:val="20"/>
        </w:rPr>
        <w:t xml:space="preserve">– niečo obdobné, ako je upravené v § 40 ods. 4 zákona o poisťovníctve. Prípadne doplniť </w:t>
      </w:r>
      <w:proofErr w:type="spellStart"/>
      <w:r>
        <w:rPr>
          <w:rFonts w:ascii="Arial" w:hAnsi="Arial" w:cs="Arial"/>
          <w:sz w:val="20"/>
          <w:szCs w:val="20"/>
        </w:rPr>
        <w:t>ZoFSaFP</w:t>
      </w:r>
      <w:proofErr w:type="spellEnd"/>
      <w:r>
        <w:rPr>
          <w:rFonts w:ascii="Arial" w:hAnsi="Arial" w:cs="Arial"/>
          <w:sz w:val="20"/>
          <w:szCs w:val="20"/>
        </w:rPr>
        <w:t xml:space="preserve"> aj o vedenie nejakého „registra“. Môže sa to zdôvodniť rizikom podvodu, nekalého konania, ochrany záujmov poisťovne a spotrebiteľa.</w:t>
      </w:r>
      <w:r>
        <w:rPr>
          <w:rFonts w:ascii="Arial" w:hAnsi="Arial" w:cs="Arial"/>
          <w:color w:val="FF0000"/>
          <w:sz w:val="20"/>
          <w:szCs w:val="20"/>
        </w:rPr>
        <w:t xml:space="preserve"> </w:t>
      </w:r>
    </w:p>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sz w:val="20"/>
          <w:szCs w:val="20"/>
        </w:rPr>
        <w:t>Dôveryhodnosť – bolo by vhodné, kedy existoval nejaký medzi stupeň t. j. nebola by upravená len strata dôveryhodnosti (napr. právoplatným odsúdením za trestný čin), ale aj nejaké dočasné pozastavenie činnosti na základe podozrenia, vyšetrovania nekalej činnosti. Vzhľadom na dĺžku trestných konaní je strata dôveryhodnosti, tak ako ju upravuje zákon, prakticky nepoužiteľná.</w:t>
      </w:r>
    </w:p>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sz w:val="20"/>
          <w:szCs w:val="20"/>
        </w:rPr>
        <w:t xml:space="preserve">Vzdelávanie – </w:t>
      </w:r>
      <w:proofErr w:type="spellStart"/>
      <w:r>
        <w:rPr>
          <w:rFonts w:ascii="Arial" w:hAnsi="Arial" w:cs="Arial"/>
          <w:sz w:val="20"/>
          <w:szCs w:val="20"/>
        </w:rPr>
        <w:t>doporučujeme</w:t>
      </w:r>
      <w:proofErr w:type="spellEnd"/>
      <w:r>
        <w:rPr>
          <w:rFonts w:ascii="Arial" w:hAnsi="Arial" w:cs="Arial"/>
          <w:sz w:val="20"/>
          <w:szCs w:val="20"/>
        </w:rPr>
        <w:t xml:space="preserve"> zvýšiť požiadavku na odborné vzdelávanie aspoň u tých FA, ktorí predávajú životné a najmä investičné poistenie. Toto bez ohľadu či sú ako VFA, PFA, SFA.</w:t>
      </w:r>
    </w:p>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sz w:val="20"/>
          <w:szCs w:val="20"/>
        </w:rPr>
        <w:t xml:space="preserve">Zadefinovať rozdiel medzi klientom a potenciálnym klientom + bližšie vysvetliť § 31 ods. 8 </w:t>
      </w:r>
      <w:proofErr w:type="spellStart"/>
      <w:r>
        <w:rPr>
          <w:rFonts w:ascii="Arial" w:hAnsi="Arial" w:cs="Arial"/>
          <w:sz w:val="20"/>
          <w:szCs w:val="20"/>
        </w:rPr>
        <w:t>ZoFSaFP</w:t>
      </w:r>
      <w:proofErr w:type="spellEnd"/>
      <w:r>
        <w:rPr>
          <w:rFonts w:ascii="Arial" w:hAnsi="Arial" w:cs="Arial"/>
          <w:sz w:val="20"/>
          <w:szCs w:val="20"/>
        </w:rPr>
        <w:t>.</w:t>
      </w:r>
    </w:p>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sz w:val="20"/>
          <w:szCs w:val="20"/>
        </w:rPr>
        <w:t xml:space="preserve">Neumožniť, aby jedna osoba sprostredkovávala poistenie ako FO a zároveň aj v rámci PO. </w:t>
      </w:r>
    </w:p>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sz w:val="20"/>
          <w:szCs w:val="20"/>
        </w:rPr>
        <w:t>Upraviť situáciu, kedy klient žiada o zmenu „správcu“ poistenia a dotknutý finančný agent s tým nesúhlasí.</w:t>
      </w:r>
    </w:p>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sz w:val="20"/>
          <w:szCs w:val="20"/>
        </w:rPr>
        <w:t>Bližšie špecifikovať informačné povinnosti pre sektor poistenia a to najmä životného poistenia (</w:t>
      </w:r>
      <w:proofErr w:type="spellStart"/>
      <w:r>
        <w:rPr>
          <w:rFonts w:ascii="Arial" w:hAnsi="Arial" w:cs="Arial"/>
          <w:sz w:val="20"/>
          <w:szCs w:val="20"/>
        </w:rPr>
        <w:t>upresniť</w:t>
      </w:r>
      <w:proofErr w:type="spellEnd"/>
      <w:r>
        <w:rPr>
          <w:rFonts w:ascii="Arial" w:hAnsi="Arial" w:cs="Arial"/>
          <w:sz w:val="20"/>
          <w:szCs w:val="20"/>
        </w:rPr>
        <w:t xml:space="preserve">, čo je tým myslené). Zvážiť, či je nevyhnutné, aby FA poskytoval klientovi skutočne všetky </w:t>
      </w:r>
      <w:proofErr w:type="spellStart"/>
      <w:r>
        <w:rPr>
          <w:rFonts w:ascii="Arial" w:hAnsi="Arial" w:cs="Arial"/>
          <w:sz w:val="20"/>
          <w:szCs w:val="20"/>
        </w:rPr>
        <w:t>info</w:t>
      </w:r>
      <w:proofErr w:type="spellEnd"/>
      <w:r>
        <w:rPr>
          <w:rFonts w:ascii="Arial" w:hAnsi="Arial" w:cs="Arial"/>
          <w:sz w:val="20"/>
          <w:szCs w:val="20"/>
        </w:rPr>
        <w:t xml:space="preserve"> o sebe, tak ako ukladá zákon (výhradná/nevýhradná zmluva, registračné číslo, sťažnosti). </w:t>
      </w:r>
    </w:p>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rPr>
          <w:rFonts w:ascii="Arial" w:hAnsi="Arial" w:cs="Arial"/>
          <w:sz w:val="20"/>
          <w:szCs w:val="20"/>
        </w:rPr>
      </w:pPr>
      <w:r>
        <w:rPr>
          <w:rFonts w:ascii="Arial" w:hAnsi="Arial" w:cs="Arial"/>
          <w:sz w:val="20"/>
          <w:szCs w:val="20"/>
        </w:rPr>
        <w:t xml:space="preserve">„Výklad NBS“ k posudzovaniu klienta, </w:t>
      </w:r>
      <w:proofErr w:type="spellStart"/>
      <w:r>
        <w:rPr>
          <w:rFonts w:ascii="Arial" w:hAnsi="Arial" w:cs="Arial"/>
          <w:sz w:val="20"/>
          <w:szCs w:val="20"/>
        </w:rPr>
        <w:t>upresniť</w:t>
      </w:r>
      <w:proofErr w:type="spellEnd"/>
      <w:r>
        <w:rPr>
          <w:rFonts w:ascii="Arial" w:hAnsi="Arial" w:cs="Arial"/>
          <w:sz w:val="20"/>
          <w:szCs w:val="20"/>
        </w:rPr>
        <w:t xml:space="preserve">, zmeniť – ak klient odmietne poskytnúť </w:t>
      </w:r>
      <w:proofErr w:type="spellStart"/>
      <w:r>
        <w:rPr>
          <w:rFonts w:ascii="Arial" w:hAnsi="Arial" w:cs="Arial"/>
          <w:sz w:val="20"/>
          <w:szCs w:val="20"/>
        </w:rPr>
        <w:t>info</w:t>
      </w:r>
      <w:proofErr w:type="spellEnd"/>
      <w:r>
        <w:rPr>
          <w:rFonts w:ascii="Arial" w:hAnsi="Arial" w:cs="Arial"/>
          <w:sz w:val="20"/>
          <w:szCs w:val="20"/>
        </w:rPr>
        <w:t xml:space="preserve">, FA nesmie ponúknuť (odporúčať) uzavretie PZ. Takáto úprava nemá zmysel napr. v prípade neživotného poistenia. </w:t>
      </w:r>
    </w:p>
    <w:p w:rsidR="00453A80" w:rsidRDefault="00453A80" w:rsidP="00E56ECB">
      <w:pPr>
        <w:rPr>
          <w:rFonts w:ascii="Arial" w:hAnsi="Arial" w:cs="Arial"/>
          <w:sz w:val="20"/>
          <w:szCs w:val="20"/>
        </w:rPr>
      </w:pPr>
    </w:p>
    <w:p w:rsidR="00453A80" w:rsidRDefault="00453A80" w:rsidP="00E56ECB">
      <w:pPr>
        <w:pStyle w:val="Odsekzoznamu"/>
        <w:numPr>
          <w:ilvl w:val="0"/>
          <w:numId w:val="1"/>
        </w:numPr>
        <w:ind w:left="0"/>
      </w:pPr>
      <w:r>
        <w:t xml:space="preserve">§ 7 (SFA) + § 8 (VFA) Zákona - pozitívne alebo negatívne vymedziť, kto môže byť SFA/VFA v zmysle subjektov (FO, PO, </w:t>
      </w:r>
      <w:proofErr w:type="spellStart"/>
      <w:r>
        <w:t>fin.inštitúcia</w:t>
      </w:r>
      <w:proofErr w:type="spellEnd"/>
      <w:r>
        <w:t xml:space="preserve"> a pod.)</w:t>
      </w:r>
    </w:p>
    <w:p w:rsidR="00453A80" w:rsidRDefault="00453A80" w:rsidP="00E56ECB"/>
    <w:p w:rsidR="00453A80" w:rsidRDefault="00453A80" w:rsidP="00E56ECB">
      <w:pPr>
        <w:pStyle w:val="Odsekzoznamu"/>
        <w:numPr>
          <w:ilvl w:val="0"/>
          <w:numId w:val="1"/>
        </w:numPr>
        <w:ind w:left="0"/>
      </w:pPr>
      <w:r>
        <w:t xml:space="preserve">§ 11 ods. 1 zákona o </w:t>
      </w:r>
      <w:proofErr w:type="spellStart"/>
      <w:r>
        <w:t>FSaFP</w:t>
      </w:r>
      <w:proofErr w:type="spellEnd"/>
      <w:r>
        <w:t xml:space="preserve"> „1. Finančný sprostredkovateľ z iného členského štátu v sektore poistenia alebo zaistenia je oprávnený na území Slovenskej republiky vykonávať finančné sprostredkovanie alebo finančné poradenstvo v sektore poistenia alebo zaistenia v rozsahu, v akom je oprávnený vykonávať finančné sprostredkovanie alebo finančné poradenstvo v sektore poistenia alebo zaistenia vo svojom domovskom členskom štáte, a to prostredníctvom pobočky alebo na základe práva na slobodné poskytovanie služieb.“</w:t>
      </w:r>
    </w:p>
    <w:p w:rsidR="00453A80" w:rsidRDefault="00453A80" w:rsidP="00E56ECB">
      <w:pPr>
        <w:pStyle w:val="Odsekzoznamu"/>
        <w:ind w:left="0"/>
      </w:pPr>
      <w:r>
        <w:t>- bolo by dobré túto vetu preštylizovať, pretože nastávajú prípady, kedy FS z iného členského štátu  nemôže v plnom rozsahu vykonávať finančné sprostredkovanie v sektore poistenia a zaistenia v rovnakom rozsahu ako vo svojom domovskom členkom štáte, pretože to odporuje ustanovenia našich zákonov.</w:t>
      </w:r>
    </w:p>
    <w:p w:rsidR="00453A80" w:rsidRDefault="00453A80" w:rsidP="00E56ECB">
      <w:pPr>
        <w:pStyle w:val="Odsekzoznamu"/>
        <w:ind w:left="0"/>
      </w:pPr>
      <w:r>
        <w:t xml:space="preserve">- vhodné stanoviť ohľadne tohto odseku, že pre FS z iného členského štátu sú ustanovenia § 11 ods. 4, § 28, § 30 ods. 1, § 31, § 32, § 33, § 34, § 35 zákona o </w:t>
      </w:r>
      <w:proofErr w:type="spellStart"/>
      <w:r>
        <w:t>FSaFP</w:t>
      </w:r>
      <w:proofErr w:type="spellEnd"/>
      <w:r>
        <w:t xml:space="preserve"> kogentné.</w:t>
      </w:r>
    </w:p>
    <w:p w:rsidR="00453A80" w:rsidRDefault="00453A80" w:rsidP="00E56ECB">
      <w:pPr>
        <w:pStyle w:val="Odsekzoznamu"/>
        <w:ind w:left="0"/>
      </w:pPr>
    </w:p>
    <w:p w:rsidR="00453A80" w:rsidRDefault="00453A80" w:rsidP="00E56ECB">
      <w:pPr>
        <w:pStyle w:val="Odsekzoznamu"/>
        <w:numPr>
          <w:ilvl w:val="0"/>
          <w:numId w:val="1"/>
        </w:numPr>
        <w:ind w:left="0"/>
      </w:pPr>
      <w:r>
        <w:t xml:space="preserve">§ 25 ods. 1 zákona o </w:t>
      </w:r>
      <w:proofErr w:type="spellStart"/>
      <w:r>
        <w:t>FSaFP</w:t>
      </w:r>
      <w:proofErr w:type="spellEnd"/>
    </w:p>
    <w:p w:rsidR="00453A80" w:rsidRDefault="00453A80" w:rsidP="00E56ECB">
      <w:pPr>
        <w:pStyle w:val="Odsekzoznamu"/>
        <w:ind w:left="0"/>
      </w:pPr>
      <w:r>
        <w:t>„1. Ak ide o právnickú osobu, samostatný finančný agent a finančný poradca sú povinní zahrnúť do svojej organizačnej štruktúry vedúceho zamestnanca.“</w:t>
      </w:r>
    </w:p>
    <w:p w:rsidR="00453A80" w:rsidRDefault="00453A80" w:rsidP="00E56ECB">
      <w:pPr>
        <w:pStyle w:val="Odsekzoznamu"/>
        <w:numPr>
          <w:ilvl w:val="0"/>
          <w:numId w:val="2"/>
        </w:numPr>
        <w:ind w:left="0"/>
      </w:pPr>
      <w:r>
        <w:t xml:space="preserve">Bolo by vhodné definovať, že osoba vykonávajúca funkciu vedúceho zamestnanca nemusí byť zároveň zamestnancom finančného agenta podľa zákona č. 311/2001 Z. z. (Zákonník práce). Vzťah vedúceho zamestnanca a finančného agenta môže byť aj obchodno-právny.  </w:t>
      </w:r>
    </w:p>
    <w:p w:rsidR="00453A80" w:rsidRDefault="00453A80" w:rsidP="00E56ECB">
      <w:pPr>
        <w:pStyle w:val="Odsekzoznamu"/>
        <w:ind w:left="0"/>
      </w:pPr>
    </w:p>
    <w:p w:rsidR="00453A80" w:rsidRDefault="00453A80" w:rsidP="00E56ECB">
      <w:pPr>
        <w:pStyle w:val="Odsekzoznamu"/>
        <w:numPr>
          <w:ilvl w:val="0"/>
          <w:numId w:val="1"/>
        </w:numPr>
        <w:ind w:left="0"/>
      </w:pPr>
      <w:r>
        <w:lastRenderedPageBreak/>
        <w:t xml:space="preserve">§ 33 ods. 4 písm. f) zákona o </w:t>
      </w:r>
      <w:proofErr w:type="spellStart"/>
      <w:r>
        <w:t>FSaFP</w:t>
      </w:r>
      <w:proofErr w:type="spellEnd"/>
      <w:r>
        <w:t xml:space="preserve"> </w:t>
      </w:r>
    </w:p>
    <w:p w:rsidR="00453A80" w:rsidRDefault="00453A80" w:rsidP="00E56ECB">
      <w:pPr>
        <w:pStyle w:val="Odsekzoznamu"/>
        <w:ind w:left="0"/>
      </w:pPr>
      <w:r>
        <w:t xml:space="preserve">Finančný agent je povinný pre uzatvorením PZ oznámiť: </w:t>
      </w:r>
    </w:p>
    <w:p w:rsidR="00453A80" w:rsidRDefault="00453A80" w:rsidP="00E56ECB">
      <w:pPr>
        <w:pStyle w:val="Odsekzoznamu"/>
        <w:ind w:left="0"/>
      </w:pPr>
      <w:r>
        <w:t>„f) výšku poplatkov a iných nákladov súvisiacich so sprostredkovanou finančnou službou.“</w:t>
      </w:r>
    </w:p>
    <w:p w:rsidR="00453A80" w:rsidRDefault="00453A80" w:rsidP="00E56ECB">
      <w:pPr>
        <w:pStyle w:val="Odsekzoznamu"/>
        <w:numPr>
          <w:ilvl w:val="0"/>
          <w:numId w:val="2"/>
        </w:numPr>
        <w:ind w:left="0"/>
      </w:pPr>
      <w:r>
        <w:t xml:space="preserve">bolo by vhodné definovať pojem „iné náklady súvisiace so sprostredkovanou FS“ v § 4 Zákona.  </w:t>
      </w:r>
    </w:p>
    <w:p w:rsidR="00453A80" w:rsidRDefault="00453A80" w:rsidP="00E56ECB"/>
    <w:p w:rsidR="00453A80" w:rsidRDefault="00453A80" w:rsidP="00E56ECB">
      <w:pPr>
        <w:pStyle w:val="Odsekzoznamu"/>
        <w:numPr>
          <w:ilvl w:val="0"/>
          <w:numId w:val="1"/>
        </w:numPr>
        <w:ind w:left="0"/>
      </w:pPr>
      <w:r>
        <w:t>Zamedziť FA, aby mohol vystupovať na 1 poistnej zmluve ako poistník a zároveň ako zástupca poisťovateľa.</w:t>
      </w:r>
    </w:p>
    <w:p w:rsidR="00453A80" w:rsidRDefault="00453A80" w:rsidP="00E56ECB"/>
    <w:p w:rsidR="00453A80" w:rsidRDefault="00453A80" w:rsidP="00E56ECB">
      <w:pPr>
        <w:rPr>
          <w:lang w:eastAsia="sk-SK"/>
        </w:rPr>
      </w:pPr>
      <w:r>
        <w:rPr>
          <w:lang w:eastAsia="sk-SK"/>
        </w:rPr>
        <w:t>S pozdravom</w:t>
      </w:r>
    </w:p>
    <w:p w:rsidR="00453A80" w:rsidRDefault="00453A80" w:rsidP="00E56ECB">
      <w:pPr>
        <w:rPr>
          <w:lang w:eastAsia="sk-SK"/>
        </w:rPr>
      </w:pPr>
    </w:p>
    <w:p w:rsidR="00453A80" w:rsidRDefault="00453A80" w:rsidP="00E56ECB">
      <w:pPr>
        <w:rPr>
          <w:rFonts w:ascii="Times New Roman" w:hAnsi="Times New Roman"/>
          <w:color w:val="000000"/>
          <w:sz w:val="24"/>
          <w:szCs w:val="24"/>
          <w:lang w:val="cs-CZ" w:eastAsia="sk-SK"/>
        </w:rPr>
      </w:pPr>
      <w:r>
        <w:rPr>
          <w:rFonts w:ascii="Arial" w:hAnsi="Arial" w:cs="Arial"/>
          <w:color w:val="000000"/>
          <w:sz w:val="20"/>
          <w:szCs w:val="20"/>
          <w:lang w:eastAsia="sk-SK"/>
        </w:rPr>
        <w:t>Mgr. Pavol Cvacho</w:t>
      </w:r>
    </w:p>
    <w:p w:rsidR="00453A80" w:rsidRDefault="00453A80" w:rsidP="00E56ECB">
      <w:pPr>
        <w:rPr>
          <w:color w:val="000000"/>
          <w:lang w:val="cs-CZ" w:eastAsia="sk-SK"/>
        </w:rPr>
      </w:pPr>
      <w:r>
        <w:rPr>
          <w:rFonts w:ascii="Arial" w:hAnsi="Arial" w:cs="Arial"/>
          <w:color w:val="000000"/>
          <w:sz w:val="20"/>
          <w:szCs w:val="20"/>
          <w:lang w:eastAsia="sk-SK"/>
        </w:rPr>
        <w:t xml:space="preserve">právnik </w:t>
      </w:r>
    </w:p>
    <w:p w:rsidR="00453A80" w:rsidRDefault="00453A80" w:rsidP="00E56ECB">
      <w:pPr>
        <w:rPr>
          <w:color w:val="1F497D"/>
          <w:lang w:val="cs-CZ" w:eastAsia="sk-SK"/>
        </w:rPr>
      </w:pPr>
      <w:r>
        <w:rPr>
          <w:color w:val="000000"/>
          <w:lang w:eastAsia="sk-SK"/>
        </w:rPr>
        <w:br/>
      </w:r>
      <w:proofErr w:type="spellStart"/>
      <w:r>
        <w:rPr>
          <w:rFonts w:ascii="Arial" w:hAnsi="Arial" w:cs="Arial"/>
          <w:color w:val="000000"/>
          <w:sz w:val="20"/>
          <w:szCs w:val="20"/>
          <w:lang w:eastAsia="sk-SK"/>
        </w:rPr>
        <w:t>Generali</w:t>
      </w:r>
      <w:proofErr w:type="spellEnd"/>
      <w:r>
        <w:rPr>
          <w:rFonts w:ascii="Arial" w:hAnsi="Arial" w:cs="Arial"/>
          <w:color w:val="000000"/>
          <w:sz w:val="20"/>
          <w:szCs w:val="20"/>
          <w:lang w:eastAsia="sk-SK"/>
        </w:rPr>
        <w:t xml:space="preserve"> Slovensko poisťovňa, a. s.</w:t>
      </w:r>
      <w:r>
        <w:rPr>
          <w:rFonts w:ascii="Arial" w:hAnsi="Arial" w:cs="Arial"/>
          <w:color w:val="000000"/>
          <w:sz w:val="20"/>
          <w:szCs w:val="20"/>
          <w:lang w:eastAsia="sk-SK"/>
        </w:rPr>
        <w:br/>
        <w:t xml:space="preserve">Odbor právnych služieb a </w:t>
      </w:r>
      <w:proofErr w:type="spellStart"/>
      <w:r>
        <w:rPr>
          <w:rFonts w:ascii="Arial" w:hAnsi="Arial" w:cs="Arial"/>
          <w:color w:val="000000"/>
          <w:sz w:val="20"/>
          <w:szCs w:val="20"/>
          <w:lang w:eastAsia="sk-SK"/>
        </w:rPr>
        <w:t>compliance</w:t>
      </w:r>
      <w:proofErr w:type="spellEnd"/>
    </w:p>
    <w:p w:rsidR="00453A80" w:rsidRDefault="00453A80" w:rsidP="00E56ECB">
      <w:pPr>
        <w:rPr>
          <w:rFonts w:ascii="Arial" w:hAnsi="Arial" w:cs="Arial"/>
          <w:color w:val="000000"/>
          <w:sz w:val="20"/>
          <w:szCs w:val="20"/>
          <w:lang w:eastAsia="sk-SK"/>
        </w:rPr>
      </w:pPr>
    </w:p>
    <w:p w:rsidR="00453A80" w:rsidRDefault="00453A80" w:rsidP="00E56ECB">
      <w:pPr>
        <w:rPr>
          <w:rFonts w:ascii="Arial" w:hAnsi="Arial" w:cs="Arial"/>
          <w:color w:val="000000"/>
          <w:sz w:val="20"/>
          <w:szCs w:val="20"/>
          <w:lang w:eastAsia="sk-SK"/>
        </w:rPr>
      </w:pPr>
      <w:r>
        <w:rPr>
          <w:rFonts w:ascii="Arial" w:hAnsi="Arial" w:cs="Arial"/>
          <w:color w:val="000000"/>
          <w:sz w:val="20"/>
          <w:szCs w:val="20"/>
          <w:lang w:eastAsia="sk-SK"/>
        </w:rPr>
        <w:t>Lamačská cesta 3/A, 841 04  Bratislava, SR</w:t>
      </w:r>
      <w:r>
        <w:rPr>
          <w:rFonts w:ascii="Arial" w:hAnsi="Arial" w:cs="Arial"/>
          <w:color w:val="000000"/>
          <w:sz w:val="20"/>
          <w:szCs w:val="20"/>
          <w:lang w:eastAsia="sk-SK"/>
        </w:rPr>
        <w:br/>
        <w:t>Tel.: +421 2 5857 6398</w:t>
      </w:r>
    </w:p>
    <w:p w:rsidR="00453A80" w:rsidRDefault="00453A80" w:rsidP="00E56ECB">
      <w:pPr>
        <w:rPr>
          <w:rFonts w:ascii="Times New Roman" w:hAnsi="Times New Roman"/>
          <w:color w:val="000000"/>
          <w:sz w:val="24"/>
          <w:szCs w:val="24"/>
          <w:lang w:val="cs-CZ" w:eastAsia="sk-SK"/>
        </w:rPr>
      </w:pPr>
      <w:r>
        <w:rPr>
          <w:rFonts w:ascii="Arial" w:hAnsi="Arial" w:cs="Arial"/>
          <w:color w:val="000000"/>
          <w:sz w:val="20"/>
          <w:szCs w:val="20"/>
          <w:lang w:eastAsia="sk-SK"/>
        </w:rPr>
        <w:t>Mobil: +421 918 801 377</w:t>
      </w:r>
    </w:p>
    <w:p w:rsidR="00453A80" w:rsidRDefault="00453A80" w:rsidP="00E56ECB">
      <w:pPr>
        <w:rPr>
          <w:color w:val="000000"/>
          <w:lang w:val="cs-CZ" w:eastAsia="sk-SK"/>
        </w:rPr>
      </w:pPr>
      <w:r>
        <w:rPr>
          <w:color w:val="000000"/>
          <w:lang w:val="cs-CZ" w:eastAsia="sk-SK"/>
        </w:rPr>
        <w:t> </w:t>
      </w:r>
    </w:p>
    <w:p w:rsidR="00453A80" w:rsidRDefault="00453A80" w:rsidP="00E56ECB">
      <w:pPr>
        <w:rPr>
          <w:rFonts w:ascii="Times New Roman" w:hAnsi="Times New Roman"/>
          <w:color w:val="000080"/>
          <w:lang w:val="cs-CZ" w:eastAsia="sk-SK"/>
        </w:rPr>
      </w:pPr>
      <w:r>
        <w:rPr>
          <w:rFonts w:ascii="Arial" w:hAnsi="Arial" w:cs="Arial"/>
          <w:color w:val="000000"/>
          <w:sz w:val="20"/>
          <w:szCs w:val="20"/>
          <w:lang w:eastAsia="sk-SK"/>
        </w:rPr>
        <w:t xml:space="preserve">E-mail: </w:t>
      </w:r>
      <w:hyperlink r:id="rId5" w:history="1">
        <w:r>
          <w:rPr>
            <w:rStyle w:val="Hypertextovprepojenie"/>
            <w:rFonts w:ascii="Arial" w:hAnsi="Arial" w:cs="Arial"/>
            <w:sz w:val="20"/>
            <w:szCs w:val="20"/>
            <w:lang w:eastAsia="sk-SK"/>
          </w:rPr>
          <w:t>pavol.cvacho@generali.sk</w:t>
        </w:r>
      </w:hyperlink>
      <w:r>
        <w:rPr>
          <w:rFonts w:ascii="Arial" w:hAnsi="Arial" w:cs="Arial"/>
          <w:color w:val="0000FF"/>
          <w:sz w:val="20"/>
          <w:szCs w:val="20"/>
          <w:lang w:eastAsia="sk-SK"/>
        </w:rPr>
        <w:t> </w:t>
      </w:r>
    </w:p>
    <w:p w:rsidR="00453A80" w:rsidRDefault="007C6C5C" w:rsidP="00E56ECB">
      <w:pPr>
        <w:rPr>
          <w:color w:val="1F497D"/>
          <w:lang w:val="cs-CZ" w:eastAsia="sk-SK"/>
        </w:rPr>
      </w:pPr>
      <w:hyperlink r:id="rId6" w:history="1">
        <w:r w:rsidR="00453A80">
          <w:rPr>
            <w:rStyle w:val="Hypertextovprepojenie"/>
            <w:rFonts w:ascii="Arial" w:hAnsi="Arial" w:cs="Arial"/>
            <w:sz w:val="20"/>
            <w:szCs w:val="20"/>
            <w:lang w:eastAsia="sk-SK"/>
          </w:rPr>
          <w:t>www.generali.sk</w:t>
        </w:r>
      </w:hyperlink>
    </w:p>
    <w:p w:rsidR="009425F9" w:rsidRDefault="009425F9" w:rsidP="00E56ECB"/>
    <w:sectPr w:rsidR="009425F9"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E0D36"/>
    <w:multiLevelType w:val="hybridMultilevel"/>
    <w:tmpl w:val="E5D60A14"/>
    <w:lvl w:ilvl="0" w:tplc="90C66C52">
      <w:start w:val="16"/>
      <w:numFmt w:val="bullet"/>
      <w:lvlText w:val="-"/>
      <w:lvlJc w:val="left"/>
      <w:pPr>
        <w:ind w:left="1080" w:hanging="360"/>
      </w:pPr>
      <w:rPr>
        <w:rFonts w:ascii="Calibri" w:eastAsia="Calibri" w:hAnsi="Calibri"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
    <w:nsid w:val="6240715F"/>
    <w:multiLevelType w:val="hybridMultilevel"/>
    <w:tmpl w:val="2E46A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3A80"/>
    <w:rsid w:val="001837FA"/>
    <w:rsid w:val="00242AF0"/>
    <w:rsid w:val="00380E24"/>
    <w:rsid w:val="00453A80"/>
    <w:rsid w:val="007C6C5C"/>
    <w:rsid w:val="00827E2A"/>
    <w:rsid w:val="008E6EF9"/>
    <w:rsid w:val="009425F9"/>
    <w:rsid w:val="00A70848"/>
    <w:rsid w:val="00AA0245"/>
    <w:rsid w:val="00BB7785"/>
    <w:rsid w:val="00C11027"/>
    <w:rsid w:val="00E24483"/>
    <w:rsid w:val="00E56ECB"/>
    <w:rsid w:val="00E90C54"/>
    <w:rsid w:val="00F67BA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53A80"/>
    <w:pPr>
      <w:spacing w:after="0" w:line="240" w:lineRule="auto"/>
    </w:pPr>
    <w:rPr>
      <w:rFonts w:ascii="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453A80"/>
    <w:rPr>
      <w:color w:val="0000FF"/>
      <w:u w:val="single"/>
    </w:rPr>
  </w:style>
  <w:style w:type="paragraph" w:styleId="Odsekzoznamu">
    <w:name w:val="List Paragraph"/>
    <w:basedOn w:val="Normlny"/>
    <w:uiPriority w:val="34"/>
    <w:qFormat/>
    <w:rsid w:val="00453A80"/>
    <w:pPr>
      <w:ind w:left="720"/>
    </w:pPr>
    <w:rPr>
      <w:lang w:eastAsia="sk-SK"/>
    </w:rPr>
  </w:style>
</w:styles>
</file>

<file path=word/webSettings.xml><?xml version="1.0" encoding="utf-8"?>
<w:webSettings xmlns:r="http://schemas.openxmlformats.org/officeDocument/2006/relationships" xmlns:w="http://schemas.openxmlformats.org/wordprocessingml/2006/main">
  <w:divs>
    <w:div w:id="15205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nerali.sk/" TargetMode="External"/><Relationship Id="rId5" Type="http://schemas.openxmlformats.org/officeDocument/2006/relationships/hyperlink" Target="mailto:pavol.cvacho@generali.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620</Words>
  <Characters>3536</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3</cp:revision>
  <dcterms:created xsi:type="dcterms:W3CDTF">2013-05-06T13:03:00Z</dcterms:created>
  <dcterms:modified xsi:type="dcterms:W3CDTF">2013-05-14T12:25:00Z</dcterms:modified>
</cp:coreProperties>
</file>