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222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827"/>
        <w:gridCol w:w="3969"/>
        <w:gridCol w:w="4961"/>
        <w:gridCol w:w="1701"/>
      </w:tblGrid>
      <w:tr w:rsidR="007B1FC5" w:rsidRPr="000B53B9" w:rsidTr="006E1955">
        <w:trPr>
          <w:trHeight w:val="706"/>
        </w:trPr>
        <w:tc>
          <w:tcPr>
            <w:tcW w:w="1668" w:type="dxa"/>
            <w:shd w:val="clear" w:color="auto" w:fill="FFFFFF" w:themeFill="background1"/>
            <w:vAlign w:val="center"/>
          </w:tcPr>
          <w:p w:rsidR="007B1FC5" w:rsidRPr="000B53B9" w:rsidRDefault="007B1FC5" w:rsidP="00CD28D2">
            <w:pPr>
              <w:spacing w:after="0" w:line="240" w:lineRule="auto"/>
              <w:jc w:val="center"/>
              <w:rPr>
                <w:rFonts w:ascii="Arial" w:hAnsi="Arial" w:cs="Arial"/>
                <w:b/>
                <w:bCs/>
              </w:rPr>
            </w:pPr>
            <w:bookmarkStart w:id="0" w:name="_GoBack"/>
            <w:bookmarkEnd w:id="0"/>
          </w:p>
        </w:tc>
        <w:tc>
          <w:tcPr>
            <w:tcW w:w="12757" w:type="dxa"/>
            <w:gridSpan w:val="3"/>
            <w:shd w:val="clear" w:color="auto" w:fill="FFFFFF" w:themeFill="background1"/>
            <w:vAlign w:val="center"/>
          </w:tcPr>
          <w:p w:rsidR="007B1FC5" w:rsidRPr="000B53B9" w:rsidRDefault="007B1FC5" w:rsidP="003A4ABA">
            <w:pPr>
              <w:spacing w:after="0" w:line="240" w:lineRule="auto"/>
              <w:jc w:val="center"/>
              <w:rPr>
                <w:rFonts w:ascii="Arial" w:hAnsi="Arial" w:cs="Arial"/>
                <w:b/>
                <w:bCs/>
                <w:sz w:val="24"/>
                <w:szCs w:val="24"/>
              </w:rPr>
            </w:pPr>
            <w:r w:rsidRPr="000B53B9">
              <w:rPr>
                <w:rFonts w:ascii="Arial" w:hAnsi="Arial" w:cs="Arial"/>
                <w:b/>
                <w:bCs/>
                <w:sz w:val="24"/>
                <w:szCs w:val="24"/>
              </w:rPr>
              <w:t xml:space="preserve">Pripomienky Allianz – Slovenskej poisťovne, a. s. k návrhu </w:t>
            </w:r>
            <w:r w:rsidR="003A4ABA" w:rsidRPr="000B53B9">
              <w:rPr>
                <w:rFonts w:ascii="Arial" w:hAnsi="Arial" w:cs="Arial"/>
                <w:b/>
                <w:bCs/>
                <w:sz w:val="24"/>
                <w:szCs w:val="24"/>
              </w:rPr>
              <w:t>Civilného sporového poriadku</w:t>
            </w:r>
          </w:p>
        </w:tc>
        <w:tc>
          <w:tcPr>
            <w:tcW w:w="1701" w:type="dxa"/>
            <w:shd w:val="clear" w:color="auto" w:fill="FFFFFF" w:themeFill="background1"/>
            <w:vAlign w:val="center"/>
          </w:tcPr>
          <w:p w:rsidR="007B1FC5" w:rsidRPr="000B53B9" w:rsidRDefault="007B1FC5" w:rsidP="00CD28D2">
            <w:pPr>
              <w:spacing w:after="0" w:line="240" w:lineRule="auto"/>
              <w:jc w:val="center"/>
              <w:rPr>
                <w:rFonts w:ascii="Arial" w:hAnsi="Arial" w:cs="Arial"/>
                <w:b/>
                <w:bCs/>
              </w:rPr>
            </w:pPr>
          </w:p>
        </w:tc>
      </w:tr>
      <w:tr w:rsidR="007B1FC5" w:rsidRPr="000B53B9" w:rsidTr="007B1FC5">
        <w:trPr>
          <w:trHeight w:val="706"/>
        </w:trPr>
        <w:tc>
          <w:tcPr>
            <w:tcW w:w="1668" w:type="dxa"/>
            <w:shd w:val="clear" w:color="auto" w:fill="FFFFFF" w:themeFill="background1"/>
            <w:vAlign w:val="center"/>
          </w:tcPr>
          <w:p w:rsidR="007B1FC5" w:rsidRPr="000B53B9" w:rsidRDefault="007B1FC5" w:rsidP="00CD28D2">
            <w:pPr>
              <w:spacing w:after="0" w:line="240" w:lineRule="auto"/>
              <w:jc w:val="center"/>
              <w:rPr>
                <w:rFonts w:ascii="Arial" w:hAnsi="Arial" w:cs="Arial"/>
                <w:b/>
                <w:bCs/>
              </w:rPr>
            </w:pPr>
          </w:p>
        </w:tc>
        <w:tc>
          <w:tcPr>
            <w:tcW w:w="3827" w:type="dxa"/>
            <w:shd w:val="clear" w:color="auto" w:fill="FFFFFF" w:themeFill="background1"/>
            <w:vAlign w:val="center"/>
          </w:tcPr>
          <w:p w:rsidR="007B1FC5" w:rsidRPr="000B53B9" w:rsidRDefault="007B1FC5" w:rsidP="00CD28D2">
            <w:pPr>
              <w:spacing w:after="0" w:line="240" w:lineRule="auto"/>
              <w:jc w:val="center"/>
              <w:rPr>
                <w:rFonts w:ascii="Arial" w:hAnsi="Arial" w:cs="Arial"/>
                <w:b/>
                <w:bCs/>
              </w:rPr>
            </w:pPr>
          </w:p>
        </w:tc>
        <w:tc>
          <w:tcPr>
            <w:tcW w:w="3969" w:type="dxa"/>
            <w:shd w:val="clear" w:color="auto" w:fill="FFFFFF" w:themeFill="background1"/>
            <w:vAlign w:val="center"/>
          </w:tcPr>
          <w:p w:rsidR="007B1FC5" w:rsidRPr="000B53B9" w:rsidRDefault="007B1FC5" w:rsidP="00CD28D2">
            <w:pPr>
              <w:spacing w:after="0" w:line="240" w:lineRule="auto"/>
              <w:jc w:val="center"/>
              <w:rPr>
                <w:rFonts w:ascii="Arial" w:hAnsi="Arial" w:cs="Arial"/>
                <w:b/>
                <w:bCs/>
              </w:rPr>
            </w:pPr>
          </w:p>
        </w:tc>
        <w:tc>
          <w:tcPr>
            <w:tcW w:w="4961" w:type="dxa"/>
            <w:shd w:val="clear" w:color="auto" w:fill="FFFFFF" w:themeFill="background1"/>
            <w:vAlign w:val="center"/>
          </w:tcPr>
          <w:p w:rsidR="007B1FC5" w:rsidRPr="000B53B9" w:rsidRDefault="007B1FC5" w:rsidP="00CD28D2">
            <w:pPr>
              <w:spacing w:after="0" w:line="240" w:lineRule="auto"/>
              <w:jc w:val="center"/>
              <w:rPr>
                <w:rFonts w:ascii="Arial" w:hAnsi="Arial" w:cs="Arial"/>
                <w:b/>
                <w:bCs/>
              </w:rPr>
            </w:pPr>
          </w:p>
        </w:tc>
        <w:tc>
          <w:tcPr>
            <w:tcW w:w="1701" w:type="dxa"/>
            <w:shd w:val="clear" w:color="auto" w:fill="FFFFFF" w:themeFill="background1"/>
            <w:vAlign w:val="center"/>
          </w:tcPr>
          <w:p w:rsidR="007B1FC5" w:rsidRPr="000B53B9" w:rsidRDefault="007B1FC5" w:rsidP="00CD28D2">
            <w:pPr>
              <w:spacing w:after="0" w:line="240" w:lineRule="auto"/>
              <w:jc w:val="center"/>
              <w:rPr>
                <w:rFonts w:ascii="Arial" w:hAnsi="Arial" w:cs="Arial"/>
                <w:b/>
                <w:bCs/>
              </w:rPr>
            </w:pPr>
          </w:p>
        </w:tc>
      </w:tr>
      <w:tr w:rsidR="000B7D4C" w:rsidRPr="000B53B9" w:rsidTr="00450A99">
        <w:trPr>
          <w:trHeight w:val="706"/>
        </w:trPr>
        <w:tc>
          <w:tcPr>
            <w:tcW w:w="1668" w:type="dxa"/>
            <w:shd w:val="clear" w:color="auto" w:fill="A6A6A6"/>
            <w:vAlign w:val="center"/>
          </w:tcPr>
          <w:p w:rsidR="00A93043" w:rsidRPr="000B53B9" w:rsidRDefault="00A93043" w:rsidP="00CD28D2">
            <w:pPr>
              <w:spacing w:after="0" w:line="240" w:lineRule="auto"/>
              <w:jc w:val="center"/>
              <w:rPr>
                <w:rFonts w:ascii="Arial" w:hAnsi="Arial" w:cs="Arial"/>
                <w:b/>
                <w:bCs/>
              </w:rPr>
            </w:pPr>
            <w:r w:rsidRPr="000B53B9">
              <w:rPr>
                <w:rFonts w:ascii="Arial" w:hAnsi="Arial" w:cs="Arial"/>
                <w:b/>
                <w:bCs/>
              </w:rPr>
              <w:t>Časť</w:t>
            </w:r>
          </w:p>
          <w:p w:rsidR="00A93043" w:rsidRPr="000B53B9" w:rsidRDefault="00A93043" w:rsidP="00CD28D2">
            <w:pPr>
              <w:spacing w:after="0" w:line="240" w:lineRule="auto"/>
              <w:rPr>
                <w:rFonts w:ascii="Arial" w:hAnsi="Arial" w:cs="Arial"/>
                <w:b/>
                <w:bCs/>
              </w:rPr>
            </w:pPr>
            <w:r w:rsidRPr="000B53B9">
              <w:rPr>
                <w:rFonts w:ascii="Arial" w:hAnsi="Arial" w:cs="Arial"/>
                <w:b/>
                <w:bCs/>
              </w:rPr>
              <w:t>(navrhovaný zákon)</w:t>
            </w:r>
          </w:p>
        </w:tc>
        <w:tc>
          <w:tcPr>
            <w:tcW w:w="3827" w:type="dxa"/>
            <w:shd w:val="clear" w:color="auto" w:fill="A6A6A6"/>
            <w:vAlign w:val="center"/>
          </w:tcPr>
          <w:p w:rsidR="00A93043" w:rsidRPr="000B53B9" w:rsidRDefault="00A93043" w:rsidP="00CD28D2">
            <w:pPr>
              <w:spacing w:after="0" w:line="240" w:lineRule="auto"/>
              <w:jc w:val="center"/>
              <w:rPr>
                <w:rFonts w:ascii="Arial" w:hAnsi="Arial" w:cs="Arial"/>
                <w:b/>
                <w:bCs/>
              </w:rPr>
            </w:pPr>
            <w:r w:rsidRPr="000B53B9">
              <w:rPr>
                <w:rFonts w:ascii="Arial" w:hAnsi="Arial" w:cs="Arial"/>
                <w:b/>
                <w:bCs/>
              </w:rPr>
              <w:t>Pôvodné znenie</w:t>
            </w:r>
          </w:p>
        </w:tc>
        <w:tc>
          <w:tcPr>
            <w:tcW w:w="3969" w:type="dxa"/>
            <w:shd w:val="clear" w:color="auto" w:fill="A6A6A6"/>
            <w:vAlign w:val="center"/>
          </w:tcPr>
          <w:p w:rsidR="00A93043" w:rsidRPr="000B53B9" w:rsidRDefault="00A93043" w:rsidP="00CD28D2">
            <w:pPr>
              <w:spacing w:after="0" w:line="240" w:lineRule="auto"/>
              <w:jc w:val="center"/>
              <w:rPr>
                <w:rFonts w:ascii="Arial" w:hAnsi="Arial" w:cs="Arial"/>
                <w:b/>
                <w:bCs/>
              </w:rPr>
            </w:pPr>
            <w:r w:rsidRPr="000B53B9">
              <w:rPr>
                <w:rFonts w:ascii="Arial" w:hAnsi="Arial" w:cs="Arial"/>
                <w:b/>
                <w:bCs/>
              </w:rPr>
              <w:t>Navrhované znenie</w:t>
            </w:r>
          </w:p>
        </w:tc>
        <w:tc>
          <w:tcPr>
            <w:tcW w:w="4961" w:type="dxa"/>
            <w:shd w:val="clear" w:color="auto" w:fill="A6A6A6"/>
            <w:vAlign w:val="center"/>
          </w:tcPr>
          <w:p w:rsidR="00A93043" w:rsidRPr="000B53B9" w:rsidRDefault="00A93043" w:rsidP="00CD28D2">
            <w:pPr>
              <w:spacing w:after="0" w:line="240" w:lineRule="auto"/>
              <w:jc w:val="center"/>
              <w:rPr>
                <w:rFonts w:ascii="Arial" w:hAnsi="Arial" w:cs="Arial"/>
                <w:b/>
                <w:bCs/>
              </w:rPr>
            </w:pPr>
            <w:r w:rsidRPr="000B53B9">
              <w:rPr>
                <w:rFonts w:ascii="Arial" w:hAnsi="Arial" w:cs="Arial"/>
                <w:b/>
                <w:bCs/>
              </w:rPr>
              <w:t>Poznámka</w:t>
            </w:r>
          </w:p>
        </w:tc>
        <w:tc>
          <w:tcPr>
            <w:tcW w:w="1701" w:type="dxa"/>
            <w:shd w:val="clear" w:color="auto" w:fill="A6A6A6"/>
            <w:vAlign w:val="center"/>
          </w:tcPr>
          <w:p w:rsidR="00A93043" w:rsidRPr="000B53B9" w:rsidRDefault="00A93043" w:rsidP="00CD28D2">
            <w:pPr>
              <w:spacing w:after="0" w:line="240" w:lineRule="auto"/>
              <w:jc w:val="center"/>
              <w:rPr>
                <w:rFonts w:ascii="Arial" w:hAnsi="Arial" w:cs="Arial"/>
                <w:b/>
                <w:bCs/>
              </w:rPr>
            </w:pPr>
            <w:r w:rsidRPr="000B53B9">
              <w:rPr>
                <w:rFonts w:ascii="Arial" w:hAnsi="Arial" w:cs="Arial"/>
                <w:b/>
                <w:bCs/>
              </w:rPr>
              <w:t>Spôsob vyhodnotenia</w:t>
            </w:r>
          </w:p>
        </w:tc>
      </w:tr>
      <w:tr w:rsidR="000B7D4C" w:rsidRPr="000B53B9" w:rsidTr="00450A99">
        <w:trPr>
          <w:cantSplit/>
          <w:trHeight w:val="684"/>
        </w:trPr>
        <w:tc>
          <w:tcPr>
            <w:tcW w:w="1668" w:type="dxa"/>
          </w:tcPr>
          <w:p w:rsidR="000B7D4C" w:rsidRPr="000B53B9" w:rsidRDefault="00F30AC6" w:rsidP="00CD28D2">
            <w:pPr>
              <w:pStyle w:val="Odsekzoznamu"/>
              <w:ind w:left="0"/>
              <w:rPr>
                <w:rFonts w:ascii="Arial" w:hAnsi="Arial" w:cs="Arial"/>
                <w:b/>
                <w:bCs/>
              </w:rPr>
            </w:pPr>
            <w:r w:rsidRPr="000B53B9">
              <w:rPr>
                <w:rFonts w:ascii="Arial" w:hAnsi="Arial" w:cs="Arial"/>
                <w:b/>
                <w:bCs/>
              </w:rPr>
              <w:t>§ 34</w:t>
            </w:r>
          </w:p>
        </w:tc>
        <w:tc>
          <w:tcPr>
            <w:tcW w:w="3827" w:type="dxa"/>
          </w:tcPr>
          <w:p w:rsidR="003A4ABA" w:rsidRPr="000B53B9" w:rsidRDefault="003A4ABA" w:rsidP="003A4ABA">
            <w:pPr>
              <w:pStyle w:val="Odsekzoznamu1"/>
              <w:widowControl w:val="0"/>
              <w:tabs>
                <w:tab w:val="left" w:pos="993"/>
              </w:tabs>
              <w:autoSpaceDE w:val="0"/>
              <w:autoSpaceDN w:val="0"/>
              <w:adjustRightInd w:val="0"/>
              <w:ind w:left="0" w:firstLine="709"/>
              <w:jc w:val="both"/>
              <w:rPr>
                <w:rFonts w:ascii="Arial" w:hAnsi="Arial" w:cs="Arial"/>
              </w:rPr>
            </w:pPr>
            <w:r w:rsidRPr="000B53B9">
              <w:rPr>
                <w:rFonts w:ascii="Arial" w:hAnsi="Arial" w:cs="Arial"/>
              </w:rPr>
              <w:t>Súd aj bez námietky skúma vecnú príslušnosť, kauzálnu príslušnosť a funkčnú príslušnosť počas celého konania.</w:t>
            </w:r>
          </w:p>
          <w:p w:rsidR="000B7D4C" w:rsidRPr="000B53B9" w:rsidRDefault="000B7D4C" w:rsidP="00CD28D2">
            <w:pPr>
              <w:pStyle w:val="Textkomentra"/>
              <w:rPr>
                <w:rFonts w:ascii="Arial" w:hAnsi="Arial" w:cs="Arial"/>
                <w:sz w:val="22"/>
                <w:szCs w:val="22"/>
              </w:rPr>
            </w:pPr>
          </w:p>
        </w:tc>
        <w:tc>
          <w:tcPr>
            <w:tcW w:w="3969" w:type="dxa"/>
          </w:tcPr>
          <w:p w:rsidR="003A4ABA" w:rsidRPr="000B53B9" w:rsidRDefault="003A4ABA" w:rsidP="003A4ABA">
            <w:pPr>
              <w:pStyle w:val="Odsekzoznamu1"/>
              <w:widowControl w:val="0"/>
              <w:tabs>
                <w:tab w:val="left" w:pos="993"/>
              </w:tabs>
              <w:autoSpaceDE w:val="0"/>
              <w:autoSpaceDN w:val="0"/>
              <w:adjustRightInd w:val="0"/>
              <w:ind w:left="0" w:firstLine="709"/>
              <w:jc w:val="both"/>
              <w:rPr>
                <w:rFonts w:ascii="Arial" w:hAnsi="Arial" w:cs="Arial"/>
              </w:rPr>
            </w:pPr>
            <w:r w:rsidRPr="000B53B9">
              <w:rPr>
                <w:rFonts w:ascii="Arial" w:hAnsi="Arial" w:cs="Arial"/>
              </w:rPr>
              <w:t>Súd aj bez námietky skúma vecnú príslušnosť, kauzálnu príslušnosť a funkčnú príslušnosť na začiatku konania.</w:t>
            </w:r>
          </w:p>
          <w:p w:rsidR="000B7D4C" w:rsidRPr="000B53B9" w:rsidRDefault="000B7D4C" w:rsidP="00CD28D2">
            <w:pPr>
              <w:pStyle w:val="Textkomentra"/>
              <w:rPr>
                <w:rFonts w:ascii="Arial" w:hAnsi="Arial" w:cs="Arial"/>
                <w:sz w:val="22"/>
                <w:szCs w:val="22"/>
              </w:rPr>
            </w:pPr>
          </w:p>
        </w:tc>
        <w:tc>
          <w:tcPr>
            <w:tcW w:w="4961" w:type="dxa"/>
          </w:tcPr>
          <w:p w:rsidR="000B7D4C" w:rsidRPr="000B53B9" w:rsidRDefault="003A4ABA" w:rsidP="00CD28D2">
            <w:pPr>
              <w:pStyle w:val="Textkomentra"/>
              <w:rPr>
                <w:rFonts w:ascii="Arial" w:hAnsi="Arial" w:cs="Arial"/>
                <w:sz w:val="22"/>
                <w:szCs w:val="22"/>
              </w:rPr>
            </w:pPr>
            <w:r w:rsidRPr="000B53B9">
              <w:rPr>
                <w:rFonts w:ascii="Arial" w:hAnsi="Arial" w:cs="Arial"/>
                <w:color w:val="000000"/>
                <w:sz w:val="22"/>
                <w:szCs w:val="22"/>
                <w:lang w:eastAsia="sk-SK"/>
              </w:rPr>
              <w:t>V spojení s § 30 ods. 2, keď príslušnosť súdu sa určuje podľa okolností v čase začatia konania a trvá do jeho skončenia, t.j. nemala by sa v priebehu konania meniť a aj z hľadiska hospodárnosti konania sa javí skúmanie tejto námietky relevantné  len na začiatku konania.  Navrhované znenie trochu zvádza k výkladu, že ak sa počas konania podmienky zmenia tak súd má na ne reagovať a dôjde k zmene príslušnosti  - navrhujeme upraviť znenie tak ako je uvedené v § 35.</w:t>
            </w:r>
          </w:p>
        </w:tc>
        <w:tc>
          <w:tcPr>
            <w:tcW w:w="1701" w:type="dxa"/>
          </w:tcPr>
          <w:p w:rsidR="000B7D4C" w:rsidRPr="000B53B9" w:rsidRDefault="000B7D4C" w:rsidP="00CD28D2">
            <w:pPr>
              <w:pStyle w:val="Odsekzoznamu"/>
              <w:ind w:left="0"/>
              <w:rPr>
                <w:rFonts w:ascii="Arial" w:hAnsi="Arial" w:cs="Arial"/>
                <w:bCs/>
              </w:rPr>
            </w:pPr>
          </w:p>
        </w:tc>
      </w:tr>
      <w:tr w:rsidR="000B7D4C" w:rsidRPr="000B53B9" w:rsidTr="00450A99">
        <w:trPr>
          <w:cantSplit/>
          <w:trHeight w:val="2407"/>
        </w:trPr>
        <w:tc>
          <w:tcPr>
            <w:tcW w:w="1668" w:type="dxa"/>
          </w:tcPr>
          <w:p w:rsidR="00A93043" w:rsidRPr="000B53B9" w:rsidRDefault="003A4ABA" w:rsidP="00CD28D2">
            <w:pPr>
              <w:pStyle w:val="Odsekzoznamu"/>
              <w:ind w:left="0"/>
              <w:rPr>
                <w:rFonts w:ascii="Arial" w:hAnsi="Arial" w:cs="Arial"/>
                <w:b/>
                <w:bCs/>
              </w:rPr>
            </w:pPr>
            <w:r w:rsidRPr="000B53B9">
              <w:rPr>
                <w:rFonts w:ascii="Arial" w:hAnsi="Arial" w:cs="Arial"/>
                <w:b/>
                <w:bCs/>
              </w:rPr>
              <w:t>§ 39</w:t>
            </w:r>
          </w:p>
        </w:tc>
        <w:tc>
          <w:tcPr>
            <w:tcW w:w="3827" w:type="dxa"/>
          </w:tcPr>
          <w:p w:rsidR="00A93043" w:rsidRPr="000B53B9" w:rsidRDefault="00D044A9" w:rsidP="00CD28D2">
            <w:pPr>
              <w:pStyle w:val="Textkomentra"/>
              <w:rPr>
                <w:rFonts w:ascii="Arial" w:hAnsi="Arial" w:cs="Arial"/>
                <w:sz w:val="22"/>
                <w:szCs w:val="22"/>
              </w:rPr>
            </w:pPr>
            <w:r w:rsidRPr="000B53B9">
              <w:rPr>
                <w:rFonts w:ascii="Arial" w:hAnsi="Arial" w:cs="Arial"/>
                <w:color w:val="000000"/>
                <w:sz w:val="22"/>
                <w:szCs w:val="22"/>
                <w:lang w:eastAsia="sk-SK"/>
              </w:rPr>
              <w:t>V osobitných prípadoch vykonáva úkony aj predseda súdu.</w:t>
            </w:r>
          </w:p>
        </w:tc>
        <w:tc>
          <w:tcPr>
            <w:tcW w:w="3969" w:type="dxa"/>
          </w:tcPr>
          <w:p w:rsidR="00A93043" w:rsidRPr="000B53B9" w:rsidRDefault="00A93043" w:rsidP="00CD28D2">
            <w:pPr>
              <w:pStyle w:val="Odsekzoznamu"/>
              <w:ind w:left="0"/>
              <w:rPr>
                <w:rFonts w:ascii="Arial" w:hAnsi="Arial" w:cs="Arial"/>
                <w:bCs/>
              </w:rPr>
            </w:pPr>
          </w:p>
        </w:tc>
        <w:tc>
          <w:tcPr>
            <w:tcW w:w="4961" w:type="dxa"/>
          </w:tcPr>
          <w:p w:rsidR="00A93043" w:rsidRPr="000B53B9" w:rsidRDefault="00D044A9" w:rsidP="00CD28D2">
            <w:pPr>
              <w:pStyle w:val="Textkomentra"/>
              <w:rPr>
                <w:rFonts w:ascii="Arial" w:hAnsi="Arial" w:cs="Arial"/>
                <w:sz w:val="22"/>
                <w:szCs w:val="22"/>
              </w:rPr>
            </w:pPr>
            <w:r w:rsidRPr="000B53B9">
              <w:rPr>
                <w:rFonts w:ascii="Arial" w:hAnsi="Arial" w:cs="Arial"/>
                <w:color w:val="000000"/>
                <w:sz w:val="22"/>
                <w:szCs w:val="22"/>
                <w:lang w:eastAsia="sk-SK"/>
              </w:rPr>
              <w:t>Chýba tu odkaz na osobitný právny predpis ako pri VSÚ a v návrhu zákona sme našli len jeden úkon predsedu súdu – v §213 rozhodnutie o inej lehote pre vyhotovenie a doručenie rozsudku zo závažných dôvodov. Má sa na mysli len tento prípad? Alebo aj iné stanovené osobitným predpisom, ak aj osobitný predpis navrhujeme do znenia CSP  doplniť odkaz na tento osobitný predpis.</w:t>
            </w:r>
          </w:p>
        </w:tc>
        <w:tc>
          <w:tcPr>
            <w:tcW w:w="1701" w:type="dxa"/>
          </w:tcPr>
          <w:p w:rsidR="00A93043" w:rsidRPr="000B53B9" w:rsidRDefault="00A93043" w:rsidP="00CD28D2">
            <w:pPr>
              <w:pStyle w:val="Odsekzoznamu"/>
              <w:ind w:left="0"/>
              <w:rPr>
                <w:rFonts w:ascii="Arial" w:hAnsi="Arial" w:cs="Arial"/>
                <w:bCs/>
              </w:rPr>
            </w:pPr>
          </w:p>
        </w:tc>
      </w:tr>
      <w:tr w:rsidR="00070B4C" w:rsidRPr="000B53B9" w:rsidTr="00450A99">
        <w:trPr>
          <w:cantSplit/>
          <w:trHeight w:val="2407"/>
        </w:trPr>
        <w:tc>
          <w:tcPr>
            <w:tcW w:w="1668" w:type="dxa"/>
          </w:tcPr>
          <w:p w:rsidR="00070B4C" w:rsidRPr="000B53B9" w:rsidRDefault="003A583D" w:rsidP="00070B4C">
            <w:pPr>
              <w:pStyle w:val="Odsekzoznamu"/>
              <w:ind w:left="0"/>
              <w:rPr>
                <w:rFonts w:ascii="Arial" w:hAnsi="Arial" w:cs="Arial"/>
                <w:b/>
                <w:bCs/>
              </w:rPr>
            </w:pPr>
            <w:r>
              <w:rPr>
                <w:rFonts w:ascii="Arial" w:hAnsi="Arial" w:cs="Arial"/>
                <w:b/>
                <w:bCs/>
              </w:rPr>
              <w:lastRenderedPageBreak/>
              <w:t>§ 79</w:t>
            </w:r>
            <w:r w:rsidR="00070B4C" w:rsidRPr="000B53B9">
              <w:rPr>
                <w:rFonts w:ascii="Arial" w:hAnsi="Arial" w:cs="Arial"/>
                <w:b/>
                <w:bCs/>
              </w:rPr>
              <w:t xml:space="preserve"> </w:t>
            </w:r>
          </w:p>
        </w:tc>
        <w:tc>
          <w:tcPr>
            <w:tcW w:w="3827" w:type="dxa"/>
          </w:tcPr>
          <w:p w:rsidR="009D4AD1" w:rsidRPr="00C132A9" w:rsidRDefault="009D4AD1" w:rsidP="009D4AD1">
            <w:pPr>
              <w:tabs>
                <w:tab w:val="left" w:pos="993"/>
              </w:tabs>
              <w:spacing w:after="0"/>
              <w:ind w:firstLine="709"/>
              <w:jc w:val="both"/>
              <w:outlineLvl w:val="0"/>
              <w:rPr>
                <w:rFonts w:ascii="Arial" w:eastAsia="MS Mincho" w:hAnsi="Arial" w:cs="Arial"/>
              </w:rPr>
            </w:pPr>
            <w:r w:rsidRPr="00C132A9">
              <w:rPr>
                <w:rFonts w:ascii="Arial" w:eastAsia="MS Mincho" w:hAnsi="Arial" w:cs="Arial"/>
              </w:rPr>
              <w:t xml:space="preserve">Ak intervenient spolu so stranou, na ktorej vystupuje, netvoria nerozlučné spoločenstvo, vyžadujú prostriedky procesného útoku alebo prostriedky procesnej obrany podľa § 140 až 145 uplatnené intervenientom súhlas tejto strany; inak na ne súd neprihliada. </w:t>
            </w:r>
          </w:p>
          <w:p w:rsidR="00070B4C" w:rsidRPr="00C132A9" w:rsidRDefault="00070B4C" w:rsidP="00CD28D2">
            <w:pPr>
              <w:pStyle w:val="Textkomentra"/>
              <w:rPr>
                <w:rFonts w:ascii="Arial" w:hAnsi="Arial" w:cs="Arial"/>
                <w:color w:val="000000"/>
                <w:sz w:val="22"/>
                <w:szCs w:val="22"/>
                <w:lang w:eastAsia="sk-SK"/>
              </w:rPr>
            </w:pPr>
          </w:p>
        </w:tc>
        <w:tc>
          <w:tcPr>
            <w:tcW w:w="3969" w:type="dxa"/>
          </w:tcPr>
          <w:p w:rsidR="009D4AD1" w:rsidRPr="00C132A9" w:rsidRDefault="009D4AD1" w:rsidP="009D4AD1">
            <w:pPr>
              <w:tabs>
                <w:tab w:val="left" w:pos="993"/>
              </w:tabs>
              <w:spacing w:after="0"/>
              <w:ind w:firstLine="709"/>
              <w:jc w:val="both"/>
              <w:outlineLvl w:val="0"/>
              <w:rPr>
                <w:rFonts w:ascii="Arial" w:eastAsia="MS Mincho" w:hAnsi="Arial" w:cs="Arial"/>
              </w:rPr>
            </w:pPr>
            <w:r w:rsidRPr="00C132A9">
              <w:rPr>
                <w:rFonts w:ascii="Arial" w:eastAsia="MS Mincho" w:hAnsi="Arial" w:cs="Arial"/>
              </w:rPr>
              <w:t>Ak intervenient spolu so stranou, na ktorej vystupuje, netvoria nerozlučné spoločenstvo, vyžadujú prostriedky procesného útoku alebo prostriedky procesnej obrany podľa § 140 až 145 uplatnené intervenientom súhlas tejto strany; inak na ne súd neprihliada. Uvedené neplatí, ak nároky, ktoré je intervenient povinný za stranu, na ktorej vystupuje, plniť  druhej strane sporu podľa osobitného zákona; v takomto prípade súd prihliadne na prostriedky procesného útoku alebo prostriedky procesnej obrany podľa § 140 až 145 uplatnené intervenientom, aj bez súhlasu strany, na ktorej intervenient vystupuje.</w:t>
            </w:r>
          </w:p>
          <w:p w:rsidR="00070B4C" w:rsidRPr="00C132A9" w:rsidRDefault="00070B4C" w:rsidP="00CD28D2">
            <w:pPr>
              <w:pStyle w:val="Odsekzoznamu"/>
              <w:ind w:left="0"/>
              <w:rPr>
                <w:rFonts w:ascii="Arial" w:hAnsi="Arial" w:cs="Arial"/>
                <w:bCs/>
              </w:rPr>
            </w:pPr>
          </w:p>
        </w:tc>
        <w:tc>
          <w:tcPr>
            <w:tcW w:w="4961" w:type="dxa"/>
          </w:tcPr>
          <w:p w:rsidR="00070B4C" w:rsidRPr="00C132A9" w:rsidRDefault="00070B4C" w:rsidP="00D10C4E">
            <w:pPr>
              <w:pStyle w:val="Textkomentra"/>
              <w:rPr>
                <w:rFonts w:ascii="Arial" w:hAnsi="Arial" w:cs="Arial"/>
                <w:color w:val="000000"/>
                <w:sz w:val="22"/>
                <w:szCs w:val="22"/>
                <w:lang w:eastAsia="sk-SK"/>
              </w:rPr>
            </w:pPr>
            <w:r w:rsidRPr="00C132A9">
              <w:rPr>
                <w:rFonts w:ascii="Arial" w:hAnsi="Arial" w:cs="Arial"/>
                <w:color w:val="000000"/>
                <w:sz w:val="22"/>
                <w:szCs w:val="22"/>
                <w:lang w:eastAsia="sk-SK"/>
              </w:rPr>
              <w:t>Zo zákona č. 381/2001 Z.z. nevyplýva, že rozsudok voči škodcovi je záväzný aj pre jeho poisťovateľa, poisťovateľ tak netvorí so škodcom podľa návrhu nerozlučné spoločenstvo a poisťovateľ tak nemôže bez súhlasu škodcu vykonať účinnú procesnú obranu, resp. útok. Vzhľadom na to, že je taký rozsudok podkladom pre plnenie poisťovateľa, považujeme to za vážny nedostatok návrhu, ktorý môže poisťovateľom spôsobiť podstatné ujmy a obmedziť ich práva</w:t>
            </w:r>
            <w:r w:rsidR="009D4AD1" w:rsidRPr="00C132A9">
              <w:rPr>
                <w:rFonts w:ascii="Arial" w:hAnsi="Arial" w:cs="Arial"/>
                <w:color w:val="000000"/>
                <w:sz w:val="22"/>
                <w:szCs w:val="22"/>
                <w:lang w:eastAsia="sk-SK"/>
              </w:rPr>
              <w:t>. Navrhujeme preto § 79</w:t>
            </w:r>
            <w:r w:rsidR="00D10C4E" w:rsidRPr="00C132A9">
              <w:rPr>
                <w:rFonts w:ascii="Arial" w:hAnsi="Arial" w:cs="Arial"/>
                <w:color w:val="000000"/>
                <w:sz w:val="22"/>
                <w:szCs w:val="22"/>
                <w:lang w:eastAsia="sk-SK"/>
              </w:rPr>
              <w:t xml:space="preserve"> upraviť, pričom k osobitnému zákonu navrhujeme pripojiť odkaz na zák. č. 381/2001 Z.</w:t>
            </w:r>
            <w:r w:rsidR="00C132A9">
              <w:rPr>
                <w:rFonts w:ascii="Arial" w:hAnsi="Arial" w:cs="Arial"/>
                <w:color w:val="000000"/>
                <w:sz w:val="22"/>
                <w:szCs w:val="22"/>
                <w:lang w:eastAsia="sk-SK"/>
              </w:rPr>
              <w:t xml:space="preserve"> </w:t>
            </w:r>
            <w:r w:rsidR="00D10C4E" w:rsidRPr="00C132A9">
              <w:rPr>
                <w:rFonts w:ascii="Arial" w:hAnsi="Arial" w:cs="Arial"/>
                <w:color w:val="000000"/>
                <w:sz w:val="22"/>
                <w:szCs w:val="22"/>
                <w:lang w:eastAsia="sk-SK"/>
              </w:rPr>
              <w:t>z. o povinnom zmluvnom poistení zodpovednosti za škodu spôsobenú prevádzkou motorového vozidla a o zmene a doplnení niektorých zákonov.</w:t>
            </w:r>
          </w:p>
        </w:tc>
        <w:tc>
          <w:tcPr>
            <w:tcW w:w="1701" w:type="dxa"/>
          </w:tcPr>
          <w:p w:rsidR="00070B4C" w:rsidRPr="000B53B9" w:rsidRDefault="00070B4C" w:rsidP="00CD28D2">
            <w:pPr>
              <w:pStyle w:val="Odsekzoznamu"/>
              <w:ind w:left="0"/>
              <w:rPr>
                <w:rFonts w:ascii="Arial" w:hAnsi="Arial" w:cs="Arial"/>
                <w:bCs/>
              </w:rPr>
            </w:pPr>
          </w:p>
        </w:tc>
      </w:tr>
      <w:tr w:rsidR="0086240A" w:rsidRPr="000B53B9" w:rsidTr="00450A99">
        <w:trPr>
          <w:cantSplit/>
          <w:trHeight w:val="2514"/>
        </w:trPr>
        <w:tc>
          <w:tcPr>
            <w:tcW w:w="1668" w:type="dxa"/>
          </w:tcPr>
          <w:p w:rsidR="0086240A" w:rsidRPr="000B53B9" w:rsidRDefault="00D044A9" w:rsidP="00CD28D2">
            <w:pPr>
              <w:pStyle w:val="Odsekzoznamu"/>
              <w:ind w:left="0"/>
              <w:rPr>
                <w:rFonts w:ascii="Arial" w:hAnsi="Arial" w:cs="Arial"/>
                <w:b/>
                <w:bCs/>
              </w:rPr>
            </w:pPr>
            <w:r w:rsidRPr="000B53B9">
              <w:rPr>
                <w:rFonts w:ascii="Arial" w:hAnsi="Arial" w:cs="Arial"/>
                <w:b/>
                <w:bCs/>
              </w:rPr>
              <w:t>§ 83</w:t>
            </w:r>
          </w:p>
        </w:tc>
        <w:tc>
          <w:tcPr>
            <w:tcW w:w="3827" w:type="dxa"/>
          </w:tcPr>
          <w:p w:rsidR="0086240A" w:rsidRPr="000B53B9" w:rsidRDefault="00D044A9" w:rsidP="00D044A9">
            <w:pPr>
              <w:pStyle w:val="Textkomentra"/>
              <w:rPr>
                <w:rFonts w:ascii="Arial" w:hAnsi="Arial" w:cs="Arial"/>
                <w:sz w:val="22"/>
                <w:szCs w:val="22"/>
              </w:rPr>
            </w:pPr>
            <w:r w:rsidRPr="000B53B9">
              <w:rPr>
                <w:rFonts w:ascii="Arial" w:hAnsi="Arial" w:cs="Arial"/>
                <w:color w:val="000000"/>
                <w:sz w:val="22"/>
                <w:szCs w:val="22"/>
                <w:lang w:eastAsia="sk-SK"/>
              </w:rPr>
              <w:t xml:space="preserve"> (4) Zástupcom právnickej osoby môže byť aj jej zamestnanec s právnickým vzdelaním druhého stupňa.</w:t>
            </w:r>
          </w:p>
        </w:tc>
        <w:tc>
          <w:tcPr>
            <w:tcW w:w="3969" w:type="dxa"/>
          </w:tcPr>
          <w:p w:rsidR="0086240A" w:rsidRPr="000B53B9" w:rsidRDefault="0086240A" w:rsidP="00CD28D2">
            <w:pPr>
              <w:pStyle w:val="Textkomentra"/>
              <w:rPr>
                <w:rFonts w:ascii="Arial" w:hAnsi="Arial" w:cs="Arial"/>
                <w:sz w:val="22"/>
                <w:szCs w:val="22"/>
              </w:rPr>
            </w:pPr>
          </w:p>
        </w:tc>
        <w:tc>
          <w:tcPr>
            <w:tcW w:w="4961" w:type="dxa"/>
          </w:tcPr>
          <w:p w:rsidR="00D044A9" w:rsidRPr="000B53B9" w:rsidRDefault="00D044A9" w:rsidP="00D044A9">
            <w:pPr>
              <w:autoSpaceDE w:val="0"/>
              <w:autoSpaceDN w:val="0"/>
              <w:adjustRightInd w:val="0"/>
              <w:spacing w:after="240" w:line="240" w:lineRule="auto"/>
              <w:rPr>
                <w:rFonts w:ascii="Arial" w:hAnsi="Arial" w:cs="Arial"/>
                <w:color w:val="000000"/>
                <w:lang w:eastAsia="sk-SK"/>
              </w:rPr>
            </w:pPr>
            <w:r w:rsidRPr="000B53B9">
              <w:rPr>
                <w:rFonts w:ascii="Arial" w:hAnsi="Arial" w:cs="Arial"/>
                <w:color w:val="000000"/>
                <w:lang w:eastAsia="sk-SK"/>
              </w:rPr>
              <w:t>Navrhujeme doplniť ods. 4, aby v prípade ak právnická osoba má zamestnanca s právnickým vzdelaním druhého stupňa, aby tento zamestnanec mohol zastupovať právnickú osobu pred súdom.</w:t>
            </w:r>
          </w:p>
          <w:p w:rsidR="0086240A" w:rsidRPr="000B53B9" w:rsidRDefault="0086240A" w:rsidP="00CD28D2">
            <w:pPr>
              <w:pStyle w:val="Textkomentra"/>
              <w:rPr>
                <w:rFonts w:ascii="Arial" w:hAnsi="Arial" w:cs="Arial"/>
                <w:sz w:val="22"/>
                <w:szCs w:val="22"/>
              </w:rPr>
            </w:pPr>
          </w:p>
        </w:tc>
        <w:tc>
          <w:tcPr>
            <w:tcW w:w="1701" w:type="dxa"/>
          </w:tcPr>
          <w:p w:rsidR="0086240A" w:rsidRPr="000B53B9" w:rsidRDefault="0086240A" w:rsidP="00CD28D2">
            <w:pPr>
              <w:pStyle w:val="Odsekzoznamu"/>
              <w:ind w:left="0"/>
              <w:rPr>
                <w:rFonts w:ascii="Arial" w:hAnsi="Arial" w:cs="Arial"/>
                <w:bCs/>
              </w:rPr>
            </w:pPr>
          </w:p>
        </w:tc>
      </w:tr>
      <w:tr w:rsidR="000B7D4C" w:rsidRPr="000B53B9" w:rsidTr="00450A99">
        <w:trPr>
          <w:cantSplit/>
          <w:trHeight w:val="2514"/>
        </w:trPr>
        <w:tc>
          <w:tcPr>
            <w:tcW w:w="1668" w:type="dxa"/>
          </w:tcPr>
          <w:p w:rsidR="00A93043" w:rsidRPr="000B53B9" w:rsidRDefault="00D044A9" w:rsidP="00CD28D2">
            <w:pPr>
              <w:pStyle w:val="Odsekzoznamu"/>
              <w:ind w:left="0"/>
              <w:rPr>
                <w:rFonts w:ascii="Arial" w:hAnsi="Arial" w:cs="Arial"/>
                <w:b/>
                <w:bCs/>
              </w:rPr>
            </w:pPr>
            <w:r w:rsidRPr="000B53B9">
              <w:rPr>
                <w:rFonts w:ascii="Arial" w:hAnsi="Arial" w:cs="Arial"/>
                <w:b/>
                <w:bCs/>
              </w:rPr>
              <w:lastRenderedPageBreak/>
              <w:t>§ 85 ods. 1</w:t>
            </w:r>
          </w:p>
        </w:tc>
        <w:tc>
          <w:tcPr>
            <w:tcW w:w="3827" w:type="dxa"/>
          </w:tcPr>
          <w:p w:rsidR="00D044A9" w:rsidRPr="000B53B9" w:rsidRDefault="00D044A9" w:rsidP="00D044A9">
            <w:pPr>
              <w:widowControl w:val="0"/>
              <w:tabs>
                <w:tab w:val="left" w:pos="993"/>
              </w:tabs>
              <w:autoSpaceDE w:val="0"/>
              <w:autoSpaceDN w:val="0"/>
              <w:adjustRightInd w:val="0"/>
              <w:spacing w:after="0"/>
              <w:ind w:firstLine="709"/>
              <w:jc w:val="both"/>
              <w:rPr>
                <w:rFonts w:ascii="Arial" w:eastAsia="MS Mincho" w:hAnsi="Arial" w:cs="Arial"/>
              </w:rPr>
            </w:pPr>
            <w:r w:rsidRPr="000B53B9">
              <w:rPr>
                <w:rFonts w:ascii="Arial" w:eastAsia="MS Mincho" w:hAnsi="Arial" w:cs="Arial"/>
              </w:rPr>
              <w:t>Strana musí byť zastúpená advokátom v sporoch vyvolaných alebo súvisiacich s konkurzom a reštrukturalizáciou, v sporoch z ochrany hospodárskej súťaže, v sporoch z porušenia alebo ohrozenia práva na obchodné tajomstvo, v konaní s cudzím prvkom, v sporoch súvisiacich s ochranou práva duševného vlastníctva a v sporoch vyvolaných alebo súvisiacich s konaním podľa Exekučného poriadku.</w:t>
            </w:r>
          </w:p>
          <w:p w:rsidR="00A93043" w:rsidRPr="000B53B9" w:rsidRDefault="00A93043" w:rsidP="00CD28D2">
            <w:pPr>
              <w:pStyle w:val="Textkomentra"/>
              <w:rPr>
                <w:rFonts w:ascii="Arial" w:hAnsi="Arial" w:cs="Arial"/>
                <w:sz w:val="22"/>
                <w:szCs w:val="22"/>
              </w:rPr>
            </w:pPr>
          </w:p>
        </w:tc>
        <w:tc>
          <w:tcPr>
            <w:tcW w:w="3969" w:type="dxa"/>
          </w:tcPr>
          <w:p w:rsidR="00D044A9" w:rsidRPr="000B53B9" w:rsidRDefault="00D044A9" w:rsidP="00D044A9">
            <w:pPr>
              <w:widowControl w:val="0"/>
              <w:tabs>
                <w:tab w:val="left" w:pos="993"/>
              </w:tabs>
              <w:autoSpaceDE w:val="0"/>
              <w:autoSpaceDN w:val="0"/>
              <w:adjustRightInd w:val="0"/>
              <w:spacing w:after="0"/>
              <w:ind w:firstLine="709"/>
              <w:jc w:val="both"/>
              <w:rPr>
                <w:rFonts w:ascii="Arial" w:eastAsia="MS Mincho" w:hAnsi="Arial" w:cs="Arial"/>
              </w:rPr>
            </w:pPr>
            <w:r w:rsidRPr="000B53B9">
              <w:rPr>
                <w:rFonts w:ascii="Arial" w:eastAsia="MS Mincho" w:hAnsi="Arial" w:cs="Arial"/>
              </w:rPr>
              <w:t xml:space="preserve">Strana musí byť zastúpená advokátom v sporoch vyvolaných alebo súvisiacich s konkurzom a reštrukturalizáciou, v sporoch z ochrany hospodárskej súťaže, v sporoch z porušenia alebo ohrozenia práva na obchodné tajomstvo, v konaní s cudzím prvkom, v sporoch súvisiacich s ochranou práva duševného vlastníctva a v sporoch vyvolaných alebo súvisiacich s konaním podľa Exekučného poriadku. </w:t>
            </w:r>
            <w:r w:rsidRPr="000B53B9">
              <w:rPr>
                <w:rFonts w:ascii="Arial" w:hAnsi="Arial" w:cs="Arial"/>
                <w:color w:val="000000"/>
                <w:lang w:eastAsia="sk-SK"/>
              </w:rPr>
              <w:t>To neplatí ak zástupca strany má vysokoškolské právnické vzdelanie druhého stupňa.</w:t>
            </w:r>
          </w:p>
          <w:p w:rsidR="00A93043" w:rsidRPr="000B53B9" w:rsidRDefault="00A93043" w:rsidP="00CD28D2">
            <w:pPr>
              <w:pStyle w:val="Odsekzoznamu"/>
              <w:ind w:left="0"/>
              <w:rPr>
                <w:rFonts w:ascii="Arial" w:hAnsi="Arial" w:cs="Arial"/>
                <w:bCs/>
              </w:rPr>
            </w:pPr>
          </w:p>
        </w:tc>
        <w:tc>
          <w:tcPr>
            <w:tcW w:w="4961" w:type="dxa"/>
          </w:tcPr>
          <w:p w:rsidR="00A93043" w:rsidRPr="000B53B9" w:rsidRDefault="00D044A9" w:rsidP="00CD28D2">
            <w:pPr>
              <w:pStyle w:val="Textkomentra"/>
              <w:rPr>
                <w:rFonts w:ascii="Arial" w:hAnsi="Arial" w:cs="Arial"/>
                <w:sz w:val="22"/>
                <w:szCs w:val="22"/>
              </w:rPr>
            </w:pPr>
            <w:r w:rsidRPr="000B53B9">
              <w:rPr>
                <w:rFonts w:ascii="Arial" w:hAnsi="Arial" w:cs="Arial"/>
                <w:sz w:val="22"/>
                <w:szCs w:val="22"/>
              </w:rPr>
              <w:t>Návrh súvisí s navrhnutou zmenou v § 83.</w:t>
            </w:r>
          </w:p>
        </w:tc>
        <w:tc>
          <w:tcPr>
            <w:tcW w:w="1701" w:type="dxa"/>
          </w:tcPr>
          <w:p w:rsidR="00A93043" w:rsidRPr="000B53B9" w:rsidRDefault="00A93043" w:rsidP="00CD28D2">
            <w:pPr>
              <w:pStyle w:val="Odsekzoznamu"/>
              <w:ind w:left="0"/>
              <w:rPr>
                <w:rFonts w:ascii="Arial" w:hAnsi="Arial" w:cs="Arial"/>
                <w:bCs/>
              </w:rPr>
            </w:pPr>
          </w:p>
        </w:tc>
      </w:tr>
      <w:tr w:rsidR="0086240A" w:rsidRPr="000B53B9" w:rsidTr="00450A99">
        <w:trPr>
          <w:cantSplit/>
          <w:trHeight w:val="340"/>
        </w:trPr>
        <w:tc>
          <w:tcPr>
            <w:tcW w:w="1668" w:type="dxa"/>
          </w:tcPr>
          <w:p w:rsidR="00D044A9" w:rsidRPr="000B53B9" w:rsidRDefault="00D044A9" w:rsidP="00D044A9">
            <w:pPr>
              <w:autoSpaceDE w:val="0"/>
              <w:autoSpaceDN w:val="0"/>
              <w:adjustRightInd w:val="0"/>
              <w:spacing w:after="240" w:line="240" w:lineRule="auto"/>
              <w:rPr>
                <w:rFonts w:ascii="Arial" w:hAnsi="Arial" w:cs="Arial"/>
                <w:b/>
                <w:color w:val="000000"/>
                <w:lang w:eastAsia="sk-SK"/>
              </w:rPr>
            </w:pPr>
            <w:r w:rsidRPr="000B53B9">
              <w:rPr>
                <w:rFonts w:ascii="Arial" w:hAnsi="Arial" w:cs="Arial"/>
                <w:b/>
                <w:color w:val="000000"/>
                <w:lang w:eastAsia="sk-SK"/>
              </w:rPr>
              <w:t>§ 96</w:t>
            </w:r>
          </w:p>
          <w:p w:rsidR="0086240A" w:rsidRPr="000B53B9" w:rsidRDefault="0086240A" w:rsidP="00D044A9">
            <w:pPr>
              <w:pStyle w:val="Odsekzoznamu"/>
              <w:ind w:left="0"/>
              <w:rPr>
                <w:rFonts w:ascii="Arial" w:hAnsi="Arial" w:cs="Arial"/>
                <w:b/>
                <w:bCs/>
              </w:rPr>
            </w:pPr>
          </w:p>
        </w:tc>
        <w:tc>
          <w:tcPr>
            <w:tcW w:w="3827" w:type="dxa"/>
          </w:tcPr>
          <w:p w:rsidR="0086240A" w:rsidRPr="000B53B9" w:rsidRDefault="0086240A" w:rsidP="00CD28D2">
            <w:pPr>
              <w:pStyle w:val="Odsekzoznamu"/>
              <w:ind w:left="0"/>
              <w:rPr>
                <w:rFonts w:ascii="Arial" w:hAnsi="Arial" w:cs="Arial"/>
                <w:bCs/>
                <w:lang w:eastAsia="sk-SK" w:bidi="ar-SA"/>
              </w:rPr>
            </w:pPr>
          </w:p>
        </w:tc>
        <w:tc>
          <w:tcPr>
            <w:tcW w:w="3969" w:type="dxa"/>
          </w:tcPr>
          <w:p w:rsidR="0086240A" w:rsidRPr="000B53B9" w:rsidRDefault="00D044A9" w:rsidP="00CD28D2">
            <w:pPr>
              <w:rPr>
                <w:rFonts w:ascii="Arial" w:hAnsi="Arial" w:cs="Arial"/>
                <w:bCs/>
              </w:rPr>
            </w:pPr>
            <w:r w:rsidRPr="000B53B9">
              <w:rPr>
                <w:rFonts w:ascii="Arial" w:hAnsi="Arial" w:cs="Arial"/>
                <w:color w:val="000000"/>
                <w:lang w:eastAsia="sk-SK"/>
              </w:rPr>
              <w:t>(5) Súd môže uloženú pokutu odpustiť.</w:t>
            </w:r>
          </w:p>
        </w:tc>
        <w:tc>
          <w:tcPr>
            <w:tcW w:w="4961" w:type="dxa"/>
          </w:tcPr>
          <w:p w:rsidR="00D044A9" w:rsidRPr="000B53B9" w:rsidRDefault="00D044A9" w:rsidP="00D044A9">
            <w:pPr>
              <w:autoSpaceDE w:val="0"/>
              <w:autoSpaceDN w:val="0"/>
              <w:adjustRightInd w:val="0"/>
              <w:spacing w:after="240" w:line="240" w:lineRule="auto"/>
              <w:rPr>
                <w:rFonts w:ascii="Arial" w:hAnsi="Arial" w:cs="Arial"/>
                <w:color w:val="000000"/>
                <w:lang w:eastAsia="sk-SK"/>
              </w:rPr>
            </w:pPr>
            <w:r w:rsidRPr="000B53B9">
              <w:rPr>
                <w:rFonts w:ascii="Arial" w:hAnsi="Arial" w:cs="Arial"/>
                <w:color w:val="000000"/>
                <w:lang w:eastAsia="sk-SK"/>
              </w:rPr>
              <w:t>Navrhujeme doplniť odsek 5.</w:t>
            </w:r>
          </w:p>
          <w:p w:rsidR="0086240A" w:rsidRPr="000B53B9" w:rsidRDefault="0086240A" w:rsidP="00A249D0">
            <w:pPr>
              <w:pStyle w:val="Odsekzoznamu"/>
              <w:ind w:left="0"/>
              <w:rPr>
                <w:rFonts w:ascii="Arial" w:hAnsi="Arial" w:cs="Arial"/>
                <w:bCs/>
              </w:rPr>
            </w:pPr>
          </w:p>
        </w:tc>
        <w:tc>
          <w:tcPr>
            <w:tcW w:w="1701" w:type="dxa"/>
          </w:tcPr>
          <w:p w:rsidR="0086240A" w:rsidRPr="000B53B9" w:rsidRDefault="0086240A" w:rsidP="00CD28D2">
            <w:pPr>
              <w:pStyle w:val="Odsekzoznamu"/>
              <w:ind w:left="0"/>
              <w:rPr>
                <w:rFonts w:ascii="Arial" w:hAnsi="Arial" w:cs="Arial"/>
                <w:bCs/>
              </w:rPr>
            </w:pPr>
          </w:p>
        </w:tc>
      </w:tr>
      <w:tr w:rsidR="00F91E71" w:rsidRPr="000B53B9" w:rsidTr="00450A99">
        <w:trPr>
          <w:cantSplit/>
          <w:trHeight w:val="340"/>
        </w:trPr>
        <w:tc>
          <w:tcPr>
            <w:tcW w:w="1668" w:type="dxa"/>
          </w:tcPr>
          <w:p w:rsidR="00F91E71" w:rsidRPr="000B53B9" w:rsidRDefault="00F91E71" w:rsidP="00F91E71">
            <w:pPr>
              <w:pStyle w:val="Odsekzoznamu"/>
              <w:ind w:left="0"/>
              <w:rPr>
                <w:rFonts w:ascii="Arial" w:hAnsi="Arial" w:cs="Arial"/>
                <w:b/>
                <w:bCs/>
              </w:rPr>
            </w:pPr>
            <w:r w:rsidRPr="000B53B9">
              <w:rPr>
                <w:rFonts w:ascii="Arial" w:hAnsi="Arial" w:cs="Arial"/>
                <w:b/>
                <w:bCs/>
              </w:rPr>
              <w:t>§ 102 ods. 1</w:t>
            </w:r>
          </w:p>
        </w:tc>
        <w:tc>
          <w:tcPr>
            <w:tcW w:w="3827" w:type="dxa"/>
          </w:tcPr>
          <w:p w:rsidR="00F91E71" w:rsidRPr="000B53B9" w:rsidRDefault="00F91E71" w:rsidP="00F91E71">
            <w:pPr>
              <w:numPr>
                <w:ilvl w:val="1"/>
                <w:numId w:val="30"/>
              </w:numPr>
              <w:tabs>
                <w:tab w:val="left" w:pos="1134"/>
              </w:tabs>
              <w:spacing w:after="0" w:line="240" w:lineRule="auto"/>
              <w:ind w:left="0" w:firstLine="709"/>
              <w:jc w:val="both"/>
              <w:rPr>
                <w:rFonts w:ascii="Arial" w:eastAsia="MS Mincho" w:hAnsi="Arial" w:cs="Arial"/>
              </w:rPr>
            </w:pPr>
            <w:r w:rsidRPr="000B53B9">
              <w:rPr>
                <w:rFonts w:ascii="Arial" w:eastAsia="MS Mincho" w:hAnsi="Arial" w:cs="Arial"/>
              </w:rPr>
              <w:t>Ak má strana zástupcu s plnomocenstvom pre celé konanie, doručuje sa písomnosť len tomuto zástupcovi. Písomnosť sa doručuje aj strane, ak strana má osobne v konaní niečo vykonať, alebo ak o tom súd rozhodne s ohľadom na povahu veci. Výzva na zaplatenie súdneho poplatku  ako aj procesné poučenia vydané súdom sa doručujú iba zástupcovi.</w:t>
            </w:r>
          </w:p>
          <w:p w:rsidR="00F91E71" w:rsidRPr="000B53B9" w:rsidRDefault="00F91E71" w:rsidP="00F91E71">
            <w:pPr>
              <w:spacing w:after="0" w:line="240" w:lineRule="auto"/>
              <w:jc w:val="both"/>
              <w:rPr>
                <w:rFonts w:ascii="Arial" w:hAnsi="Arial" w:cs="Arial"/>
              </w:rPr>
            </w:pPr>
          </w:p>
        </w:tc>
        <w:tc>
          <w:tcPr>
            <w:tcW w:w="3969" w:type="dxa"/>
          </w:tcPr>
          <w:p w:rsidR="00F91E71" w:rsidRPr="000B53B9" w:rsidRDefault="00F91E71" w:rsidP="00F91E71">
            <w:pPr>
              <w:numPr>
                <w:ilvl w:val="1"/>
                <w:numId w:val="30"/>
              </w:numPr>
              <w:tabs>
                <w:tab w:val="left" w:pos="1134"/>
              </w:tabs>
              <w:spacing w:after="0" w:line="240" w:lineRule="auto"/>
              <w:ind w:left="0" w:firstLine="709"/>
              <w:jc w:val="both"/>
              <w:rPr>
                <w:rFonts w:ascii="Arial" w:eastAsia="MS Mincho" w:hAnsi="Arial" w:cs="Arial"/>
              </w:rPr>
            </w:pPr>
            <w:r w:rsidRPr="000B53B9">
              <w:rPr>
                <w:rFonts w:ascii="Arial" w:eastAsia="MS Mincho" w:hAnsi="Arial" w:cs="Arial"/>
              </w:rPr>
              <w:t>Ak má strana zástupcu s plnomocenstvom pre celé konanie, doručuje sa písomnosť len tomuto zástupcovi. Písomnosť sa doručuje aj strane, ak strana má osobne v konaní niečo vykonať, alebo ak o tom súd rozhodne s ohľadom na povahu veci. Procesné poučenia vydané súdom sa doručujú iba zástupcovi.</w:t>
            </w:r>
          </w:p>
          <w:p w:rsidR="00F91E71" w:rsidRPr="000B53B9" w:rsidRDefault="00F91E71" w:rsidP="00F91E71">
            <w:pPr>
              <w:spacing w:after="0" w:line="240" w:lineRule="auto"/>
              <w:jc w:val="both"/>
              <w:rPr>
                <w:rFonts w:ascii="Arial" w:hAnsi="Arial" w:cs="Arial"/>
              </w:rPr>
            </w:pPr>
          </w:p>
        </w:tc>
        <w:tc>
          <w:tcPr>
            <w:tcW w:w="4961" w:type="dxa"/>
          </w:tcPr>
          <w:p w:rsidR="00F91E71" w:rsidRPr="000B53B9" w:rsidRDefault="00F91E71" w:rsidP="004D3D58">
            <w:pPr>
              <w:pStyle w:val="Odsekzoznamu"/>
              <w:ind w:left="0"/>
              <w:rPr>
                <w:rFonts w:ascii="Arial" w:hAnsi="Arial" w:cs="Arial"/>
                <w:lang w:eastAsia="sk-SK"/>
              </w:rPr>
            </w:pPr>
            <w:r w:rsidRPr="000B53B9">
              <w:rPr>
                <w:rFonts w:ascii="Arial" w:hAnsi="Arial" w:cs="Arial"/>
                <w:color w:val="000000"/>
                <w:lang w:eastAsia="sk-SK"/>
              </w:rPr>
              <w:t xml:space="preserve">Navrhujeme z poslednej vety vypustiť výzvu na zaplatenie súdneho poplatku – </w:t>
            </w:r>
            <w:r>
              <w:rPr>
                <w:rFonts w:ascii="Arial" w:hAnsi="Arial" w:cs="Arial"/>
                <w:color w:val="000000"/>
                <w:lang w:eastAsia="sk-SK"/>
              </w:rPr>
              <w:t xml:space="preserve">súdny poplatok zrejme platí strana sporu a nie jej zástupca – máme teda za to, že ide o niečo čo má osobne vykonať v spore strana a nie jej zástupca. Preto sa javí nesprávnym to, že by uvedená výzva mala byť doručovaná iba zástupcovi. </w:t>
            </w:r>
          </w:p>
        </w:tc>
        <w:tc>
          <w:tcPr>
            <w:tcW w:w="1701" w:type="dxa"/>
          </w:tcPr>
          <w:p w:rsidR="00F91E71" w:rsidRPr="000B53B9" w:rsidRDefault="00F91E71" w:rsidP="00F91E71">
            <w:pPr>
              <w:pStyle w:val="Odsekzoznamu"/>
              <w:ind w:left="0"/>
              <w:rPr>
                <w:rFonts w:ascii="Arial" w:hAnsi="Arial" w:cs="Arial"/>
                <w:bCs/>
              </w:rPr>
            </w:pPr>
          </w:p>
        </w:tc>
      </w:tr>
      <w:tr w:rsidR="00F91E71" w:rsidRPr="000B53B9" w:rsidTr="00450A99">
        <w:trPr>
          <w:cantSplit/>
          <w:trHeight w:val="340"/>
        </w:trPr>
        <w:tc>
          <w:tcPr>
            <w:tcW w:w="1668" w:type="dxa"/>
          </w:tcPr>
          <w:p w:rsidR="00F91E71" w:rsidRPr="000B53B9" w:rsidRDefault="00F91E71" w:rsidP="00F91E71">
            <w:pPr>
              <w:pStyle w:val="Odsekzoznamu"/>
              <w:ind w:left="0"/>
              <w:rPr>
                <w:rFonts w:ascii="Arial" w:hAnsi="Arial" w:cs="Arial"/>
                <w:b/>
                <w:bCs/>
              </w:rPr>
            </w:pPr>
            <w:r w:rsidRPr="000B53B9">
              <w:rPr>
                <w:rFonts w:ascii="Arial" w:hAnsi="Arial" w:cs="Arial"/>
                <w:b/>
                <w:bCs/>
              </w:rPr>
              <w:lastRenderedPageBreak/>
              <w:t>§ 157 ods. 1</w:t>
            </w:r>
          </w:p>
        </w:tc>
        <w:tc>
          <w:tcPr>
            <w:tcW w:w="3827" w:type="dxa"/>
          </w:tcPr>
          <w:p w:rsidR="00F91E71" w:rsidRPr="000B53B9" w:rsidRDefault="00F91E71" w:rsidP="00F91E71">
            <w:pPr>
              <w:widowControl w:val="0"/>
              <w:numPr>
                <w:ilvl w:val="0"/>
                <w:numId w:val="31"/>
              </w:numPr>
              <w:tabs>
                <w:tab w:val="left" w:pos="459"/>
              </w:tabs>
              <w:autoSpaceDE w:val="0"/>
              <w:autoSpaceDN w:val="0"/>
              <w:adjustRightInd w:val="0"/>
              <w:spacing w:after="0" w:line="240" w:lineRule="auto"/>
              <w:ind w:left="0" w:firstLine="33"/>
              <w:jc w:val="both"/>
              <w:rPr>
                <w:rFonts w:ascii="Arial" w:eastAsia="MS Mincho" w:hAnsi="Arial" w:cs="Arial"/>
              </w:rPr>
            </w:pPr>
            <w:r w:rsidRPr="000B53B9">
              <w:rPr>
                <w:rFonts w:ascii="Arial" w:eastAsia="MS Mincho" w:hAnsi="Arial" w:cs="Arial"/>
              </w:rPr>
              <w:t xml:space="preserve">V záujme hospodárnosti konania súd spojí na spoločné konanie také konania, ktoré sa pred ním začali a skutkovo spolu súvisia alebo sa týkajú tých istých strán. Ak boli takéto konania pridelené viacerým sudcom toho istého súdu, rozhodne o spojení konaní ten sudca, u ktorého sa začalo konanie skôr. </w:t>
            </w:r>
          </w:p>
          <w:p w:rsidR="00F91E71" w:rsidRPr="000B53B9" w:rsidRDefault="00F91E71" w:rsidP="00F91E71">
            <w:pPr>
              <w:pStyle w:val="Odsekzoznamu"/>
              <w:ind w:left="0"/>
              <w:rPr>
                <w:rFonts w:ascii="Arial" w:hAnsi="Arial" w:cs="Arial"/>
                <w:bCs/>
                <w:lang w:eastAsia="sk-SK" w:bidi="ar-SA"/>
              </w:rPr>
            </w:pPr>
          </w:p>
        </w:tc>
        <w:tc>
          <w:tcPr>
            <w:tcW w:w="3969" w:type="dxa"/>
          </w:tcPr>
          <w:p w:rsidR="00F91E71" w:rsidRPr="000B53B9" w:rsidRDefault="00F91E71" w:rsidP="00F91E71">
            <w:pPr>
              <w:pStyle w:val="Odsekzoznamu"/>
              <w:widowControl w:val="0"/>
              <w:numPr>
                <w:ilvl w:val="0"/>
                <w:numId w:val="32"/>
              </w:numPr>
              <w:tabs>
                <w:tab w:val="left" w:pos="459"/>
              </w:tabs>
              <w:autoSpaceDE w:val="0"/>
              <w:autoSpaceDN w:val="0"/>
              <w:adjustRightInd w:val="0"/>
              <w:ind w:left="34" w:firstLine="0"/>
              <w:jc w:val="both"/>
              <w:rPr>
                <w:rFonts w:ascii="Arial" w:hAnsi="Arial" w:cs="Arial"/>
                <w:bCs/>
              </w:rPr>
            </w:pPr>
            <w:r w:rsidRPr="000B53B9">
              <w:rPr>
                <w:rFonts w:ascii="Arial" w:eastAsia="MS Mincho" w:hAnsi="Arial" w:cs="Arial"/>
              </w:rPr>
              <w:t>V záujme hospodárnosti konania súd spojí na spoločné konanie také konania, ktoré sa pred ním začali a skutkovo spolu súvisia alebo sa týkajú tých istých strán.</w:t>
            </w:r>
          </w:p>
        </w:tc>
        <w:tc>
          <w:tcPr>
            <w:tcW w:w="4961" w:type="dxa"/>
          </w:tcPr>
          <w:p w:rsidR="00F91E71" w:rsidRPr="000B53B9" w:rsidRDefault="00F91E71" w:rsidP="00F91E71">
            <w:pPr>
              <w:pStyle w:val="Odsekzoznamu"/>
              <w:ind w:left="0"/>
              <w:rPr>
                <w:rFonts w:ascii="Arial" w:hAnsi="Arial" w:cs="Arial"/>
                <w:bCs/>
              </w:rPr>
            </w:pPr>
            <w:r w:rsidRPr="000B53B9">
              <w:rPr>
                <w:rFonts w:ascii="Arial" w:hAnsi="Arial" w:cs="Arial"/>
                <w:color w:val="000000"/>
                <w:lang w:eastAsia="sk-SK"/>
              </w:rPr>
              <w:t>Ustanovenie poslednej vety je v rozpore s doterajšou praxou a judikatúrou ÚS SR. Navrhujeme ho vypustiť.</w:t>
            </w:r>
          </w:p>
        </w:tc>
        <w:tc>
          <w:tcPr>
            <w:tcW w:w="1701" w:type="dxa"/>
          </w:tcPr>
          <w:p w:rsidR="00F91E71" w:rsidRPr="000B53B9" w:rsidRDefault="00F91E71" w:rsidP="00F91E71">
            <w:pPr>
              <w:pStyle w:val="Odsekzoznamu"/>
              <w:ind w:left="0"/>
              <w:rPr>
                <w:rFonts w:ascii="Arial" w:hAnsi="Arial" w:cs="Arial"/>
                <w:bCs/>
              </w:rPr>
            </w:pPr>
          </w:p>
        </w:tc>
      </w:tr>
      <w:tr w:rsidR="00F91E71" w:rsidRPr="000B53B9" w:rsidTr="00450A99">
        <w:trPr>
          <w:cantSplit/>
          <w:trHeight w:val="340"/>
        </w:trPr>
        <w:tc>
          <w:tcPr>
            <w:tcW w:w="1668" w:type="dxa"/>
          </w:tcPr>
          <w:p w:rsidR="00F91E71" w:rsidRPr="000B53B9" w:rsidRDefault="00F91E71" w:rsidP="00F91E71">
            <w:pPr>
              <w:pStyle w:val="Odsekzoznamu"/>
              <w:ind w:left="0"/>
              <w:rPr>
                <w:rFonts w:ascii="Arial" w:hAnsi="Arial" w:cs="Arial"/>
                <w:b/>
                <w:bCs/>
              </w:rPr>
            </w:pPr>
            <w:r w:rsidRPr="000B53B9">
              <w:rPr>
                <w:rFonts w:ascii="Arial" w:hAnsi="Arial" w:cs="Arial"/>
                <w:b/>
                <w:bCs/>
              </w:rPr>
              <w:t>§ 172 ods. 5</w:t>
            </w:r>
          </w:p>
        </w:tc>
        <w:tc>
          <w:tcPr>
            <w:tcW w:w="3827" w:type="dxa"/>
          </w:tcPr>
          <w:p w:rsidR="00F91E71" w:rsidRPr="000B53B9" w:rsidRDefault="00F91E71" w:rsidP="00F91E71">
            <w:pPr>
              <w:pStyle w:val="Odsekzoznamu"/>
              <w:widowControl w:val="0"/>
              <w:numPr>
                <w:ilvl w:val="0"/>
                <w:numId w:val="35"/>
              </w:numPr>
              <w:tabs>
                <w:tab w:val="left" w:pos="33"/>
              </w:tabs>
              <w:autoSpaceDE w:val="0"/>
              <w:autoSpaceDN w:val="0"/>
              <w:adjustRightInd w:val="0"/>
              <w:ind w:left="0" w:firstLine="33"/>
              <w:jc w:val="both"/>
              <w:rPr>
                <w:rFonts w:ascii="Arial" w:eastAsia="MS Mincho" w:hAnsi="Arial" w:cs="Arial"/>
              </w:rPr>
            </w:pPr>
            <w:r w:rsidRPr="000B53B9">
              <w:rPr>
                <w:rFonts w:ascii="Arial" w:eastAsia="MS Mincho" w:hAnsi="Arial" w:cs="Arial"/>
              </w:rPr>
              <w:t xml:space="preserve">Ak v dôsledku postupu podľa odseku 4 došlo k odročeniu pojednávania, trovy konania znáša ten, kto odročenie spôsobil. </w:t>
            </w:r>
          </w:p>
          <w:p w:rsidR="00F91E71" w:rsidRPr="000B53B9" w:rsidRDefault="00F91E71" w:rsidP="00F91E71">
            <w:pPr>
              <w:pStyle w:val="Odsekzoznamu"/>
              <w:ind w:left="0"/>
              <w:rPr>
                <w:rFonts w:ascii="Arial" w:hAnsi="Arial" w:cs="Arial"/>
                <w:bCs/>
                <w:lang w:eastAsia="sk-SK" w:bidi="ar-SA"/>
              </w:rPr>
            </w:pPr>
          </w:p>
        </w:tc>
        <w:tc>
          <w:tcPr>
            <w:tcW w:w="3969" w:type="dxa"/>
          </w:tcPr>
          <w:p w:rsidR="00F91E71" w:rsidRPr="000B53B9" w:rsidRDefault="00F91E71" w:rsidP="00F91E71">
            <w:pPr>
              <w:pStyle w:val="Odsekzoznamu"/>
              <w:widowControl w:val="0"/>
              <w:numPr>
                <w:ilvl w:val="0"/>
                <w:numId w:val="36"/>
              </w:numPr>
              <w:tabs>
                <w:tab w:val="left" w:pos="0"/>
              </w:tabs>
              <w:autoSpaceDE w:val="0"/>
              <w:autoSpaceDN w:val="0"/>
              <w:adjustRightInd w:val="0"/>
              <w:ind w:left="34" w:firstLine="0"/>
              <w:jc w:val="both"/>
              <w:rPr>
                <w:rFonts w:ascii="Arial" w:eastAsia="MS Mincho" w:hAnsi="Arial" w:cs="Arial"/>
              </w:rPr>
            </w:pPr>
            <w:r w:rsidRPr="000B53B9">
              <w:rPr>
                <w:rFonts w:ascii="Arial" w:eastAsia="MS Mincho" w:hAnsi="Arial" w:cs="Arial"/>
              </w:rPr>
              <w:t xml:space="preserve">Ak v dôsledku postupu podľa odseku 4 došlo k odročeniu pojednávania, trovy odročeného pojednávania znáša ten, kto odročenie spôsobil. </w:t>
            </w:r>
          </w:p>
          <w:p w:rsidR="00F91E71" w:rsidRPr="000B53B9" w:rsidRDefault="00F91E71" w:rsidP="00F91E71">
            <w:pPr>
              <w:rPr>
                <w:rFonts w:ascii="Arial" w:hAnsi="Arial" w:cs="Arial"/>
                <w:bCs/>
              </w:rPr>
            </w:pPr>
          </w:p>
        </w:tc>
        <w:tc>
          <w:tcPr>
            <w:tcW w:w="4961" w:type="dxa"/>
          </w:tcPr>
          <w:p w:rsidR="00F91E71" w:rsidRPr="000B53B9" w:rsidRDefault="00F91E71" w:rsidP="00F91E71">
            <w:pPr>
              <w:pStyle w:val="Odsekzoznamu"/>
              <w:ind w:left="0"/>
              <w:rPr>
                <w:rFonts w:ascii="Arial" w:hAnsi="Arial" w:cs="Arial"/>
                <w:bCs/>
              </w:rPr>
            </w:pPr>
            <w:r w:rsidRPr="000B53B9">
              <w:rPr>
                <w:rFonts w:ascii="Arial" w:hAnsi="Arial" w:cs="Arial"/>
                <w:bCs/>
              </w:rPr>
              <w:t>Navrhujeme nahradiť slovo „konania“ slovami „odročeného pojednávania“.</w:t>
            </w:r>
          </w:p>
        </w:tc>
        <w:tc>
          <w:tcPr>
            <w:tcW w:w="1701" w:type="dxa"/>
          </w:tcPr>
          <w:p w:rsidR="00F91E71" w:rsidRPr="000B53B9" w:rsidRDefault="00F91E71" w:rsidP="00F91E71">
            <w:pPr>
              <w:pStyle w:val="Odsekzoznamu"/>
              <w:ind w:left="0"/>
              <w:rPr>
                <w:rFonts w:ascii="Arial" w:hAnsi="Arial" w:cs="Arial"/>
                <w:bCs/>
              </w:rPr>
            </w:pPr>
          </w:p>
        </w:tc>
      </w:tr>
      <w:tr w:rsidR="00F91E71" w:rsidRPr="000B53B9" w:rsidTr="00450A99">
        <w:trPr>
          <w:cantSplit/>
          <w:trHeight w:val="340"/>
        </w:trPr>
        <w:tc>
          <w:tcPr>
            <w:tcW w:w="1668" w:type="dxa"/>
          </w:tcPr>
          <w:p w:rsidR="00F91E71" w:rsidRPr="000B53B9" w:rsidRDefault="00F91E71" w:rsidP="00F91E71">
            <w:pPr>
              <w:pStyle w:val="Odsekzoznamu"/>
              <w:ind w:left="0"/>
              <w:rPr>
                <w:rFonts w:ascii="Arial" w:hAnsi="Arial" w:cs="Arial"/>
                <w:b/>
                <w:bCs/>
              </w:rPr>
            </w:pPr>
            <w:r w:rsidRPr="000B53B9">
              <w:rPr>
                <w:rFonts w:ascii="Arial" w:hAnsi="Arial" w:cs="Arial"/>
                <w:b/>
                <w:bCs/>
              </w:rPr>
              <w:t>§ 222 ods. 3</w:t>
            </w:r>
          </w:p>
        </w:tc>
        <w:tc>
          <w:tcPr>
            <w:tcW w:w="3827" w:type="dxa"/>
          </w:tcPr>
          <w:p w:rsidR="00F91E71" w:rsidRPr="000B53B9" w:rsidRDefault="00F91E71" w:rsidP="00F91E71">
            <w:pPr>
              <w:pStyle w:val="Odsekzoznamu"/>
              <w:ind w:left="0"/>
              <w:rPr>
                <w:rFonts w:ascii="Arial" w:hAnsi="Arial" w:cs="Arial"/>
                <w:bCs/>
                <w:lang w:eastAsia="sk-SK" w:bidi="ar-SA"/>
              </w:rPr>
            </w:pPr>
            <w:r w:rsidRPr="000B53B9">
              <w:rPr>
                <w:rFonts w:ascii="Arial" w:hAnsi="Arial" w:cs="Arial"/>
                <w:color w:val="000000"/>
                <w:lang w:eastAsia="sk-SK"/>
              </w:rPr>
              <w:t>(3) Lehota na plnenie je tri dni a plynie od právoplatnosti rozsudku; súd môže v odôvodnených prípadoch určiť dlhšiu lehotu.</w:t>
            </w:r>
          </w:p>
        </w:tc>
        <w:tc>
          <w:tcPr>
            <w:tcW w:w="3969" w:type="dxa"/>
          </w:tcPr>
          <w:p w:rsidR="00F91E71" w:rsidRPr="000B53B9" w:rsidRDefault="00F91E71" w:rsidP="00F91E71">
            <w:pPr>
              <w:rPr>
                <w:rFonts w:ascii="Arial" w:hAnsi="Arial" w:cs="Arial"/>
                <w:bCs/>
              </w:rPr>
            </w:pPr>
            <w:r w:rsidRPr="000B53B9">
              <w:rPr>
                <w:rFonts w:ascii="Arial" w:hAnsi="Arial" w:cs="Arial"/>
                <w:color w:val="000000"/>
                <w:lang w:eastAsia="sk-SK"/>
              </w:rPr>
              <w:t>(3) Lehota na plnenie je 15 dní a plynie od právoplatnosti rozsudku; súd môže v odôvodnených prípadoch určiť dlhšiu lehotu.</w:t>
            </w:r>
          </w:p>
        </w:tc>
        <w:tc>
          <w:tcPr>
            <w:tcW w:w="4961" w:type="dxa"/>
          </w:tcPr>
          <w:p w:rsidR="00F91E71" w:rsidRPr="000B53B9" w:rsidRDefault="00F91E71" w:rsidP="00F91E71">
            <w:pPr>
              <w:autoSpaceDE w:val="0"/>
              <w:autoSpaceDN w:val="0"/>
              <w:adjustRightInd w:val="0"/>
              <w:spacing w:after="0" w:line="240" w:lineRule="auto"/>
              <w:rPr>
                <w:rFonts w:ascii="Arial" w:hAnsi="Arial" w:cs="Arial"/>
                <w:color w:val="000000"/>
                <w:lang w:eastAsia="sk-SK"/>
              </w:rPr>
            </w:pPr>
            <w:r w:rsidRPr="000B53B9">
              <w:rPr>
                <w:rFonts w:ascii="Arial" w:hAnsi="Arial" w:cs="Arial"/>
                <w:color w:val="000000"/>
                <w:lang w:eastAsia="sk-SK"/>
              </w:rPr>
              <w:t>Navrhujeme upraviť v ods.3 lehotu na plnenie, aktuálne platné 3 dni nie je možné vždy dodržať, najmä v prípade doručenia rozhodnutia odvolacieho súdu pred víkendom alebo voľnými dňami.</w:t>
            </w:r>
          </w:p>
          <w:p w:rsidR="00F91E71" w:rsidRPr="000B53B9" w:rsidRDefault="00F91E71" w:rsidP="00F91E71">
            <w:pPr>
              <w:autoSpaceDE w:val="0"/>
              <w:autoSpaceDN w:val="0"/>
              <w:adjustRightInd w:val="0"/>
              <w:spacing w:after="0" w:line="240" w:lineRule="auto"/>
              <w:rPr>
                <w:rFonts w:ascii="Arial" w:hAnsi="Arial" w:cs="Arial"/>
                <w:color w:val="000000"/>
                <w:lang w:eastAsia="sk-SK"/>
              </w:rPr>
            </w:pPr>
          </w:p>
          <w:p w:rsidR="00F91E71" w:rsidRPr="000B53B9" w:rsidRDefault="00F91E71" w:rsidP="00F91E71">
            <w:pPr>
              <w:pStyle w:val="Odsekzoznamu"/>
              <w:ind w:left="0"/>
              <w:rPr>
                <w:rFonts w:ascii="Arial" w:hAnsi="Arial" w:cs="Arial"/>
                <w:bCs/>
              </w:rPr>
            </w:pPr>
          </w:p>
        </w:tc>
        <w:tc>
          <w:tcPr>
            <w:tcW w:w="1701" w:type="dxa"/>
          </w:tcPr>
          <w:p w:rsidR="00F91E71" w:rsidRPr="000B53B9" w:rsidRDefault="00F91E71" w:rsidP="00F91E71">
            <w:pPr>
              <w:pStyle w:val="Odsekzoznamu"/>
              <w:ind w:left="0"/>
              <w:rPr>
                <w:rFonts w:ascii="Arial" w:hAnsi="Arial" w:cs="Arial"/>
                <w:bCs/>
              </w:rPr>
            </w:pPr>
          </w:p>
        </w:tc>
      </w:tr>
      <w:tr w:rsidR="00F91E71" w:rsidRPr="000B53B9" w:rsidTr="00450A99">
        <w:trPr>
          <w:cantSplit/>
          <w:trHeight w:val="340"/>
        </w:trPr>
        <w:tc>
          <w:tcPr>
            <w:tcW w:w="1668" w:type="dxa"/>
          </w:tcPr>
          <w:p w:rsidR="00F91E71" w:rsidRPr="000B53B9" w:rsidRDefault="00F91E71" w:rsidP="00F91E71">
            <w:pPr>
              <w:pStyle w:val="Odsekzoznamu"/>
              <w:ind w:left="0"/>
              <w:rPr>
                <w:rFonts w:ascii="Arial" w:hAnsi="Arial" w:cs="Arial"/>
                <w:b/>
                <w:bCs/>
              </w:rPr>
            </w:pPr>
            <w:r w:rsidRPr="000B53B9">
              <w:rPr>
                <w:rFonts w:ascii="Arial" w:hAnsi="Arial" w:cs="Arial"/>
                <w:b/>
                <w:color w:val="000000"/>
                <w:lang w:eastAsia="sk-SK"/>
              </w:rPr>
              <w:lastRenderedPageBreak/>
              <w:t>§ 285</w:t>
            </w:r>
          </w:p>
        </w:tc>
        <w:tc>
          <w:tcPr>
            <w:tcW w:w="3827" w:type="dxa"/>
          </w:tcPr>
          <w:p w:rsidR="00F91E71" w:rsidRPr="000B53B9" w:rsidRDefault="00F91E71" w:rsidP="00F91E71">
            <w:pPr>
              <w:pStyle w:val="Odsekzoznamu"/>
              <w:ind w:left="0"/>
              <w:rPr>
                <w:rFonts w:ascii="Arial" w:hAnsi="Arial" w:cs="Arial"/>
                <w:color w:val="000000"/>
                <w:lang w:eastAsia="sk-SK"/>
              </w:rPr>
            </w:pPr>
            <w:r w:rsidRPr="000B53B9">
              <w:rPr>
                <w:rFonts w:ascii="Arial" w:hAnsi="Arial" w:cs="Arial"/>
                <w:color w:val="000000"/>
                <w:lang w:eastAsia="sk-SK"/>
              </w:rPr>
              <w:t>Zmena žaloby sa v spotrebiteľských sporoch nepripúšťa, ak je žalovaným spotrebiteľ.</w:t>
            </w:r>
          </w:p>
        </w:tc>
        <w:tc>
          <w:tcPr>
            <w:tcW w:w="3969" w:type="dxa"/>
          </w:tcPr>
          <w:p w:rsidR="00F91E71" w:rsidRPr="000B53B9" w:rsidRDefault="00F91E71" w:rsidP="00F91E71">
            <w:pPr>
              <w:rPr>
                <w:rFonts w:ascii="Arial" w:hAnsi="Arial" w:cs="Arial"/>
                <w:color w:val="000000"/>
                <w:lang w:eastAsia="sk-SK"/>
              </w:rPr>
            </w:pPr>
          </w:p>
        </w:tc>
        <w:tc>
          <w:tcPr>
            <w:tcW w:w="4961" w:type="dxa"/>
          </w:tcPr>
          <w:p w:rsidR="00F91E71" w:rsidRPr="000B53B9" w:rsidRDefault="00F91E71" w:rsidP="00F91E71">
            <w:pPr>
              <w:autoSpaceDE w:val="0"/>
              <w:autoSpaceDN w:val="0"/>
              <w:adjustRightInd w:val="0"/>
              <w:spacing w:after="0" w:line="240" w:lineRule="auto"/>
              <w:rPr>
                <w:rFonts w:ascii="Arial" w:hAnsi="Arial" w:cs="Arial"/>
                <w:color w:val="000000"/>
                <w:lang w:eastAsia="sk-SK"/>
              </w:rPr>
            </w:pPr>
            <w:r w:rsidRPr="000B53B9">
              <w:rPr>
                <w:rFonts w:ascii="Arial" w:hAnsi="Arial" w:cs="Arial"/>
                <w:color w:val="000000"/>
                <w:lang w:eastAsia="sk-SK"/>
              </w:rPr>
              <w:t>Nie je  úplne zrejmé, ako má takéto obmedzenie prispieť k obrane spotrebiteľa.</w:t>
            </w:r>
          </w:p>
          <w:p w:rsidR="00F91E71" w:rsidRPr="000B53B9" w:rsidRDefault="00F91E71" w:rsidP="00F91E71">
            <w:pPr>
              <w:autoSpaceDE w:val="0"/>
              <w:autoSpaceDN w:val="0"/>
              <w:adjustRightInd w:val="0"/>
              <w:spacing w:after="0" w:line="240" w:lineRule="auto"/>
              <w:rPr>
                <w:rFonts w:ascii="Arial" w:hAnsi="Arial" w:cs="Arial"/>
                <w:color w:val="000000"/>
                <w:lang w:eastAsia="sk-SK"/>
              </w:rPr>
            </w:pPr>
          </w:p>
          <w:p w:rsidR="00F91E71" w:rsidRPr="000B53B9" w:rsidRDefault="00F91E71" w:rsidP="00F91E71">
            <w:pPr>
              <w:autoSpaceDE w:val="0"/>
              <w:autoSpaceDN w:val="0"/>
              <w:adjustRightInd w:val="0"/>
              <w:spacing w:after="0" w:line="240" w:lineRule="auto"/>
              <w:rPr>
                <w:rFonts w:ascii="Arial" w:hAnsi="Arial" w:cs="Arial"/>
                <w:color w:val="000000"/>
                <w:lang w:eastAsia="sk-SK"/>
              </w:rPr>
            </w:pPr>
            <w:r w:rsidRPr="000B53B9">
              <w:rPr>
                <w:rFonts w:ascii="Arial" w:hAnsi="Arial" w:cs="Arial"/>
                <w:color w:val="000000"/>
                <w:lang w:eastAsia="sk-SK"/>
              </w:rPr>
              <w:t>ad 1) nie je úplne jednoznačne upravené, čo to je zmena žaloby.  § 131 síce hovorí, že je to aj rozšírenie už uplatneného práva, ale nie je jasné, či to zahŕňa napríklad aj opravu chybne, nepresne podanej žaloby atp., keďže, sa z návrhu  javí, že odstránenie takejto chyby návrh takisto osobitne neupravuje a de facto je potom zmenou,</w:t>
            </w:r>
          </w:p>
          <w:p w:rsidR="00F91E71" w:rsidRPr="000B53B9" w:rsidRDefault="00F91E71" w:rsidP="00F91E71">
            <w:pPr>
              <w:autoSpaceDE w:val="0"/>
              <w:autoSpaceDN w:val="0"/>
              <w:adjustRightInd w:val="0"/>
              <w:spacing w:after="0" w:line="240" w:lineRule="auto"/>
              <w:rPr>
                <w:rFonts w:ascii="Arial" w:hAnsi="Arial" w:cs="Arial"/>
                <w:color w:val="000000"/>
                <w:lang w:eastAsia="sk-SK"/>
              </w:rPr>
            </w:pPr>
          </w:p>
          <w:p w:rsidR="00F91E71" w:rsidRPr="000B53B9" w:rsidRDefault="00F91E71" w:rsidP="00F91E71">
            <w:pPr>
              <w:autoSpaceDE w:val="0"/>
              <w:autoSpaceDN w:val="0"/>
              <w:adjustRightInd w:val="0"/>
              <w:spacing w:after="0" w:line="240" w:lineRule="auto"/>
              <w:rPr>
                <w:rFonts w:ascii="Arial" w:hAnsi="Arial" w:cs="Arial"/>
                <w:color w:val="000000"/>
                <w:lang w:eastAsia="sk-SK"/>
              </w:rPr>
            </w:pPr>
            <w:r w:rsidRPr="000B53B9">
              <w:rPr>
                <w:rFonts w:ascii="Arial" w:hAnsi="Arial" w:cs="Arial"/>
                <w:color w:val="000000"/>
                <w:lang w:eastAsia="sk-SK"/>
              </w:rPr>
              <w:t>ad 2) ak nie je prípustná zmena, bude navrhovateľ v takom prípade nútený si uplatniť svoje právo v prevyšujúcom rozsahu novou žalobou, čo určite nie je v prospech spotrebiteľa, keďže ho to vystavuje väčšiemu počtu sporov, súdnych poplatkov...,</w:t>
            </w:r>
          </w:p>
          <w:p w:rsidR="00F91E71" w:rsidRPr="000B53B9" w:rsidRDefault="00F91E71" w:rsidP="00F91E71">
            <w:pPr>
              <w:autoSpaceDE w:val="0"/>
              <w:autoSpaceDN w:val="0"/>
              <w:adjustRightInd w:val="0"/>
              <w:spacing w:after="0" w:line="240" w:lineRule="auto"/>
              <w:rPr>
                <w:rFonts w:ascii="Arial" w:hAnsi="Arial" w:cs="Arial"/>
                <w:color w:val="000000"/>
                <w:lang w:eastAsia="sk-SK"/>
              </w:rPr>
            </w:pPr>
          </w:p>
          <w:p w:rsidR="00F91E71" w:rsidRPr="000B53B9" w:rsidRDefault="00F91E71" w:rsidP="00F91E71">
            <w:pPr>
              <w:autoSpaceDE w:val="0"/>
              <w:autoSpaceDN w:val="0"/>
              <w:adjustRightInd w:val="0"/>
              <w:spacing w:after="0" w:line="240" w:lineRule="auto"/>
              <w:rPr>
                <w:rFonts w:ascii="Arial" w:hAnsi="Arial" w:cs="Arial"/>
                <w:color w:val="000000"/>
                <w:lang w:eastAsia="sk-SK"/>
              </w:rPr>
            </w:pPr>
            <w:r w:rsidRPr="000B53B9">
              <w:rPr>
                <w:rFonts w:ascii="Arial" w:hAnsi="Arial" w:cs="Arial"/>
                <w:color w:val="000000"/>
                <w:lang w:eastAsia="sk-SK"/>
              </w:rPr>
              <w:t xml:space="preserve">ad 3) prípadné ďalšie spory duplikujú vykonávané dokazovanie, trovy, súdne poplatky..., </w:t>
            </w:r>
          </w:p>
          <w:p w:rsidR="00F91E71" w:rsidRPr="000B53B9" w:rsidRDefault="00F91E71" w:rsidP="00F91E71">
            <w:pPr>
              <w:autoSpaceDE w:val="0"/>
              <w:autoSpaceDN w:val="0"/>
              <w:adjustRightInd w:val="0"/>
              <w:spacing w:after="0" w:line="240" w:lineRule="auto"/>
              <w:rPr>
                <w:rFonts w:ascii="Arial" w:hAnsi="Arial" w:cs="Arial"/>
                <w:color w:val="000000"/>
                <w:lang w:eastAsia="sk-SK"/>
              </w:rPr>
            </w:pPr>
          </w:p>
          <w:p w:rsidR="00F91E71" w:rsidRPr="000B53B9" w:rsidRDefault="00F91E71" w:rsidP="00F91E71">
            <w:pPr>
              <w:autoSpaceDE w:val="0"/>
              <w:autoSpaceDN w:val="0"/>
              <w:adjustRightInd w:val="0"/>
              <w:spacing w:after="0" w:line="240" w:lineRule="auto"/>
              <w:rPr>
                <w:rFonts w:ascii="Arial" w:hAnsi="Arial" w:cs="Arial"/>
                <w:color w:val="000000"/>
                <w:lang w:eastAsia="sk-SK"/>
              </w:rPr>
            </w:pPr>
            <w:r w:rsidRPr="000B53B9">
              <w:rPr>
                <w:rFonts w:ascii="Arial" w:hAnsi="Arial" w:cs="Arial"/>
                <w:color w:val="000000"/>
                <w:lang w:eastAsia="sk-SK"/>
              </w:rPr>
              <w:t>ad 4) nemožnosť rozšíriť žalobu nemá vplyv na uplatňovanie nedôvodných nárokov. Napr. prípadné premlčanie je možné namietnuť proti rozšíreniu žaloby rovnako, ako proti novej žalobe.</w:t>
            </w:r>
          </w:p>
          <w:p w:rsidR="00F91E71" w:rsidRPr="000B53B9" w:rsidRDefault="00F91E71" w:rsidP="00F91E71">
            <w:pPr>
              <w:autoSpaceDE w:val="0"/>
              <w:autoSpaceDN w:val="0"/>
              <w:adjustRightInd w:val="0"/>
              <w:spacing w:after="0" w:line="240" w:lineRule="auto"/>
              <w:rPr>
                <w:rFonts w:ascii="Arial" w:hAnsi="Arial" w:cs="Arial"/>
                <w:color w:val="000000"/>
                <w:lang w:eastAsia="sk-SK"/>
              </w:rPr>
            </w:pPr>
          </w:p>
          <w:p w:rsidR="00F91E71" w:rsidRPr="000B53B9" w:rsidRDefault="00F91E71" w:rsidP="00F91E71">
            <w:pPr>
              <w:autoSpaceDE w:val="0"/>
              <w:autoSpaceDN w:val="0"/>
              <w:adjustRightInd w:val="0"/>
              <w:spacing w:after="0" w:line="240" w:lineRule="auto"/>
              <w:rPr>
                <w:rFonts w:ascii="Arial" w:hAnsi="Arial" w:cs="Arial"/>
                <w:color w:val="000000"/>
                <w:lang w:eastAsia="sk-SK"/>
              </w:rPr>
            </w:pPr>
            <w:r w:rsidRPr="000B53B9">
              <w:rPr>
                <w:rFonts w:ascii="Arial" w:hAnsi="Arial" w:cs="Arial"/>
                <w:color w:val="000000"/>
                <w:lang w:eastAsia="sk-SK"/>
              </w:rPr>
              <w:t>Je preto otázne, či dané ustanovenie chráni spotrebiteľa a či posilňuje jeho postavenie.  Naopak, máme za to, že zbytočnou reštrikciou komplikuje tak proces uplatnenia práva ako aj obrany proti jeho uplatneniu.</w:t>
            </w:r>
          </w:p>
          <w:p w:rsidR="00F91E71" w:rsidRPr="000B53B9" w:rsidRDefault="00F91E71" w:rsidP="00F91E71">
            <w:pPr>
              <w:autoSpaceDE w:val="0"/>
              <w:autoSpaceDN w:val="0"/>
              <w:adjustRightInd w:val="0"/>
              <w:spacing w:after="0" w:line="240" w:lineRule="auto"/>
              <w:rPr>
                <w:rFonts w:ascii="Arial" w:hAnsi="Arial" w:cs="Arial"/>
                <w:color w:val="000000"/>
                <w:lang w:eastAsia="sk-SK"/>
              </w:rPr>
            </w:pPr>
          </w:p>
        </w:tc>
        <w:tc>
          <w:tcPr>
            <w:tcW w:w="1701" w:type="dxa"/>
          </w:tcPr>
          <w:p w:rsidR="00F91E71" w:rsidRPr="000B53B9" w:rsidRDefault="00F91E71" w:rsidP="00F91E71">
            <w:pPr>
              <w:pStyle w:val="Odsekzoznamu"/>
              <w:ind w:left="0"/>
              <w:rPr>
                <w:rFonts w:ascii="Arial" w:hAnsi="Arial" w:cs="Arial"/>
                <w:bCs/>
              </w:rPr>
            </w:pPr>
          </w:p>
        </w:tc>
      </w:tr>
      <w:tr w:rsidR="00F91E71" w:rsidRPr="000B53B9" w:rsidTr="00450A99">
        <w:trPr>
          <w:cantSplit/>
          <w:trHeight w:val="340"/>
        </w:trPr>
        <w:tc>
          <w:tcPr>
            <w:tcW w:w="1668" w:type="dxa"/>
          </w:tcPr>
          <w:p w:rsidR="00F91E71" w:rsidRPr="000B53B9" w:rsidRDefault="00F91E71" w:rsidP="00F91E71">
            <w:pPr>
              <w:pStyle w:val="Odsekzoznamu"/>
              <w:ind w:left="0"/>
              <w:rPr>
                <w:rFonts w:ascii="Arial" w:hAnsi="Arial" w:cs="Arial"/>
                <w:b/>
                <w:bCs/>
              </w:rPr>
            </w:pPr>
            <w:r w:rsidRPr="000B53B9">
              <w:rPr>
                <w:rFonts w:ascii="Arial" w:hAnsi="Arial" w:cs="Arial"/>
                <w:b/>
                <w:bCs/>
              </w:rPr>
              <w:t>§ 349 ods. 1</w:t>
            </w:r>
          </w:p>
        </w:tc>
        <w:tc>
          <w:tcPr>
            <w:tcW w:w="3827" w:type="dxa"/>
          </w:tcPr>
          <w:p w:rsidR="00F91E71" w:rsidRPr="000B53B9" w:rsidRDefault="00F91E71" w:rsidP="00F91E71">
            <w:pPr>
              <w:pStyle w:val="Odsekzoznamu"/>
              <w:ind w:left="0"/>
              <w:rPr>
                <w:rFonts w:ascii="Arial" w:hAnsi="Arial" w:cs="Arial"/>
              </w:rPr>
            </w:pPr>
          </w:p>
        </w:tc>
        <w:tc>
          <w:tcPr>
            <w:tcW w:w="3969" w:type="dxa"/>
          </w:tcPr>
          <w:p w:rsidR="00F91E71" w:rsidRPr="000B53B9" w:rsidRDefault="00F91E71" w:rsidP="00F91E71">
            <w:pPr>
              <w:rPr>
                <w:rFonts w:ascii="Arial" w:hAnsi="Arial" w:cs="Arial"/>
                <w:bCs/>
              </w:rPr>
            </w:pPr>
            <w:r w:rsidRPr="000B53B9">
              <w:rPr>
                <w:rFonts w:ascii="Arial" w:hAnsi="Arial" w:cs="Arial"/>
                <w:bCs/>
              </w:rPr>
              <w:t xml:space="preserve">n) </w:t>
            </w:r>
            <w:r w:rsidRPr="000B53B9">
              <w:rPr>
                <w:rFonts w:ascii="Arial" w:hAnsi="Arial" w:cs="Arial"/>
                <w:color w:val="000000"/>
                <w:lang w:eastAsia="sk-SK"/>
              </w:rPr>
              <w:t xml:space="preserve"> o uložení poriadkovej pokuty</w:t>
            </w:r>
          </w:p>
        </w:tc>
        <w:tc>
          <w:tcPr>
            <w:tcW w:w="4961" w:type="dxa"/>
          </w:tcPr>
          <w:p w:rsidR="00F91E71" w:rsidRPr="000B53B9" w:rsidRDefault="00F91E71" w:rsidP="00F91E71">
            <w:pPr>
              <w:pStyle w:val="Odsekzoznamu"/>
              <w:ind w:left="0"/>
              <w:rPr>
                <w:rFonts w:ascii="Arial" w:hAnsi="Arial" w:cs="Arial"/>
                <w:bCs/>
              </w:rPr>
            </w:pPr>
            <w:r w:rsidRPr="000B53B9">
              <w:rPr>
                <w:rFonts w:ascii="Arial" w:hAnsi="Arial" w:cs="Arial"/>
                <w:color w:val="000000"/>
                <w:lang w:eastAsia="sk-SK"/>
              </w:rPr>
              <w:t>Navrhujeme doplniť písm. n), odvolanie by malo byť prípustné aj proti rozhodnutiu o uložení poriadkovej pokuty.</w:t>
            </w:r>
            <w:r>
              <w:rPr>
                <w:rFonts w:ascii="Arial" w:hAnsi="Arial" w:cs="Arial"/>
                <w:color w:val="000000"/>
                <w:lang w:eastAsia="sk-SK"/>
              </w:rPr>
              <w:t xml:space="preserve"> </w:t>
            </w:r>
            <w:r w:rsidRPr="006D5190">
              <w:rPr>
                <w:rFonts w:ascii="Arial" w:hAnsi="Arial" w:cs="Arial"/>
                <w:color w:val="FF0000"/>
                <w:lang w:eastAsia="sk-SK"/>
              </w:rPr>
              <w:t xml:space="preserve"> </w:t>
            </w:r>
            <w:r w:rsidRPr="004D3D58">
              <w:rPr>
                <w:rFonts w:ascii="Arial" w:hAnsi="Arial" w:cs="Arial"/>
                <w:lang w:eastAsia="sk-SK"/>
              </w:rPr>
              <w:t>Alebo bude uvedené rozhodnutie o poriadkovej pokute vydávané VSÚ a bude proti nemu prípustná sťažnosť?</w:t>
            </w:r>
          </w:p>
        </w:tc>
        <w:tc>
          <w:tcPr>
            <w:tcW w:w="1701" w:type="dxa"/>
          </w:tcPr>
          <w:p w:rsidR="00F91E71" w:rsidRPr="000B53B9" w:rsidRDefault="00F91E71" w:rsidP="00F91E71">
            <w:pPr>
              <w:pStyle w:val="Odsekzoznamu"/>
              <w:ind w:left="0"/>
              <w:rPr>
                <w:rFonts w:ascii="Arial" w:hAnsi="Arial" w:cs="Arial"/>
                <w:bCs/>
              </w:rPr>
            </w:pPr>
          </w:p>
        </w:tc>
      </w:tr>
    </w:tbl>
    <w:p w:rsidR="0083381F" w:rsidRDefault="0083381F" w:rsidP="00BF31C6">
      <w:pPr>
        <w:spacing w:after="0"/>
        <w:rPr>
          <w:rFonts w:ascii="Arial" w:hAnsi="Arial" w:cs="Arial"/>
          <w:bCs/>
        </w:rPr>
      </w:pPr>
    </w:p>
    <w:p w:rsidR="0095497D" w:rsidRPr="000B53B9" w:rsidRDefault="0095497D" w:rsidP="00BF31C6">
      <w:pPr>
        <w:spacing w:after="0"/>
        <w:rPr>
          <w:rFonts w:ascii="Arial" w:hAnsi="Arial" w:cs="Arial"/>
          <w:bCs/>
        </w:rPr>
      </w:pPr>
      <w:r>
        <w:rPr>
          <w:rFonts w:ascii="Arial" w:hAnsi="Arial" w:cs="Arial"/>
          <w:sz w:val="20"/>
          <w:szCs w:val="20"/>
        </w:rPr>
        <w:lastRenderedPageBreak/>
        <w:t xml:space="preserve">doplniť § 352 ods. 2 textom: </w:t>
      </w:r>
      <w:r>
        <w:br/>
      </w:r>
      <w:r>
        <w:br/>
      </w:r>
      <w:r>
        <w:rPr>
          <w:rFonts w:ascii="Arial" w:hAnsi="Arial" w:cs="Arial"/>
          <w:sz w:val="20"/>
          <w:szCs w:val="20"/>
        </w:rPr>
        <w:t xml:space="preserve">"Uvedené neplatí, ak nároky, ktoré je intervenient povinný za stranu, na ktorej vystupuje, plniť  druhej strane sporu podľa osobitného zákona; v takomto prípade je intervenient oprávnený podať odvolanie aj bez súhlasu strany, na ktorej intervenient vystupuje." </w:t>
      </w:r>
      <w:r>
        <w:br/>
      </w:r>
      <w:r>
        <w:br/>
      </w:r>
      <w:r>
        <w:rPr>
          <w:rFonts w:ascii="Arial" w:hAnsi="Arial" w:cs="Arial"/>
          <w:sz w:val="20"/>
          <w:szCs w:val="20"/>
        </w:rPr>
        <w:t>- § 414 nahradiť textom:</w:t>
      </w:r>
      <w:r>
        <w:t xml:space="preserve"> </w:t>
      </w:r>
      <w:r>
        <w:br/>
      </w:r>
      <w:r>
        <w:br/>
      </w:r>
      <w:r>
        <w:rPr>
          <w:rFonts w:ascii="Arial" w:hAnsi="Arial" w:cs="Arial"/>
          <w:sz w:val="20"/>
          <w:szCs w:val="20"/>
        </w:rPr>
        <w:t>"Dovolanie môže podať intervenient, ak spolu so stranou, na ktorej vystupoval, tvoril nerozlučné spoločenstvo, alebo ak v konaní išlo o nároky, ktoré je intervenient povinný za stranu, na ktorej vystupoval, plniť  druhej strane sporu podľa osobitného zákona."</w:t>
      </w:r>
      <w:r>
        <w:t xml:space="preserve"> </w:t>
      </w:r>
      <w:r>
        <w:br/>
      </w:r>
      <w:r>
        <w:br/>
      </w:r>
      <w:r>
        <w:rPr>
          <w:rFonts w:ascii="Arial" w:hAnsi="Arial" w:cs="Arial"/>
          <w:sz w:val="20"/>
          <w:szCs w:val="20"/>
        </w:rPr>
        <w:t>- § 390 nahradiť textom:</w:t>
      </w:r>
      <w:r>
        <w:t xml:space="preserve"> </w:t>
      </w:r>
      <w:r>
        <w:br/>
      </w:r>
      <w:r>
        <w:br/>
      </w:r>
      <w:r>
        <w:rPr>
          <w:rFonts w:ascii="Arial" w:hAnsi="Arial" w:cs="Arial"/>
          <w:sz w:val="20"/>
          <w:szCs w:val="20"/>
        </w:rPr>
        <w:t>"Žalobu na obnovu konania môže podať intervenient, ak tvoril so, na ktorej vystupoval, tvoril nerozlučné spoločenstvo, alebo ak v konaní išlo o nároky, ktoré je intervenient povinný za stranu, na ktorej vystupoval, plniť  druhej strane sporu podľa osobitného zákona."</w:t>
      </w:r>
    </w:p>
    <w:sectPr w:rsidR="0095497D" w:rsidRPr="000B53B9" w:rsidSect="000D094C">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B77" w:rsidRDefault="006C1B77" w:rsidP="00DC01E3">
      <w:pPr>
        <w:spacing w:after="0" w:line="240" w:lineRule="auto"/>
      </w:pPr>
      <w:r>
        <w:separator/>
      </w:r>
    </w:p>
  </w:endnote>
  <w:endnote w:type="continuationSeparator" w:id="0">
    <w:p w:rsidR="006C1B77" w:rsidRDefault="006C1B77" w:rsidP="00DC0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MS Mincho">
    <w:altName w:val="‚l‚r –ľ’©"/>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PMingLiU">
    <w:altName w:val="·s˛Ó©úĹé"/>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B77" w:rsidRDefault="006C1B77" w:rsidP="00DC01E3">
      <w:pPr>
        <w:spacing w:after="0" w:line="240" w:lineRule="auto"/>
      </w:pPr>
      <w:r>
        <w:separator/>
      </w:r>
    </w:p>
  </w:footnote>
  <w:footnote w:type="continuationSeparator" w:id="0">
    <w:p w:rsidR="006C1B77" w:rsidRDefault="006C1B77" w:rsidP="00DC01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739"/>
    <w:multiLevelType w:val="hybridMultilevel"/>
    <w:tmpl w:val="048240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ED241D"/>
    <w:multiLevelType w:val="hybridMultilevel"/>
    <w:tmpl w:val="39C004E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D52E12"/>
    <w:multiLevelType w:val="hybridMultilevel"/>
    <w:tmpl w:val="8042E23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AD95045"/>
    <w:multiLevelType w:val="hybridMultilevel"/>
    <w:tmpl w:val="430EE5C2"/>
    <w:lvl w:ilvl="0" w:tplc="58BC951E">
      <w:start w:val="1"/>
      <w:numFmt w:val="decimal"/>
      <w:lvlText w:val="(%1)"/>
      <w:lvlJc w:val="left"/>
      <w:pPr>
        <w:ind w:left="1069" w:hanging="360"/>
      </w:pPr>
      <w:rPr>
        <w:rFonts w:ascii="Calibri" w:eastAsia="MS Mincho" w:hAnsi="Calibri" w:cs="Times New Roman" w:hint="default"/>
        <w:sz w:val="22"/>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nsid w:val="0CF26256"/>
    <w:multiLevelType w:val="hybridMultilevel"/>
    <w:tmpl w:val="AE101D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F55C28"/>
    <w:multiLevelType w:val="hybridMultilevel"/>
    <w:tmpl w:val="82B490C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12D259B"/>
    <w:multiLevelType w:val="hybridMultilevel"/>
    <w:tmpl w:val="AE963CDA"/>
    <w:lvl w:ilvl="0" w:tplc="0409001B">
      <w:start w:val="1"/>
      <w:numFmt w:val="lowerRoman"/>
      <w:lvlText w:val="%1."/>
      <w:lvlJc w:val="right"/>
      <w:pPr>
        <w:ind w:left="1776" w:hanging="360"/>
      </w:pPr>
      <w:rPr>
        <w:rFonts w:cs="Times New Roman"/>
      </w:rPr>
    </w:lvl>
    <w:lvl w:ilvl="1" w:tplc="04090019" w:tentative="1">
      <w:start w:val="1"/>
      <w:numFmt w:val="lowerLetter"/>
      <w:lvlText w:val="%2."/>
      <w:lvlJc w:val="left"/>
      <w:pPr>
        <w:ind w:left="2496" w:hanging="360"/>
      </w:pPr>
      <w:rPr>
        <w:rFonts w:cs="Times New Roman"/>
      </w:rPr>
    </w:lvl>
    <w:lvl w:ilvl="2" w:tplc="0409001B" w:tentative="1">
      <w:start w:val="1"/>
      <w:numFmt w:val="lowerRoman"/>
      <w:lvlText w:val="%3."/>
      <w:lvlJc w:val="right"/>
      <w:pPr>
        <w:ind w:left="3216" w:hanging="180"/>
      </w:pPr>
      <w:rPr>
        <w:rFonts w:cs="Times New Roman"/>
      </w:rPr>
    </w:lvl>
    <w:lvl w:ilvl="3" w:tplc="0409000F" w:tentative="1">
      <w:start w:val="1"/>
      <w:numFmt w:val="decimal"/>
      <w:lvlText w:val="%4."/>
      <w:lvlJc w:val="left"/>
      <w:pPr>
        <w:ind w:left="3936" w:hanging="360"/>
      </w:pPr>
      <w:rPr>
        <w:rFonts w:cs="Times New Roman"/>
      </w:rPr>
    </w:lvl>
    <w:lvl w:ilvl="4" w:tplc="04090019" w:tentative="1">
      <w:start w:val="1"/>
      <w:numFmt w:val="lowerLetter"/>
      <w:lvlText w:val="%5."/>
      <w:lvlJc w:val="left"/>
      <w:pPr>
        <w:ind w:left="4656" w:hanging="360"/>
      </w:pPr>
      <w:rPr>
        <w:rFonts w:cs="Times New Roman"/>
      </w:rPr>
    </w:lvl>
    <w:lvl w:ilvl="5" w:tplc="0409001B" w:tentative="1">
      <w:start w:val="1"/>
      <w:numFmt w:val="lowerRoman"/>
      <w:lvlText w:val="%6."/>
      <w:lvlJc w:val="right"/>
      <w:pPr>
        <w:ind w:left="5376" w:hanging="180"/>
      </w:pPr>
      <w:rPr>
        <w:rFonts w:cs="Times New Roman"/>
      </w:rPr>
    </w:lvl>
    <w:lvl w:ilvl="6" w:tplc="0409000F" w:tentative="1">
      <w:start w:val="1"/>
      <w:numFmt w:val="decimal"/>
      <w:lvlText w:val="%7."/>
      <w:lvlJc w:val="left"/>
      <w:pPr>
        <w:ind w:left="6096" w:hanging="360"/>
      </w:pPr>
      <w:rPr>
        <w:rFonts w:cs="Times New Roman"/>
      </w:rPr>
    </w:lvl>
    <w:lvl w:ilvl="7" w:tplc="04090019" w:tentative="1">
      <w:start w:val="1"/>
      <w:numFmt w:val="lowerLetter"/>
      <w:lvlText w:val="%8."/>
      <w:lvlJc w:val="left"/>
      <w:pPr>
        <w:ind w:left="6816" w:hanging="360"/>
      </w:pPr>
      <w:rPr>
        <w:rFonts w:cs="Times New Roman"/>
      </w:rPr>
    </w:lvl>
    <w:lvl w:ilvl="8" w:tplc="0409001B" w:tentative="1">
      <w:start w:val="1"/>
      <w:numFmt w:val="lowerRoman"/>
      <w:lvlText w:val="%9."/>
      <w:lvlJc w:val="right"/>
      <w:pPr>
        <w:ind w:left="7536" w:hanging="180"/>
      </w:pPr>
      <w:rPr>
        <w:rFonts w:cs="Times New Roman"/>
      </w:rPr>
    </w:lvl>
  </w:abstractNum>
  <w:abstractNum w:abstractNumId="7">
    <w:nsid w:val="1E1B36A8"/>
    <w:multiLevelType w:val="hybridMultilevel"/>
    <w:tmpl w:val="FBC8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9E576C"/>
    <w:multiLevelType w:val="hybridMultilevel"/>
    <w:tmpl w:val="B9742C1E"/>
    <w:lvl w:ilvl="0" w:tplc="1BEA2488">
      <w:start w:val="5"/>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nsid w:val="2BA648AD"/>
    <w:multiLevelType w:val="hybridMultilevel"/>
    <w:tmpl w:val="997E212C"/>
    <w:lvl w:ilvl="0" w:tplc="05B0AD3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nsid w:val="348C169C"/>
    <w:multiLevelType w:val="hybridMultilevel"/>
    <w:tmpl w:val="A1F23994"/>
    <w:lvl w:ilvl="0" w:tplc="024EDCC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5A706A1"/>
    <w:multiLevelType w:val="hybridMultilevel"/>
    <w:tmpl w:val="FAD0AF74"/>
    <w:lvl w:ilvl="0" w:tplc="B05075E2">
      <w:start w:val="14"/>
      <w:numFmt w:val="bullet"/>
      <w:lvlText w:val="-"/>
      <w:lvlJc w:val="left"/>
      <w:pPr>
        <w:ind w:left="720" w:hanging="360"/>
      </w:pPr>
      <w:rPr>
        <w:rFonts w:ascii="Arial Narrow" w:eastAsia="Times New Roman" w:hAnsi="Arial Narrow"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8E0A07"/>
    <w:multiLevelType w:val="hybridMultilevel"/>
    <w:tmpl w:val="08A84F2C"/>
    <w:lvl w:ilvl="0" w:tplc="E944886C">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CD440E1"/>
    <w:multiLevelType w:val="hybridMultilevel"/>
    <w:tmpl w:val="512A0D60"/>
    <w:lvl w:ilvl="0" w:tplc="B08A304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EF92128"/>
    <w:multiLevelType w:val="hybridMultilevel"/>
    <w:tmpl w:val="700AD0F0"/>
    <w:lvl w:ilvl="0" w:tplc="02443116">
      <w:start w:val="5"/>
      <w:numFmt w:val="decimal"/>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15">
    <w:nsid w:val="464B6C00"/>
    <w:multiLevelType w:val="hybridMultilevel"/>
    <w:tmpl w:val="19BCB1A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46E750EF"/>
    <w:multiLevelType w:val="hybridMultilevel"/>
    <w:tmpl w:val="F9F00F2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8535AEA"/>
    <w:multiLevelType w:val="hybridMultilevel"/>
    <w:tmpl w:val="261AFD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D74135D"/>
    <w:multiLevelType w:val="hybridMultilevel"/>
    <w:tmpl w:val="0032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E072A02"/>
    <w:multiLevelType w:val="hybridMultilevel"/>
    <w:tmpl w:val="5FD4DE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4EB12C4E"/>
    <w:multiLevelType w:val="hybridMultilevel"/>
    <w:tmpl w:val="F9F00F2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nsid w:val="52EA19A3"/>
    <w:multiLevelType w:val="hybridMultilevel"/>
    <w:tmpl w:val="9E7EB77E"/>
    <w:lvl w:ilvl="0" w:tplc="B08A3048">
      <w:start w:val="1"/>
      <w:numFmt w:val="decimal"/>
      <w:lvlText w:val="(%1)"/>
      <w:lvlJc w:val="left"/>
      <w:pPr>
        <w:ind w:left="720" w:hanging="360"/>
      </w:pPr>
      <w:rPr>
        <w:rFonts w:cs="Times New Roman" w:hint="default"/>
      </w:rPr>
    </w:lvl>
    <w:lvl w:ilvl="1" w:tplc="B08A3048">
      <w:start w:val="1"/>
      <w:numFmt w:val="decimal"/>
      <w:lvlText w:val="(%2)"/>
      <w:lvlJc w:val="left"/>
      <w:pPr>
        <w:ind w:left="1440" w:hanging="360"/>
      </w:pPr>
      <w:rPr>
        <w:rFonts w:cs="Times New Roman" w:hint="default"/>
      </w:rPr>
    </w:lvl>
    <w:lvl w:ilvl="2" w:tplc="FAAADCF6">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608404C6"/>
    <w:multiLevelType w:val="hybridMultilevel"/>
    <w:tmpl w:val="BAC23F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20D51E6"/>
    <w:multiLevelType w:val="hybridMultilevel"/>
    <w:tmpl w:val="415A9244"/>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66405F25"/>
    <w:multiLevelType w:val="multilevel"/>
    <w:tmpl w:val="336048B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72F5317"/>
    <w:multiLevelType w:val="hybridMultilevel"/>
    <w:tmpl w:val="D272D79E"/>
    <w:lvl w:ilvl="0" w:tplc="B08A304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6AD942B7"/>
    <w:multiLevelType w:val="hybridMultilevel"/>
    <w:tmpl w:val="39C004E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B130C92"/>
    <w:multiLevelType w:val="hybridMultilevel"/>
    <w:tmpl w:val="E72E6B08"/>
    <w:lvl w:ilvl="0" w:tplc="A2422990">
      <w:start w:val="2"/>
      <w:numFmt w:val="bullet"/>
      <w:lvlText w:val="-"/>
      <w:lvlJc w:val="left"/>
      <w:pPr>
        <w:ind w:left="720" w:hanging="360"/>
      </w:pPr>
      <w:rPr>
        <w:rFonts w:ascii="Arial Narrow" w:eastAsia="Calibri" w:hAnsi="Arial Narrow" w:cs="Tahoma" w:hint="default"/>
        <w:color w:val="FF0000"/>
        <w:sz w:val="19"/>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1D25D8B"/>
    <w:multiLevelType w:val="hybridMultilevel"/>
    <w:tmpl w:val="5FD4DE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74912CC6"/>
    <w:multiLevelType w:val="hybridMultilevel"/>
    <w:tmpl w:val="0D3CF71A"/>
    <w:lvl w:ilvl="0" w:tplc="998284B8">
      <w:numFmt w:val="bullet"/>
      <w:lvlText w:val="-"/>
      <w:lvlJc w:val="left"/>
      <w:pPr>
        <w:tabs>
          <w:tab w:val="num" w:pos="720"/>
        </w:tabs>
        <w:ind w:left="720" w:hanging="360"/>
      </w:pPr>
      <w:rPr>
        <w:rFonts w:ascii="Calibri" w:eastAsia="Calibri" w:hAnsi="Calibri"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8D4294C"/>
    <w:multiLevelType w:val="hybridMultilevel"/>
    <w:tmpl w:val="FB9AD6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B4F61B7"/>
    <w:multiLevelType w:val="hybridMultilevel"/>
    <w:tmpl w:val="DDB892D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nsid w:val="7D1A1CC9"/>
    <w:multiLevelType w:val="hybridMultilevel"/>
    <w:tmpl w:val="F1AE458E"/>
    <w:lvl w:ilvl="0" w:tplc="04090019">
      <w:start w:val="1"/>
      <w:numFmt w:val="low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EE150C3"/>
    <w:multiLevelType w:val="hybridMultilevel"/>
    <w:tmpl w:val="336048BA"/>
    <w:lvl w:ilvl="0" w:tplc="3946AC0C">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0"/>
  </w:num>
  <w:num w:numId="4">
    <w:abstractNumId w:val="2"/>
  </w:num>
  <w:num w:numId="5">
    <w:abstractNumId w:val="19"/>
  </w:num>
  <w:num w:numId="6">
    <w:abstractNumId w:val="2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1"/>
  </w:num>
  <w:num w:numId="11">
    <w:abstractNumId w:val="23"/>
  </w:num>
  <w:num w:numId="12">
    <w:abstractNumId w:val="6"/>
  </w:num>
  <w:num w:numId="13">
    <w:abstractNumId w:val="32"/>
  </w:num>
  <w:num w:numId="14">
    <w:abstractNumId w:val="26"/>
  </w:num>
  <w:num w:numId="15">
    <w:abstractNumId w:val="5"/>
  </w:num>
  <w:num w:numId="16">
    <w:abstractNumId w:val="7"/>
  </w:num>
  <w:num w:numId="17">
    <w:abstractNumId w:val="18"/>
  </w:num>
  <w:num w:numId="18">
    <w:abstractNumId w:val="29"/>
  </w:num>
  <w:num w:numId="19">
    <w:abstractNumId w:val="33"/>
  </w:num>
  <w:num w:numId="20">
    <w:abstractNumId w:val="24"/>
  </w:num>
  <w:num w:numId="21">
    <w:abstractNumId w:val="15"/>
  </w:num>
  <w:num w:numId="22">
    <w:abstractNumId w:val="27"/>
  </w:num>
  <w:num w:numId="23">
    <w:abstractNumId w:val="10"/>
  </w:num>
  <w:num w:numId="24">
    <w:abstractNumId w:val="12"/>
  </w:num>
  <w:num w:numId="25">
    <w:abstractNumId w:val="30"/>
  </w:num>
  <w:num w:numId="26">
    <w:abstractNumId w:val="31"/>
  </w:num>
  <w:num w:numId="27">
    <w:abstractNumId w:val="11"/>
  </w:num>
  <w:num w:numId="28">
    <w:abstractNumId w:val="0"/>
  </w:num>
  <w:num w:numId="29">
    <w:abstractNumId w:val="22"/>
  </w:num>
  <w:num w:numId="30">
    <w:abstractNumId w:val="21"/>
  </w:num>
  <w:num w:numId="31">
    <w:abstractNumId w:val="13"/>
  </w:num>
  <w:num w:numId="32">
    <w:abstractNumId w:val="3"/>
  </w:num>
  <w:num w:numId="33">
    <w:abstractNumId w:val="25"/>
  </w:num>
  <w:num w:numId="34">
    <w:abstractNumId w:val="9"/>
  </w:num>
  <w:num w:numId="35">
    <w:abstractNumId w:val="8"/>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43556"/>
    <w:rsid w:val="0000380F"/>
    <w:rsid w:val="00007150"/>
    <w:rsid w:val="00016F2C"/>
    <w:rsid w:val="00022C20"/>
    <w:rsid w:val="000230CA"/>
    <w:rsid w:val="00024085"/>
    <w:rsid w:val="000315C9"/>
    <w:rsid w:val="00037433"/>
    <w:rsid w:val="00041F04"/>
    <w:rsid w:val="00043132"/>
    <w:rsid w:val="00046ED4"/>
    <w:rsid w:val="0005188C"/>
    <w:rsid w:val="0005191C"/>
    <w:rsid w:val="0005518B"/>
    <w:rsid w:val="00057701"/>
    <w:rsid w:val="00057720"/>
    <w:rsid w:val="00070B4C"/>
    <w:rsid w:val="0007552E"/>
    <w:rsid w:val="00076FBB"/>
    <w:rsid w:val="0008513F"/>
    <w:rsid w:val="0009460D"/>
    <w:rsid w:val="000961D6"/>
    <w:rsid w:val="000A18FA"/>
    <w:rsid w:val="000A2C41"/>
    <w:rsid w:val="000A7C2D"/>
    <w:rsid w:val="000B18A9"/>
    <w:rsid w:val="000B4F86"/>
    <w:rsid w:val="000B53B9"/>
    <w:rsid w:val="000B7D4C"/>
    <w:rsid w:val="000D094C"/>
    <w:rsid w:val="000D0C15"/>
    <w:rsid w:val="000D6C05"/>
    <w:rsid w:val="000E5088"/>
    <w:rsid w:val="000E6FB9"/>
    <w:rsid w:val="00100AC9"/>
    <w:rsid w:val="00114821"/>
    <w:rsid w:val="00116393"/>
    <w:rsid w:val="00116C4F"/>
    <w:rsid w:val="001359C9"/>
    <w:rsid w:val="00137F96"/>
    <w:rsid w:val="00141CEA"/>
    <w:rsid w:val="0015144A"/>
    <w:rsid w:val="0015424D"/>
    <w:rsid w:val="001553A8"/>
    <w:rsid w:val="001732F8"/>
    <w:rsid w:val="00177A6F"/>
    <w:rsid w:val="00185CF7"/>
    <w:rsid w:val="001A71CA"/>
    <w:rsid w:val="001B0760"/>
    <w:rsid w:val="001B2851"/>
    <w:rsid w:val="001C19AB"/>
    <w:rsid w:val="001D6226"/>
    <w:rsid w:val="001F0DE3"/>
    <w:rsid w:val="001F102F"/>
    <w:rsid w:val="00200763"/>
    <w:rsid w:val="00206282"/>
    <w:rsid w:val="002062E2"/>
    <w:rsid w:val="002073A2"/>
    <w:rsid w:val="00223708"/>
    <w:rsid w:val="002306A5"/>
    <w:rsid w:val="00234567"/>
    <w:rsid w:val="00235E89"/>
    <w:rsid w:val="0025483E"/>
    <w:rsid w:val="00257D4D"/>
    <w:rsid w:val="00270319"/>
    <w:rsid w:val="0027409B"/>
    <w:rsid w:val="0028251B"/>
    <w:rsid w:val="00295FA9"/>
    <w:rsid w:val="002A317B"/>
    <w:rsid w:val="002A43E6"/>
    <w:rsid w:val="002A7A5E"/>
    <w:rsid w:val="002B7D86"/>
    <w:rsid w:val="002F4F46"/>
    <w:rsid w:val="003008F3"/>
    <w:rsid w:val="003011D9"/>
    <w:rsid w:val="003017ED"/>
    <w:rsid w:val="00302984"/>
    <w:rsid w:val="00324161"/>
    <w:rsid w:val="00326731"/>
    <w:rsid w:val="0033533B"/>
    <w:rsid w:val="00336737"/>
    <w:rsid w:val="00336F34"/>
    <w:rsid w:val="00343D71"/>
    <w:rsid w:val="00347BFC"/>
    <w:rsid w:val="00370153"/>
    <w:rsid w:val="0037356A"/>
    <w:rsid w:val="0038465B"/>
    <w:rsid w:val="003865BF"/>
    <w:rsid w:val="00386612"/>
    <w:rsid w:val="003871FD"/>
    <w:rsid w:val="003A3338"/>
    <w:rsid w:val="003A4ABA"/>
    <w:rsid w:val="003A4C73"/>
    <w:rsid w:val="003A583D"/>
    <w:rsid w:val="003B3306"/>
    <w:rsid w:val="003B50F5"/>
    <w:rsid w:val="003C48B6"/>
    <w:rsid w:val="003C65E6"/>
    <w:rsid w:val="003C6670"/>
    <w:rsid w:val="003C6C6E"/>
    <w:rsid w:val="003C6DB1"/>
    <w:rsid w:val="003D1D40"/>
    <w:rsid w:val="003F00CB"/>
    <w:rsid w:val="003F3962"/>
    <w:rsid w:val="004104C8"/>
    <w:rsid w:val="00410C02"/>
    <w:rsid w:val="00410D3A"/>
    <w:rsid w:val="004204DB"/>
    <w:rsid w:val="00422936"/>
    <w:rsid w:val="004310DD"/>
    <w:rsid w:val="0043630D"/>
    <w:rsid w:val="0043691F"/>
    <w:rsid w:val="00440A7A"/>
    <w:rsid w:val="004413CD"/>
    <w:rsid w:val="00443B40"/>
    <w:rsid w:val="00446142"/>
    <w:rsid w:val="0044639D"/>
    <w:rsid w:val="00446DBF"/>
    <w:rsid w:val="00450A99"/>
    <w:rsid w:val="004515AF"/>
    <w:rsid w:val="00455243"/>
    <w:rsid w:val="00463238"/>
    <w:rsid w:val="00464F7B"/>
    <w:rsid w:val="004763F8"/>
    <w:rsid w:val="00477778"/>
    <w:rsid w:val="00485CA3"/>
    <w:rsid w:val="00492CCD"/>
    <w:rsid w:val="004936E1"/>
    <w:rsid w:val="004A12F9"/>
    <w:rsid w:val="004A1799"/>
    <w:rsid w:val="004A6067"/>
    <w:rsid w:val="004B5531"/>
    <w:rsid w:val="004D3D58"/>
    <w:rsid w:val="004D556B"/>
    <w:rsid w:val="004D737D"/>
    <w:rsid w:val="004E61CA"/>
    <w:rsid w:val="00501CC9"/>
    <w:rsid w:val="00506D06"/>
    <w:rsid w:val="00510643"/>
    <w:rsid w:val="00510A3A"/>
    <w:rsid w:val="005123D4"/>
    <w:rsid w:val="00516EBF"/>
    <w:rsid w:val="00526529"/>
    <w:rsid w:val="0053127D"/>
    <w:rsid w:val="00533348"/>
    <w:rsid w:val="00533CA2"/>
    <w:rsid w:val="005378ED"/>
    <w:rsid w:val="00540BE9"/>
    <w:rsid w:val="00542CFA"/>
    <w:rsid w:val="00544D1B"/>
    <w:rsid w:val="00546209"/>
    <w:rsid w:val="00554B5A"/>
    <w:rsid w:val="00564ED8"/>
    <w:rsid w:val="00566E42"/>
    <w:rsid w:val="0057264B"/>
    <w:rsid w:val="0057576F"/>
    <w:rsid w:val="00577496"/>
    <w:rsid w:val="00582980"/>
    <w:rsid w:val="0058566D"/>
    <w:rsid w:val="00595ACF"/>
    <w:rsid w:val="005A388A"/>
    <w:rsid w:val="005C4D9A"/>
    <w:rsid w:val="005C7CB2"/>
    <w:rsid w:val="005D0EF3"/>
    <w:rsid w:val="005D3D73"/>
    <w:rsid w:val="005D5333"/>
    <w:rsid w:val="005F47DE"/>
    <w:rsid w:val="00613349"/>
    <w:rsid w:val="00616545"/>
    <w:rsid w:val="00617CB0"/>
    <w:rsid w:val="00621F23"/>
    <w:rsid w:val="00626318"/>
    <w:rsid w:val="00632DFE"/>
    <w:rsid w:val="006355E0"/>
    <w:rsid w:val="00636332"/>
    <w:rsid w:val="00640A99"/>
    <w:rsid w:val="006434EA"/>
    <w:rsid w:val="00656E16"/>
    <w:rsid w:val="00660634"/>
    <w:rsid w:val="00666A9A"/>
    <w:rsid w:val="00674760"/>
    <w:rsid w:val="00696047"/>
    <w:rsid w:val="00696593"/>
    <w:rsid w:val="006A362F"/>
    <w:rsid w:val="006B2C63"/>
    <w:rsid w:val="006B6815"/>
    <w:rsid w:val="006B7BB1"/>
    <w:rsid w:val="006C0204"/>
    <w:rsid w:val="006C1B77"/>
    <w:rsid w:val="006D0701"/>
    <w:rsid w:val="006D099D"/>
    <w:rsid w:val="006D6BCA"/>
    <w:rsid w:val="006E01F5"/>
    <w:rsid w:val="006E1228"/>
    <w:rsid w:val="006E3FAD"/>
    <w:rsid w:val="006F2BEB"/>
    <w:rsid w:val="007025E1"/>
    <w:rsid w:val="007027B9"/>
    <w:rsid w:val="0070496D"/>
    <w:rsid w:val="00711BD7"/>
    <w:rsid w:val="00712A84"/>
    <w:rsid w:val="0071797C"/>
    <w:rsid w:val="007229FA"/>
    <w:rsid w:val="00722C66"/>
    <w:rsid w:val="007235E1"/>
    <w:rsid w:val="00727E97"/>
    <w:rsid w:val="007322CC"/>
    <w:rsid w:val="00732943"/>
    <w:rsid w:val="00732AA8"/>
    <w:rsid w:val="00733A63"/>
    <w:rsid w:val="00743033"/>
    <w:rsid w:val="007462F8"/>
    <w:rsid w:val="00762085"/>
    <w:rsid w:val="00767857"/>
    <w:rsid w:val="00773D88"/>
    <w:rsid w:val="007747BC"/>
    <w:rsid w:val="00777435"/>
    <w:rsid w:val="00781568"/>
    <w:rsid w:val="00781E68"/>
    <w:rsid w:val="0078492A"/>
    <w:rsid w:val="007901DC"/>
    <w:rsid w:val="00792375"/>
    <w:rsid w:val="00795975"/>
    <w:rsid w:val="007A1D55"/>
    <w:rsid w:val="007B1FC5"/>
    <w:rsid w:val="007B395A"/>
    <w:rsid w:val="007B7A2D"/>
    <w:rsid w:val="007C5B68"/>
    <w:rsid w:val="007D2415"/>
    <w:rsid w:val="007D7FEB"/>
    <w:rsid w:val="007E39FB"/>
    <w:rsid w:val="007F16F0"/>
    <w:rsid w:val="007F2C27"/>
    <w:rsid w:val="007F3304"/>
    <w:rsid w:val="007F3F8E"/>
    <w:rsid w:val="007F56E0"/>
    <w:rsid w:val="00810B2B"/>
    <w:rsid w:val="00812E3E"/>
    <w:rsid w:val="00813541"/>
    <w:rsid w:val="00817F23"/>
    <w:rsid w:val="00827CB7"/>
    <w:rsid w:val="0083381F"/>
    <w:rsid w:val="00841001"/>
    <w:rsid w:val="00846798"/>
    <w:rsid w:val="0085634F"/>
    <w:rsid w:val="0086240A"/>
    <w:rsid w:val="00865C03"/>
    <w:rsid w:val="00871465"/>
    <w:rsid w:val="00886151"/>
    <w:rsid w:val="00891E5B"/>
    <w:rsid w:val="0089208B"/>
    <w:rsid w:val="0089634C"/>
    <w:rsid w:val="00897326"/>
    <w:rsid w:val="008A3C20"/>
    <w:rsid w:val="008A53BE"/>
    <w:rsid w:val="008B012D"/>
    <w:rsid w:val="008B25CF"/>
    <w:rsid w:val="008B3926"/>
    <w:rsid w:val="008B56B9"/>
    <w:rsid w:val="008B62FB"/>
    <w:rsid w:val="008C16F7"/>
    <w:rsid w:val="008D1056"/>
    <w:rsid w:val="008E3FEE"/>
    <w:rsid w:val="008E7413"/>
    <w:rsid w:val="008F0029"/>
    <w:rsid w:val="008F18FB"/>
    <w:rsid w:val="009044C6"/>
    <w:rsid w:val="009072F4"/>
    <w:rsid w:val="00915F9B"/>
    <w:rsid w:val="00921658"/>
    <w:rsid w:val="00925CA4"/>
    <w:rsid w:val="00941A35"/>
    <w:rsid w:val="0094576D"/>
    <w:rsid w:val="00952F2E"/>
    <w:rsid w:val="0095497D"/>
    <w:rsid w:val="009602EB"/>
    <w:rsid w:val="00965FDD"/>
    <w:rsid w:val="00967243"/>
    <w:rsid w:val="0098741A"/>
    <w:rsid w:val="00994888"/>
    <w:rsid w:val="009B1C0A"/>
    <w:rsid w:val="009C0746"/>
    <w:rsid w:val="009C0C93"/>
    <w:rsid w:val="009D0A6B"/>
    <w:rsid w:val="009D2095"/>
    <w:rsid w:val="009D3E84"/>
    <w:rsid w:val="009D4AD1"/>
    <w:rsid w:val="009E6CAD"/>
    <w:rsid w:val="009F2B3B"/>
    <w:rsid w:val="009F64E9"/>
    <w:rsid w:val="009F75BB"/>
    <w:rsid w:val="009F7C1C"/>
    <w:rsid w:val="00A07F9D"/>
    <w:rsid w:val="00A2229B"/>
    <w:rsid w:val="00A249D0"/>
    <w:rsid w:val="00A24AD1"/>
    <w:rsid w:val="00A27811"/>
    <w:rsid w:val="00A37AA6"/>
    <w:rsid w:val="00A40FD2"/>
    <w:rsid w:val="00A47F0F"/>
    <w:rsid w:val="00A53AFB"/>
    <w:rsid w:val="00A540D1"/>
    <w:rsid w:val="00A55E8C"/>
    <w:rsid w:val="00A62509"/>
    <w:rsid w:val="00A659D8"/>
    <w:rsid w:val="00A771A5"/>
    <w:rsid w:val="00A840FD"/>
    <w:rsid w:val="00A84AAA"/>
    <w:rsid w:val="00A859A5"/>
    <w:rsid w:val="00A876C1"/>
    <w:rsid w:val="00A93043"/>
    <w:rsid w:val="00AA000E"/>
    <w:rsid w:val="00AA4D6B"/>
    <w:rsid w:val="00AC4673"/>
    <w:rsid w:val="00AD5041"/>
    <w:rsid w:val="00AE2E7C"/>
    <w:rsid w:val="00AE5185"/>
    <w:rsid w:val="00AF06F1"/>
    <w:rsid w:val="00AF27D9"/>
    <w:rsid w:val="00AF5040"/>
    <w:rsid w:val="00AF6C09"/>
    <w:rsid w:val="00AF7879"/>
    <w:rsid w:val="00B04B5C"/>
    <w:rsid w:val="00B13639"/>
    <w:rsid w:val="00B1650E"/>
    <w:rsid w:val="00B21080"/>
    <w:rsid w:val="00B22090"/>
    <w:rsid w:val="00B3010A"/>
    <w:rsid w:val="00B42978"/>
    <w:rsid w:val="00B45B03"/>
    <w:rsid w:val="00B45F59"/>
    <w:rsid w:val="00B46022"/>
    <w:rsid w:val="00B4797D"/>
    <w:rsid w:val="00B5069E"/>
    <w:rsid w:val="00B63AD6"/>
    <w:rsid w:val="00B64D8C"/>
    <w:rsid w:val="00B70208"/>
    <w:rsid w:val="00B77BC6"/>
    <w:rsid w:val="00B80411"/>
    <w:rsid w:val="00B8048E"/>
    <w:rsid w:val="00B86EBA"/>
    <w:rsid w:val="00B92C13"/>
    <w:rsid w:val="00BA6B19"/>
    <w:rsid w:val="00BB1522"/>
    <w:rsid w:val="00BB56DA"/>
    <w:rsid w:val="00BC62BE"/>
    <w:rsid w:val="00BC7D18"/>
    <w:rsid w:val="00BD6623"/>
    <w:rsid w:val="00BE6429"/>
    <w:rsid w:val="00BF31C6"/>
    <w:rsid w:val="00C11250"/>
    <w:rsid w:val="00C132A9"/>
    <w:rsid w:val="00C23205"/>
    <w:rsid w:val="00C27847"/>
    <w:rsid w:val="00C43A4C"/>
    <w:rsid w:val="00C4737B"/>
    <w:rsid w:val="00C52C99"/>
    <w:rsid w:val="00C571BB"/>
    <w:rsid w:val="00C61D57"/>
    <w:rsid w:val="00C677B1"/>
    <w:rsid w:val="00C706B9"/>
    <w:rsid w:val="00C97CCD"/>
    <w:rsid w:val="00CA29BA"/>
    <w:rsid w:val="00CA5AFF"/>
    <w:rsid w:val="00CB6881"/>
    <w:rsid w:val="00CC16B5"/>
    <w:rsid w:val="00CC173E"/>
    <w:rsid w:val="00CC1F26"/>
    <w:rsid w:val="00CC3A19"/>
    <w:rsid w:val="00CD28D2"/>
    <w:rsid w:val="00CD6892"/>
    <w:rsid w:val="00CE6BF2"/>
    <w:rsid w:val="00D044A9"/>
    <w:rsid w:val="00D1014F"/>
    <w:rsid w:val="00D10C4E"/>
    <w:rsid w:val="00D15D5E"/>
    <w:rsid w:val="00D17296"/>
    <w:rsid w:val="00D247F5"/>
    <w:rsid w:val="00D301F5"/>
    <w:rsid w:val="00D3493F"/>
    <w:rsid w:val="00D375CE"/>
    <w:rsid w:val="00D4160A"/>
    <w:rsid w:val="00D434FC"/>
    <w:rsid w:val="00D43556"/>
    <w:rsid w:val="00D4716F"/>
    <w:rsid w:val="00D63917"/>
    <w:rsid w:val="00D63B68"/>
    <w:rsid w:val="00D70D03"/>
    <w:rsid w:val="00D72645"/>
    <w:rsid w:val="00D7284B"/>
    <w:rsid w:val="00D755B4"/>
    <w:rsid w:val="00D858A4"/>
    <w:rsid w:val="00D86AA0"/>
    <w:rsid w:val="00D93019"/>
    <w:rsid w:val="00D931AB"/>
    <w:rsid w:val="00D9665D"/>
    <w:rsid w:val="00DA3EEF"/>
    <w:rsid w:val="00DA4638"/>
    <w:rsid w:val="00DA6003"/>
    <w:rsid w:val="00DB2F18"/>
    <w:rsid w:val="00DB714F"/>
    <w:rsid w:val="00DC01E3"/>
    <w:rsid w:val="00DD0C77"/>
    <w:rsid w:val="00DD1F91"/>
    <w:rsid w:val="00DD2136"/>
    <w:rsid w:val="00DD3352"/>
    <w:rsid w:val="00DD42ED"/>
    <w:rsid w:val="00DE3018"/>
    <w:rsid w:val="00DF5529"/>
    <w:rsid w:val="00E10445"/>
    <w:rsid w:val="00E10AE5"/>
    <w:rsid w:val="00E1311A"/>
    <w:rsid w:val="00E13725"/>
    <w:rsid w:val="00E32075"/>
    <w:rsid w:val="00E4120D"/>
    <w:rsid w:val="00E43E2E"/>
    <w:rsid w:val="00E447F6"/>
    <w:rsid w:val="00E5570A"/>
    <w:rsid w:val="00E6041A"/>
    <w:rsid w:val="00E65D85"/>
    <w:rsid w:val="00E93150"/>
    <w:rsid w:val="00EA6A37"/>
    <w:rsid w:val="00EB14D5"/>
    <w:rsid w:val="00EB150C"/>
    <w:rsid w:val="00EB3D21"/>
    <w:rsid w:val="00EB62D3"/>
    <w:rsid w:val="00EC29D2"/>
    <w:rsid w:val="00EE178F"/>
    <w:rsid w:val="00EE575B"/>
    <w:rsid w:val="00EE7F51"/>
    <w:rsid w:val="00F03E0E"/>
    <w:rsid w:val="00F04044"/>
    <w:rsid w:val="00F0522D"/>
    <w:rsid w:val="00F071CF"/>
    <w:rsid w:val="00F30AC6"/>
    <w:rsid w:val="00F348DB"/>
    <w:rsid w:val="00F52017"/>
    <w:rsid w:val="00F53797"/>
    <w:rsid w:val="00F63237"/>
    <w:rsid w:val="00F6467B"/>
    <w:rsid w:val="00F648C7"/>
    <w:rsid w:val="00F65E23"/>
    <w:rsid w:val="00F72384"/>
    <w:rsid w:val="00F7314F"/>
    <w:rsid w:val="00F8050F"/>
    <w:rsid w:val="00F80FD6"/>
    <w:rsid w:val="00F84A8D"/>
    <w:rsid w:val="00F91E71"/>
    <w:rsid w:val="00F96199"/>
    <w:rsid w:val="00F96303"/>
    <w:rsid w:val="00F973CE"/>
    <w:rsid w:val="00FA129B"/>
    <w:rsid w:val="00FB13CD"/>
    <w:rsid w:val="00FB1ECA"/>
    <w:rsid w:val="00FB3764"/>
    <w:rsid w:val="00FB485B"/>
    <w:rsid w:val="00FC6144"/>
    <w:rsid w:val="00FE00C9"/>
    <w:rsid w:val="00FE5E05"/>
    <w:rsid w:val="00FF0F16"/>
    <w:rsid w:val="00FF47D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2C13"/>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43556"/>
    <w:pPr>
      <w:spacing w:after="0" w:line="240" w:lineRule="auto"/>
      <w:ind w:left="720"/>
    </w:pPr>
    <w:rPr>
      <w:rFonts w:cs="Calibri"/>
      <w:lang w:bidi="si-LK"/>
    </w:rPr>
  </w:style>
  <w:style w:type="table" w:styleId="Mriekatabuky">
    <w:name w:val="Table Grid"/>
    <w:basedOn w:val="Normlnatabuka"/>
    <w:uiPriority w:val="99"/>
    <w:rsid w:val="00784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7C5B68"/>
    <w:rPr>
      <w:rFonts w:ascii="Tahoma" w:hAnsi="Tahoma" w:cs="Tahoma"/>
      <w:sz w:val="16"/>
      <w:szCs w:val="16"/>
    </w:rPr>
  </w:style>
  <w:style w:type="character" w:customStyle="1" w:styleId="TextbublinyChar">
    <w:name w:val="Text bubliny Char"/>
    <w:link w:val="Textbubliny"/>
    <w:uiPriority w:val="99"/>
    <w:semiHidden/>
    <w:locked/>
    <w:rsid w:val="009C0C93"/>
    <w:rPr>
      <w:rFonts w:ascii="Times New Roman" w:hAnsi="Times New Roman" w:cs="Times New Roman"/>
      <w:sz w:val="2"/>
      <w:lang w:eastAsia="en-US"/>
    </w:rPr>
  </w:style>
  <w:style w:type="paragraph" w:styleId="Textkomentra">
    <w:name w:val="annotation text"/>
    <w:basedOn w:val="Normlny"/>
    <w:link w:val="TextkomentraChar"/>
    <w:uiPriority w:val="99"/>
    <w:semiHidden/>
    <w:rsid w:val="0094576D"/>
    <w:rPr>
      <w:rFonts w:eastAsia="Times New Roman"/>
      <w:sz w:val="20"/>
      <w:szCs w:val="20"/>
    </w:rPr>
  </w:style>
  <w:style w:type="paragraph" w:customStyle="1" w:styleId="Default">
    <w:name w:val="Default"/>
    <w:rsid w:val="007229FA"/>
    <w:pPr>
      <w:autoSpaceDE w:val="0"/>
      <w:autoSpaceDN w:val="0"/>
      <w:adjustRightInd w:val="0"/>
    </w:pPr>
    <w:rPr>
      <w:rFonts w:ascii="EUAlbertina" w:hAnsi="EUAlbertina" w:cs="EUAlbertina"/>
      <w:color w:val="000000"/>
      <w:sz w:val="24"/>
      <w:szCs w:val="24"/>
      <w:lang w:eastAsia="zh-CN"/>
    </w:rPr>
  </w:style>
  <w:style w:type="character" w:styleId="Odkaznakomentr">
    <w:name w:val="annotation reference"/>
    <w:uiPriority w:val="99"/>
    <w:semiHidden/>
    <w:rsid w:val="007229FA"/>
    <w:rPr>
      <w:sz w:val="16"/>
      <w:szCs w:val="16"/>
    </w:rPr>
  </w:style>
  <w:style w:type="paragraph" w:styleId="Hlavika">
    <w:name w:val="header"/>
    <w:basedOn w:val="Normlny"/>
    <w:link w:val="HlavikaChar"/>
    <w:uiPriority w:val="99"/>
    <w:semiHidden/>
    <w:unhideWhenUsed/>
    <w:rsid w:val="001732F8"/>
    <w:pPr>
      <w:tabs>
        <w:tab w:val="center" w:pos="4536"/>
        <w:tab w:val="right" w:pos="9072"/>
      </w:tabs>
    </w:pPr>
  </w:style>
  <w:style w:type="character" w:customStyle="1" w:styleId="HlavikaChar">
    <w:name w:val="Hlavička Char"/>
    <w:link w:val="Hlavika"/>
    <w:uiPriority w:val="99"/>
    <w:semiHidden/>
    <w:rsid w:val="001732F8"/>
    <w:rPr>
      <w:sz w:val="22"/>
      <w:szCs w:val="22"/>
      <w:lang w:eastAsia="en-US"/>
    </w:rPr>
  </w:style>
  <w:style w:type="paragraph" w:styleId="Predmetkomentra">
    <w:name w:val="annotation subject"/>
    <w:basedOn w:val="Textkomentra"/>
    <w:next w:val="Textkomentra"/>
    <w:link w:val="PredmetkomentraChar"/>
    <w:uiPriority w:val="99"/>
    <w:semiHidden/>
    <w:unhideWhenUsed/>
    <w:rsid w:val="008E3FEE"/>
    <w:rPr>
      <w:rFonts w:eastAsia="Calibri"/>
      <w:b/>
      <w:bCs/>
    </w:rPr>
  </w:style>
  <w:style w:type="character" w:customStyle="1" w:styleId="TextkomentraChar">
    <w:name w:val="Text komentára Char"/>
    <w:link w:val="Textkomentra"/>
    <w:uiPriority w:val="99"/>
    <w:semiHidden/>
    <w:rsid w:val="008E3FEE"/>
    <w:rPr>
      <w:rFonts w:eastAsia="Times New Roman"/>
      <w:lang w:eastAsia="en-US"/>
    </w:rPr>
  </w:style>
  <w:style w:type="character" w:customStyle="1" w:styleId="PredmetkomentraChar">
    <w:name w:val="Predmet komentára Char"/>
    <w:basedOn w:val="TextkomentraChar"/>
    <w:link w:val="Predmetkomentra"/>
    <w:rsid w:val="008E3FEE"/>
    <w:rPr>
      <w:rFonts w:eastAsia="Times New Roman"/>
      <w:lang w:eastAsia="en-US"/>
    </w:rPr>
  </w:style>
  <w:style w:type="paragraph" w:customStyle="1" w:styleId="NumPar1">
    <w:name w:val="NumPar 1"/>
    <w:basedOn w:val="Normlny"/>
    <w:next w:val="Normlny"/>
    <w:rsid w:val="007F3304"/>
    <w:pPr>
      <w:spacing w:before="120" w:after="120" w:line="240" w:lineRule="auto"/>
      <w:jc w:val="both"/>
    </w:pPr>
    <w:rPr>
      <w:rFonts w:ascii="Times New Roman" w:eastAsia="Times New Roman" w:hAnsi="Times New Roman"/>
      <w:sz w:val="24"/>
      <w:szCs w:val="24"/>
      <w:lang w:val="en-GB" w:eastAsia="de-DE"/>
    </w:rPr>
  </w:style>
  <w:style w:type="paragraph" w:customStyle="1" w:styleId="Odsekzoznamu1">
    <w:name w:val="Odsek zoznamu1"/>
    <w:basedOn w:val="Normlny"/>
    <w:uiPriority w:val="99"/>
    <w:qFormat/>
    <w:rsid w:val="00057701"/>
    <w:pPr>
      <w:spacing w:after="0" w:line="240" w:lineRule="auto"/>
      <w:ind w:left="720"/>
    </w:pPr>
    <w:rPr>
      <w:rFonts w:cs="Calibri"/>
      <w:lang w:bidi="si-LK"/>
    </w:rPr>
  </w:style>
  <w:style w:type="paragraph" w:customStyle="1" w:styleId="Normlnywebov8">
    <w:name w:val="Normálny (webový)8"/>
    <w:basedOn w:val="Normlny"/>
    <w:rsid w:val="00443B40"/>
    <w:pPr>
      <w:spacing w:before="75" w:after="75" w:line="240" w:lineRule="auto"/>
      <w:ind w:left="225" w:right="225"/>
    </w:pPr>
    <w:rPr>
      <w:rFonts w:ascii="Times New Roman" w:eastAsia="Times New Roman" w:hAnsi="Times New Roman"/>
      <w:lang w:eastAsia="sk-SK"/>
    </w:rPr>
  </w:style>
  <w:style w:type="paragraph" w:customStyle="1" w:styleId="Odsekzoznamu2">
    <w:name w:val="Odsek zoznamu2"/>
    <w:basedOn w:val="Normlny"/>
    <w:uiPriority w:val="99"/>
    <w:qFormat/>
    <w:rsid w:val="00FB1ECA"/>
    <w:pPr>
      <w:spacing w:after="0" w:line="240" w:lineRule="auto"/>
      <w:ind w:left="720"/>
    </w:pPr>
    <w:rPr>
      <w:rFonts w:cs="Calibri"/>
      <w:lang w:bidi="si-LK"/>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sid w:val="00DC01E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1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556"/>
    <w:pPr>
      <w:spacing w:after="0" w:line="240" w:lineRule="auto"/>
      <w:ind w:left="720"/>
    </w:pPr>
    <w:rPr>
      <w:rFonts w:cs="Calibri"/>
      <w:lang w:bidi="si-LK"/>
    </w:rPr>
  </w:style>
  <w:style w:type="table" w:styleId="TableGrid">
    <w:name w:val="Table Grid"/>
    <w:basedOn w:val="TableNormal"/>
    <w:uiPriority w:val="99"/>
    <w:rsid w:val="0078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C5B68"/>
    <w:rPr>
      <w:rFonts w:ascii="Tahoma" w:hAnsi="Tahoma" w:cs="Tahoma"/>
      <w:sz w:val="16"/>
      <w:szCs w:val="16"/>
    </w:rPr>
  </w:style>
  <w:style w:type="character" w:customStyle="1" w:styleId="BalloonTextChar">
    <w:name w:val="Balloon Text Char"/>
    <w:link w:val="BalloonText"/>
    <w:uiPriority w:val="99"/>
    <w:semiHidden/>
    <w:locked/>
    <w:rsid w:val="009C0C93"/>
    <w:rPr>
      <w:rFonts w:ascii="Times New Roman" w:hAnsi="Times New Roman" w:cs="Times New Roman"/>
      <w:sz w:val="2"/>
      <w:lang w:eastAsia="en-US"/>
    </w:rPr>
  </w:style>
  <w:style w:type="paragraph" w:styleId="CommentText">
    <w:name w:val="annotation text"/>
    <w:basedOn w:val="Normal"/>
    <w:link w:val="CommentTextChar"/>
    <w:uiPriority w:val="99"/>
    <w:semiHidden/>
    <w:rsid w:val="0094576D"/>
    <w:rPr>
      <w:rFonts w:eastAsia="Times New Roman"/>
      <w:sz w:val="20"/>
      <w:szCs w:val="20"/>
    </w:rPr>
  </w:style>
  <w:style w:type="paragraph" w:customStyle="1" w:styleId="Default">
    <w:name w:val="Default"/>
    <w:rsid w:val="007229FA"/>
    <w:pPr>
      <w:autoSpaceDE w:val="0"/>
      <w:autoSpaceDN w:val="0"/>
      <w:adjustRightInd w:val="0"/>
    </w:pPr>
    <w:rPr>
      <w:rFonts w:ascii="EUAlbertina" w:hAnsi="EUAlbertina" w:cs="EUAlbertina"/>
      <w:color w:val="000000"/>
      <w:sz w:val="24"/>
      <w:szCs w:val="24"/>
      <w:lang w:eastAsia="zh-CN"/>
    </w:rPr>
  </w:style>
  <w:style w:type="character" w:styleId="CommentReference">
    <w:name w:val="annotation reference"/>
    <w:uiPriority w:val="99"/>
    <w:semiHidden/>
    <w:rsid w:val="007229FA"/>
    <w:rPr>
      <w:sz w:val="16"/>
      <w:szCs w:val="16"/>
    </w:rPr>
  </w:style>
  <w:style w:type="paragraph" w:styleId="Header">
    <w:name w:val="header"/>
    <w:basedOn w:val="Normal"/>
    <w:link w:val="HeaderChar"/>
    <w:uiPriority w:val="99"/>
    <w:semiHidden/>
    <w:unhideWhenUsed/>
    <w:rsid w:val="001732F8"/>
    <w:pPr>
      <w:tabs>
        <w:tab w:val="center" w:pos="4536"/>
        <w:tab w:val="right" w:pos="9072"/>
      </w:tabs>
    </w:pPr>
  </w:style>
  <w:style w:type="character" w:customStyle="1" w:styleId="HeaderChar">
    <w:name w:val="Header Char"/>
    <w:link w:val="Header"/>
    <w:uiPriority w:val="99"/>
    <w:semiHidden/>
    <w:rsid w:val="001732F8"/>
    <w:rPr>
      <w:sz w:val="22"/>
      <w:szCs w:val="22"/>
      <w:lang w:eastAsia="en-US"/>
    </w:rPr>
  </w:style>
  <w:style w:type="paragraph" w:styleId="CommentSubject">
    <w:name w:val="annotation subject"/>
    <w:basedOn w:val="CommentText"/>
    <w:next w:val="CommentText"/>
    <w:link w:val="CommentSubjectChar"/>
    <w:uiPriority w:val="99"/>
    <w:semiHidden/>
    <w:unhideWhenUsed/>
    <w:rsid w:val="008E3FEE"/>
    <w:rPr>
      <w:rFonts w:eastAsia="Calibri"/>
      <w:b/>
      <w:bCs/>
    </w:rPr>
  </w:style>
  <w:style w:type="character" w:customStyle="1" w:styleId="CommentTextChar">
    <w:name w:val="Comment Text Char"/>
    <w:link w:val="CommentText"/>
    <w:uiPriority w:val="99"/>
    <w:semiHidden/>
    <w:rsid w:val="008E3FEE"/>
    <w:rPr>
      <w:rFonts w:eastAsia="Times New Roman"/>
      <w:lang w:eastAsia="en-US"/>
    </w:rPr>
  </w:style>
  <w:style w:type="character" w:customStyle="1" w:styleId="CommentSubjectChar">
    <w:name w:val="Comment Subject Char"/>
    <w:basedOn w:val="CommentTextChar"/>
    <w:link w:val="CommentSubject"/>
    <w:rsid w:val="008E3FEE"/>
    <w:rPr>
      <w:rFonts w:eastAsia="Times New Roman"/>
      <w:lang w:eastAsia="en-US"/>
    </w:rPr>
  </w:style>
  <w:style w:type="paragraph" w:customStyle="1" w:styleId="NumPar1">
    <w:name w:val="NumPar 1"/>
    <w:basedOn w:val="Normal"/>
    <w:next w:val="Normal"/>
    <w:rsid w:val="007F3304"/>
    <w:pPr>
      <w:spacing w:before="120" w:after="120" w:line="240" w:lineRule="auto"/>
      <w:jc w:val="both"/>
    </w:pPr>
    <w:rPr>
      <w:rFonts w:ascii="Times New Roman" w:eastAsia="Times New Roman" w:hAnsi="Times New Roman"/>
      <w:sz w:val="24"/>
      <w:szCs w:val="24"/>
      <w:lang w:val="en-GB" w:eastAsia="de-DE"/>
    </w:rPr>
  </w:style>
  <w:style w:type="paragraph" w:customStyle="1" w:styleId="Odsekzoznamu1">
    <w:name w:val="Odsek zoznamu1"/>
    <w:basedOn w:val="Normal"/>
    <w:uiPriority w:val="99"/>
    <w:qFormat/>
    <w:rsid w:val="00057701"/>
    <w:pPr>
      <w:spacing w:after="0" w:line="240" w:lineRule="auto"/>
      <w:ind w:left="720"/>
    </w:pPr>
    <w:rPr>
      <w:rFonts w:cs="Calibri"/>
      <w:lang w:bidi="si-LK"/>
    </w:rPr>
  </w:style>
  <w:style w:type="paragraph" w:customStyle="1" w:styleId="Normlnywebov8">
    <w:name w:val="Normálny (webový)8"/>
    <w:basedOn w:val="Normal"/>
    <w:rsid w:val="00443B40"/>
    <w:pPr>
      <w:spacing w:before="75" w:after="75" w:line="240" w:lineRule="auto"/>
      <w:ind w:left="225" w:right="225"/>
    </w:pPr>
    <w:rPr>
      <w:rFonts w:ascii="Times New Roman" w:eastAsia="Times New Roman" w:hAnsi="Times New Roman"/>
      <w:lang w:eastAsia="sk-SK"/>
    </w:rPr>
  </w:style>
  <w:style w:type="paragraph" w:customStyle="1" w:styleId="Odsekzoznamu">
    <w:name w:val="Odsek zoznamu"/>
    <w:basedOn w:val="Normal"/>
    <w:uiPriority w:val="99"/>
    <w:qFormat/>
    <w:rsid w:val="00FB1ECA"/>
    <w:pPr>
      <w:spacing w:after="0" w:line="240" w:lineRule="auto"/>
      <w:ind w:left="720"/>
    </w:pPr>
    <w:rPr>
      <w:rFonts w:cs="Calibri"/>
      <w:lang w:bidi="si-LK"/>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
    <w:basedOn w:val="DefaultParagraphFont"/>
    <w:uiPriority w:val="99"/>
    <w:rsid w:val="00DC01E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3818016">
      <w:bodyDiv w:val="1"/>
      <w:marLeft w:val="0"/>
      <w:marRight w:val="0"/>
      <w:marTop w:val="0"/>
      <w:marBottom w:val="0"/>
      <w:divBdr>
        <w:top w:val="none" w:sz="0" w:space="0" w:color="auto"/>
        <w:left w:val="none" w:sz="0" w:space="0" w:color="auto"/>
        <w:bottom w:val="none" w:sz="0" w:space="0" w:color="auto"/>
        <w:right w:val="none" w:sz="0" w:space="0" w:color="auto"/>
      </w:divBdr>
    </w:div>
    <w:div w:id="155614726">
      <w:marLeft w:val="0"/>
      <w:marRight w:val="0"/>
      <w:marTop w:val="0"/>
      <w:marBottom w:val="0"/>
      <w:divBdr>
        <w:top w:val="none" w:sz="0" w:space="0" w:color="auto"/>
        <w:left w:val="none" w:sz="0" w:space="0" w:color="auto"/>
        <w:bottom w:val="none" w:sz="0" w:space="0" w:color="auto"/>
        <w:right w:val="none" w:sz="0" w:space="0" w:color="auto"/>
      </w:divBdr>
    </w:div>
    <w:div w:id="155614727">
      <w:marLeft w:val="0"/>
      <w:marRight w:val="0"/>
      <w:marTop w:val="0"/>
      <w:marBottom w:val="0"/>
      <w:divBdr>
        <w:top w:val="none" w:sz="0" w:space="0" w:color="auto"/>
        <w:left w:val="none" w:sz="0" w:space="0" w:color="auto"/>
        <w:bottom w:val="none" w:sz="0" w:space="0" w:color="auto"/>
        <w:right w:val="none" w:sz="0" w:space="0" w:color="auto"/>
      </w:divBdr>
    </w:div>
    <w:div w:id="261884931">
      <w:bodyDiv w:val="1"/>
      <w:marLeft w:val="0"/>
      <w:marRight w:val="0"/>
      <w:marTop w:val="0"/>
      <w:marBottom w:val="0"/>
      <w:divBdr>
        <w:top w:val="none" w:sz="0" w:space="0" w:color="auto"/>
        <w:left w:val="none" w:sz="0" w:space="0" w:color="auto"/>
        <w:bottom w:val="none" w:sz="0" w:space="0" w:color="auto"/>
        <w:right w:val="none" w:sz="0" w:space="0" w:color="auto"/>
      </w:divBdr>
    </w:div>
    <w:div w:id="297690978">
      <w:bodyDiv w:val="1"/>
      <w:marLeft w:val="0"/>
      <w:marRight w:val="0"/>
      <w:marTop w:val="0"/>
      <w:marBottom w:val="0"/>
      <w:divBdr>
        <w:top w:val="none" w:sz="0" w:space="0" w:color="auto"/>
        <w:left w:val="none" w:sz="0" w:space="0" w:color="auto"/>
        <w:bottom w:val="none" w:sz="0" w:space="0" w:color="auto"/>
        <w:right w:val="none" w:sz="0" w:space="0" w:color="auto"/>
      </w:divBdr>
    </w:div>
    <w:div w:id="394283363">
      <w:bodyDiv w:val="1"/>
      <w:marLeft w:val="0"/>
      <w:marRight w:val="0"/>
      <w:marTop w:val="0"/>
      <w:marBottom w:val="0"/>
      <w:divBdr>
        <w:top w:val="none" w:sz="0" w:space="0" w:color="auto"/>
        <w:left w:val="none" w:sz="0" w:space="0" w:color="auto"/>
        <w:bottom w:val="none" w:sz="0" w:space="0" w:color="auto"/>
        <w:right w:val="none" w:sz="0" w:space="0" w:color="auto"/>
      </w:divBdr>
    </w:div>
    <w:div w:id="466170346">
      <w:bodyDiv w:val="1"/>
      <w:marLeft w:val="0"/>
      <w:marRight w:val="0"/>
      <w:marTop w:val="0"/>
      <w:marBottom w:val="0"/>
      <w:divBdr>
        <w:top w:val="none" w:sz="0" w:space="0" w:color="auto"/>
        <w:left w:val="none" w:sz="0" w:space="0" w:color="auto"/>
        <w:bottom w:val="none" w:sz="0" w:space="0" w:color="auto"/>
        <w:right w:val="none" w:sz="0" w:space="0" w:color="auto"/>
      </w:divBdr>
    </w:div>
    <w:div w:id="750926102">
      <w:bodyDiv w:val="1"/>
      <w:marLeft w:val="0"/>
      <w:marRight w:val="0"/>
      <w:marTop w:val="0"/>
      <w:marBottom w:val="0"/>
      <w:divBdr>
        <w:top w:val="none" w:sz="0" w:space="0" w:color="auto"/>
        <w:left w:val="none" w:sz="0" w:space="0" w:color="auto"/>
        <w:bottom w:val="none" w:sz="0" w:space="0" w:color="auto"/>
        <w:right w:val="none" w:sz="0" w:space="0" w:color="auto"/>
      </w:divBdr>
    </w:div>
    <w:div w:id="758798304">
      <w:bodyDiv w:val="1"/>
      <w:marLeft w:val="0"/>
      <w:marRight w:val="0"/>
      <w:marTop w:val="0"/>
      <w:marBottom w:val="0"/>
      <w:divBdr>
        <w:top w:val="none" w:sz="0" w:space="0" w:color="auto"/>
        <w:left w:val="none" w:sz="0" w:space="0" w:color="auto"/>
        <w:bottom w:val="none" w:sz="0" w:space="0" w:color="auto"/>
        <w:right w:val="none" w:sz="0" w:space="0" w:color="auto"/>
      </w:divBdr>
    </w:div>
    <w:div w:id="894198272">
      <w:bodyDiv w:val="1"/>
      <w:marLeft w:val="0"/>
      <w:marRight w:val="0"/>
      <w:marTop w:val="0"/>
      <w:marBottom w:val="0"/>
      <w:divBdr>
        <w:top w:val="none" w:sz="0" w:space="0" w:color="auto"/>
        <w:left w:val="none" w:sz="0" w:space="0" w:color="auto"/>
        <w:bottom w:val="none" w:sz="0" w:space="0" w:color="auto"/>
        <w:right w:val="none" w:sz="0" w:space="0" w:color="auto"/>
      </w:divBdr>
    </w:div>
    <w:div w:id="1014186843">
      <w:bodyDiv w:val="1"/>
      <w:marLeft w:val="0"/>
      <w:marRight w:val="0"/>
      <w:marTop w:val="0"/>
      <w:marBottom w:val="0"/>
      <w:divBdr>
        <w:top w:val="none" w:sz="0" w:space="0" w:color="auto"/>
        <w:left w:val="none" w:sz="0" w:space="0" w:color="auto"/>
        <w:bottom w:val="none" w:sz="0" w:space="0" w:color="auto"/>
        <w:right w:val="none" w:sz="0" w:space="0" w:color="auto"/>
      </w:divBdr>
    </w:div>
    <w:div w:id="1059210234">
      <w:bodyDiv w:val="1"/>
      <w:marLeft w:val="0"/>
      <w:marRight w:val="0"/>
      <w:marTop w:val="0"/>
      <w:marBottom w:val="0"/>
      <w:divBdr>
        <w:top w:val="none" w:sz="0" w:space="0" w:color="auto"/>
        <w:left w:val="none" w:sz="0" w:space="0" w:color="auto"/>
        <w:bottom w:val="none" w:sz="0" w:space="0" w:color="auto"/>
        <w:right w:val="none" w:sz="0" w:space="0" w:color="auto"/>
      </w:divBdr>
    </w:div>
    <w:div w:id="1079254286">
      <w:bodyDiv w:val="1"/>
      <w:marLeft w:val="0"/>
      <w:marRight w:val="0"/>
      <w:marTop w:val="0"/>
      <w:marBottom w:val="0"/>
      <w:divBdr>
        <w:top w:val="none" w:sz="0" w:space="0" w:color="auto"/>
        <w:left w:val="none" w:sz="0" w:space="0" w:color="auto"/>
        <w:bottom w:val="none" w:sz="0" w:space="0" w:color="auto"/>
        <w:right w:val="none" w:sz="0" w:space="0" w:color="auto"/>
      </w:divBdr>
    </w:div>
    <w:div w:id="1094784369">
      <w:bodyDiv w:val="1"/>
      <w:marLeft w:val="0"/>
      <w:marRight w:val="0"/>
      <w:marTop w:val="0"/>
      <w:marBottom w:val="0"/>
      <w:divBdr>
        <w:top w:val="none" w:sz="0" w:space="0" w:color="auto"/>
        <w:left w:val="none" w:sz="0" w:space="0" w:color="auto"/>
        <w:bottom w:val="none" w:sz="0" w:space="0" w:color="auto"/>
        <w:right w:val="none" w:sz="0" w:space="0" w:color="auto"/>
      </w:divBdr>
    </w:div>
    <w:div w:id="1102844151">
      <w:bodyDiv w:val="1"/>
      <w:marLeft w:val="0"/>
      <w:marRight w:val="0"/>
      <w:marTop w:val="0"/>
      <w:marBottom w:val="0"/>
      <w:divBdr>
        <w:top w:val="none" w:sz="0" w:space="0" w:color="auto"/>
        <w:left w:val="none" w:sz="0" w:space="0" w:color="auto"/>
        <w:bottom w:val="none" w:sz="0" w:space="0" w:color="auto"/>
        <w:right w:val="none" w:sz="0" w:space="0" w:color="auto"/>
      </w:divBdr>
    </w:div>
    <w:div w:id="1161001572">
      <w:bodyDiv w:val="1"/>
      <w:marLeft w:val="0"/>
      <w:marRight w:val="0"/>
      <w:marTop w:val="0"/>
      <w:marBottom w:val="0"/>
      <w:divBdr>
        <w:top w:val="none" w:sz="0" w:space="0" w:color="auto"/>
        <w:left w:val="none" w:sz="0" w:space="0" w:color="auto"/>
        <w:bottom w:val="none" w:sz="0" w:space="0" w:color="auto"/>
        <w:right w:val="none" w:sz="0" w:space="0" w:color="auto"/>
      </w:divBdr>
    </w:div>
    <w:div w:id="1274164801">
      <w:bodyDiv w:val="1"/>
      <w:marLeft w:val="0"/>
      <w:marRight w:val="0"/>
      <w:marTop w:val="0"/>
      <w:marBottom w:val="0"/>
      <w:divBdr>
        <w:top w:val="none" w:sz="0" w:space="0" w:color="auto"/>
        <w:left w:val="none" w:sz="0" w:space="0" w:color="auto"/>
        <w:bottom w:val="none" w:sz="0" w:space="0" w:color="auto"/>
        <w:right w:val="none" w:sz="0" w:space="0" w:color="auto"/>
      </w:divBdr>
    </w:div>
    <w:div w:id="1299335176">
      <w:bodyDiv w:val="1"/>
      <w:marLeft w:val="0"/>
      <w:marRight w:val="0"/>
      <w:marTop w:val="0"/>
      <w:marBottom w:val="0"/>
      <w:divBdr>
        <w:top w:val="none" w:sz="0" w:space="0" w:color="auto"/>
        <w:left w:val="none" w:sz="0" w:space="0" w:color="auto"/>
        <w:bottom w:val="none" w:sz="0" w:space="0" w:color="auto"/>
        <w:right w:val="none" w:sz="0" w:space="0" w:color="auto"/>
      </w:divBdr>
    </w:div>
    <w:div w:id="1619335631">
      <w:bodyDiv w:val="1"/>
      <w:marLeft w:val="0"/>
      <w:marRight w:val="0"/>
      <w:marTop w:val="0"/>
      <w:marBottom w:val="0"/>
      <w:divBdr>
        <w:top w:val="none" w:sz="0" w:space="0" w:color="auto"/>
        <w:left w:val="none" w:sz="0" w:space="0" w:color="auto"/>
        <w:bottom w:val="none" w:sz="0" w:space="0" w:color="auto"/>
        <w:right w:val="none" w:sz="0" w:space="0" w:color="auto"/>
      </w:divBdr>
    </w:div>
    <w:div w:id="1657874416">
      <w:bodyDiv w:val="1"/>
      <w:marLeft w:val="0"/>
      <w:marRight w:val="0"/>
      <w:marTop w:val="0"/>
      <w:marBottom w:val="0"/>
      <w:divBdr>
        <w:top w:val="none" w:sz="0" w:space="0" w:color="auto"/>
        <w:left w:val="none" w:sz="0" w:space="0" w:color="auto"/>
        <w:bottom w:val="none" w:sz="0" w:space="0" w:color="auto"/>
        <w:right w:val="none" w:sz="0" w:space="0" w:color="auto"/>
      </w:divBdr>
    </w:div>
    <w:div w:id="1671057796">
      <w:bodyDiv w:val="1"/>
      <w:marLeft w:val="0"/>
      <w:marRight w:val="0"/>
      <w:marTop w:val="0"/>
      <w:marBottom w:val="0"/>
      <w:divBdr>
        <w:top w:val="none" w:sz="0" w:space="0" w:color="auto"/>
        <w:left w:val="none" w:sz="0" w:space="0" w:color="auto"/>
        <w:bottom w:val="none" w:sz="0" w:space="0" w:color="auto"/>
        <w:right w:val="none" w:sz="0" w:space="0" w:color="auto"/>
      </w:divBdr>
    </w:div>
    <w:div w:id="1689210160">
      <w:bodyDiv w:val="1"/>
      <w:marLeft w:val="0"/>
      <w:marRight w:val="0"/>
      <w:marTop w:val="0"/>
      <w:marBottom w:val="0"/>
      <w:divBdr>
        <w:top w:val="none" w:sz="0" w:space="0" w:color="auto"/>
        <w:left w:val="none" w:sz="0" w:space="0" w:color="auto"/>
        <w:bottom w:val="none" w:sz="0" w:space="0" w:color="auto"/>
        <w:right w:val="none" w:sz="0" w:space="0" w:color="auto"/>
      </w:divBdr>
    </w:div>
    <w:div w:id="1824007994">
      <w:bodyDiv w:val="1"/>
      <w:marLeft w:val="0"/>
      <w:marRight w:val="0"/>
      <w:marTop w:val="0"/>
      <w:marBottom w:val="0"/>
      <w:divBdr>
        <w:top w:val="none" w:sz="0" w:space="0" w:color="auto"/>
        <w:left w:val="none" w:sz="0" w:space="0" w:color="auto"/>
        <w:bottom w:val="none" w:sz="0" w:space="0" w:color="auto"/>
        <w:right w:val="none" w:sz="0" w:space="0" w:color="auto"/>
      </w:divBdr>
    </w:div>
    <w:div w:id="1846938027">
      <w:bodyDiv w:val="1"/>
      <w:marLeft w:val="0"/>
      <w:marRight w:val="0"/>
      <w:marTop w:val="0"/>
      <w:marBottom w:val="0"/>
      <w:divBdr>
        <w:top w:val="none" w:sz="0" w:space="0" w:color="auto"/>
        <w:left w:val="none" w:sz="0" w:space="0" w:color="auto"/>
        <w:bottom w:val="none" w:sz="0" w:space="0" w:color="auto"/>
        <w:right w:val="none" w:sz="0" w:space="0" w:color="auto"/>
      </w:divBdr>
    </w:div>
    <w:div w:id="1984313706">
      <w:bodyDiv w:val="1"/>
      <w:marLeft w:val="0"/>
      <w:marRight w:val="0"/>
      <w:marTop w:val="0"/>
      <w:marBottom w:val="0"/>
      <w:divBdr>
        <w:top w:val="none" w:sz="0" w:space="0" w:color="auto"/>
        <w:left w:val="none" w:sz="0" w:space="0" w:color="auto"/>
        <w:bottom w:val="none" w:sz="0" w:space="0" w:color="auto"/>
        <w:right w:val="none" w:sz="0" w:space="0" w:color="auto"/>
      </w:divBdr>
    </w:div>
    <w:div w:id="20619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2A7A-7EB3-4F19-8E79-BC72CDBE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1321</Words>
  <Characters>7532</Characters>
  <Application>Microsoft Office Word</Application>
  <DocSecurity>0</DocSecurity>
  <Lines>62</Lines>
  <Paragraphs>17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SLASPO, sekcia pre risk mamažment</vt:lpstr>
      <vt:lpstr>SLASPO, sekcia pre risk mamažment</vt:lpstr>
    </vt:vector>
  </TitlesOfParts>
  <Company>HP</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SLASPO, sekcia pre risk mamažment</dc:title>
  <dc:creator>Matko Emil</dc:creator>
  <cp:lastModifiedBy>lehotska</cp:lastModifiedBy>
  <cp:revision>2</cp:revision>
  <cp:lastPrinted>2014-09-04T09:15:00Z</cp:lastPrinted>
  <dcterms:created xsi:type="dcterms:W3CDTF">2014-10-07T11:56:00Z</dcterms:created>
  <dcterms:modified xsi:type="dcterms:W3CDTF">2014-10-07T11:56:00Z</dcterms:modified>
</cp:coreProperties>
</file>