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Y="2221"/>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68"/>
        <w:gridCol w:w="3827"/>
        <w:gridCol w:w="3969"/>
        <w:gridCol w:w="4961"/>
        <w:gridCol w:w="1701"/>
      </w:tblGrid>
      <w:tr w:rsidR="007B1FC5" w:rsidRPr="007B1FC5" w:rsidTr="006E1955">
        <w:trPr>
          <w:trHeight w:val="706"/>
        </w:trPr>
        <w:tc>
          <w:tcPr>
            <w:tcW w:w="1668" w:type="dxa"/>
            <w:shd w:val="clear" w:color="auto" w:fill="FFFFFF" w:themeFill="background1"/>
            <w:vAlign w:val="center"/>
          </w:tcPr>
          <w:p w:rsidR="007B1FC5" w:rsidRPr="007B1FC5" w:rsidRDefault="007B1FC5" w:rsidP="00CD28D2">
            <w:pPr>
              <w:spacing w:after="0" w:line="240" w:lineRule="auto"/>
              <w:jc w:val="center"/>
              <w:rPr>
                <w:rFonts w:ascii="Arial" w:hAnsi="Arial" w:cs="Arial"/>
                <w:b/>
                <w:bCs/>
                <w:sz w:val="20"/>
                <w:szCs w:val="20"/>
              </w:rPr>
            </w:pPr>
          </w:p>
        </w:tc>
        <w:tc>
          <w:tcPr>
            <w:tcW w:w="12757" w:type="dxa"/>
            <w:gridSpan w:val="3"/>
            <w:shd w:val="clear" w:color="auto" w:fill="FFFFFF" w:themeFill="background1"/>
            <w:vAlign w:val="center"/>
          </w:tcPr>
          <w:p w:rsidR="007B1FC5" w:rsidRPr="007B1FC5" w:rsidRDefault="007B1FC5" w:rsidP="00CD28D2">
            <w:pPr>
              <w:spacing w:after="0" w:line="240" w:lineRule="auto"/>
              <w:jc w:val="center"/>
              <w:rPr>
                <w:rFonts w:ascii="Arial" w:hAnsi="Arial" w:cs="Arial"/>
                <w:b/>
                <w:bCs/>
                <w:sz w:val="24"/>
                <w:szCs w:val="24"/>
              </w:rPr>
            </w:pPr>
            <w:r w:rsidRPr="007B1FC5">
              <w:rPr>
                <w:rFonts w:ascii="Arial" w:hAnsi="Arial" w:cs="Arial"/>
                <w:b/>
                <w:bCs/>
                <w:sz w:val="24"/>
                <w:szCs w:val="24"/>
              </w:rPr>
              <w:t>Pripomienky Allianz – Slovenskej poisťovne, a. s. k návrhu zákona o poisťovníctve</w:t>
            </w:r>
          </w:p>
        </w:tc>
        <w:tc>
          <w:tcPr>
            <w:tcW w:w="1701" w:type="dxa"/>
            <w:shd w:val="clear" w:color="auto" w:fill="FFFFFF" w:themeFill="background1"/>
            <w:vAlign w:val="center"/>
          </w:tcPr>
          <w:p w:rsidR="007B1FC5" w:rsidRPr="007B1FC5" w:rsidRDefault="007B1FC5" w:rsidP="00CD28D2">
            <w:pPr>
              <w:spacing w:after="0" w:line="240" w:lineRule="auto"/>
              <w:jc w:val="center"/>
              <w:rPr>
                <w:rFonts w:ascii="Arial" w:hAnsi="Arial" w:cs="Arial"/>
                <w:b/>
                <w:bCs/>
                <w:sz w:val="20"/>
                <w:szCs w:val="20"/>
              </w:rPr>
            </w:pPr>
          </w:p>
        </w:tc>
      </w:tr>
      <w:tr w:rsidR="007B1FC5" w:rsidRPr="007B1FC5" w:rsidTr="007B1FC5">
        <w:trPr>
          <w:trHeight w:val="706"/>
        </w:trPr>
        <w:tc>
          <w:tcPr>
            <w:tcW w:w="1668" w:type="dxa"/>
            <w:shd w:val="clear" w:color="auto" w:fill="FFFFFF" w:themeFill="background1"/>
            <w:vAlign w:val="center"/>
          </w:tcPr>
          <w:p w:rsidR="007B1FC5" w:rsidRPr="007B1FC5" w:rsidRDefault="007B1FC5" w:rsidP="00CD28D2">
            <w:pPr>
              <w:spacing w:after="0" w:line="240" w:lineRule="auto"/>
              <w:jc w:val="center"/>
              <w:rPr>
                <w:rFonts w:ascii="Arial" w:hAnsi="Arial" w:cs="Arial"/>
                <w:b/>
                <w:bCs/>
                <w:sz w:val="20"/>
                <w:szCs w:val="20"/>
              </w:rPr>
            </w:pPr>
          </w:p>
        </w:tc>
        <w:tc>
          <w:tcPr>
            <w:tcW w:w="3827" w:type="dxa"/>
            <w:shd w:val="clear" w:color="auto" w:fill="FFFFFF" w:themeFill="background1"/>
            <w:vAlign w:val="center"/>
          </w:tcPr>
          <w:p w:rsidR="007B1FC5" w:rsidRPr="007B1FC5" w:rsidRDefault="007B1FC5" w:rsidP="00CD28D2">
            <w:pPr>
              <w:spacing w:after="0" w:line="240" w:lineRule="auto"/>
              <w:jc w:val="center"/>
              <w:rPr>
                <w:rFonts w:ascii="Arial" w:hAnsi="Arial" w:cs="Arial"/>
                <w:b/>
                <w:bCs/>
                <w:sz w:val="20"/>
                <w:szCs w:val="20"/>
              </w:rPr>
            </w:pPr>
          </w:p>
        </w:tc>
        <w:tc>
          <w:tcPr>
            <w:tcW w:w="3969" w:type="dxa"/>
            <w:shd w:val="clear" w:color="auto" w:fill="FFFFFF" w:themeFill="background1"/>
            <w:vAlign w:val="center"/>
          </w:tcPr>
          <w:p w:rsidR="007B1FC5" w:rsidRPr="007B1FC5" w:rsidRDefault="007B1FC5" w:rsidP="00CD28D2">
            <w:pPr>
              <w:spacing w:after="0" w:line="240" w:lineRule="auto"/>
              <w:jc w:val="center"/>
              <w:rPr>
                <w:rFonts w:ascii="Arial" w:hAnsi="Arial" w:cs="Arial"/>
                <w:b/>
                <w:bCs/>
                <w:sz w:val="20"/>
                <w:szCs w:val="20"/>
              </w:rPr>
            </w:pPr>
          </w:p>
        </w:tc>
        <w:tc>
          <w:tcPr>
            <w:tcW w:w="4961" w:type="dxa"/>
            <w:shd w:val="clear" w:color="auto" w:fill="FFFFFF" w:themeFill="background1"/>
            <w:vAlign w:val="center"/>
          </w:tcPr>
          <w:p w:rsidR="007B1FC5" w:rsidRPr="007B1FC5" w:rsidRDefault="007B1FC5" w:rsidP="00CD28D2">
            <w:pPr>
              <w:spacing w:after="0" w:line="240" w:lineRule="auto"/>
              <w:jc w:val="center"/>
              <w:rPr>
                <w:rFonts w:ascii="Arial" w:hAnsi="Arial" w:cs="Arial"/>
                <w:b/>
                <w:bCs/>
                <w:sz w:val="20"/>
                <w:szCs w:val="20"/>
              </w:rPr>
            </w:pPr>
          </w:p>
        </w:tc>
        <w:tc>
          <w:tcPr>
            <w:tcW w:w="1701" w:type="dxa"/>
            <w:shd w:val="clear" w:color="auto" w:fill="FFFFFF" w:themeFill="background1"/>
            <w:vAlign w:val="center"/>
          </w:tcPr>
          <w:p w:rsidR="007B1FC5" w:rsidRPr="007B1FC5" w:rsidRDefault="007B1FC5" w:rsidP="00CD28D2">
            <w:pPr>
              <w:spacing w:after="0" w:line="240" w:lineRule="auto"/>
              <w:jc w:val="center"/>
              <w:rPr>
                <w:rFonts w:ascii="Arial" w:hAnsi="Arial" w:cs="Arial"/>
                <w:b/>
                <w:bCs/>
                <w:sz w:val="20"/>
                <w:szCs w:val="20"/>
              </w:rPr>
            </w:pPr>
          </w:p>
        </w:tc>
      </w:tr>
      <w:tr w:rsidR="000B7D4C" w:rsidRPr="007B1FC5" w:rsidTr="00450A99">
        <w:trPr>
          <w:trHeight w:val="706"/>
        </w:trPr>
        <w:tc>
          <w:tcPr>
            <w:tcW w:w="1668" w:type="dxa"/>
            <w:shd w:val="clear" w:color="auto" w:fill="A6A6A6"/>
            <w:vAlign w:val="center"/>
          </w:tcPr>
          <w:p w:rsidR="00A93043" w:rsidRPr="007B1FC5" w:rsidRDefault="00A93043" w:rsidP="00CD28D2">
            <w:pPr>
              <w:spacing w:after="0" w:line="240" w:lineRule="auto"/>
              <w:jc w:val="center"/>
              <w:rPr>
                <w:rFonts w:ascii="Arial" w:hAnsi="Arial" w:cs="Arial"/>
                <w:b/>
                <w:bCs/>
                <w:sz w:val="20"/>
                <w:szCs w:val="20"/>
              </w:rPr>
            </w:pPr>
            <w:r w:rsidRPr="007B1FC5">
              <w:rPr>
                <w:rFonts w:ascii="Arial" w:hAnsi="Arial" w:cs="Arial"/>
                <w:b/>
                <w:bCs/>
                <w:sz w:val="20"/>
                <w:szCs w:val="20"/>
              </w:rPr>
              <w:t>Časť</w:t>
            </w:r>
          </w:p>
          <w:p w:rsidR="00A93043" w:rsidRPr="007B1FC5" w:rsidRDefault="00A93043" w:rsidP="00CD28D2">
            <w:pPr>
              <w:spacing w:after="0" w:line="240" w:lineRule="auto"/>
              <w:rPr>
                <w:rFonts w:ascii="Arial" w:hAnsi="Arial" w:cs="Arial"/>
                <w:b/>
                <w:bCs/>
                <w:sz w:val="20"/>
                <w:szCs w:val="20"/>
              </w:rPr>
            </w:pPr>
            <w:r w:rsidRPr="007B1FC5">
              <w:rPr>
                <w:rFonts w:ascii="Arial" w:hAnsi="Arial" w:cs="Arial"/>
                <w:b/>
                <w:bCs/>
                <w:sz w:val="20"/>
                <w:szCs w:val="20"/>
              </w:rPr>
              <w:t>(navrhovaný zákon)</w:t>
            </w:r>
          </w:p>
        </w:tc>
        <w:tc>
          <w:tcPr>
            <w:tcW w:w="3827" w:type="dxa"/>
            <w:shd w:val="clear" w:color="auto" w:fill="A6A6A6"/>
            <w:vAlign w:val="center"/>
          </w:tcPr>
          <w:p w:rsidR="00A93043" w:rsidRPr="007B1FC5" w:rsidRDefault="00A93043" w:rsidP="00CD28D2">
            <w:pPr>
              <w:spacing w:after="0" w:line="240" w:lineRule="auto"/>
              <w:jc w:val="center"/>
              <w:rPr>
                <w:rFonts w:ascii="Arial" w:hAnsi="Arial" w:cs="Arial"/>
                <w:b/>
                <w:bCs/>
                <w:sz w:val="20"/>
                <w:szCs w:val="20"/>
              </w:rPr>
            </w:pPr>
            <w:r w:rsidRPr="007B1FC5">
              <w:rPr>
                <w:rFonts w:ascii="Arial" w:hAnsi="Arial" w:cs="Arial"/>
                <w:b/>
                <w:bCs/>
                <w:sz w:val="20"/>
                <w:szCs w:val="20"/>
              </w:rPr>
              <w:t>Pôvodné znenie</w:t>
            </w:r>
          </w:p>
        </w:tc>
        <w:tc>
          <w:tcPr>
            <w:tcW w:w="3969" w:type="dxa"/>
            <w:shd w:val="clear" w:color="auto" w:fill="A6A6A6"/>
            <w:vAlign w:val="center"/>
          </w:tcPr>
          <w:p w:rsidR="00A93043" w:rsidRPr="007B1FC5" w:rsidRDefault="00A93043" w:rsidP="00CD28D2">
            <w:pPr>
              <w:spacing w:after="0" w:line="240" w:lineRule="auto"/>
              <w:jc w:val="center"/>
              <w:rPr>
                <w:rFonts w:ascii="Arial" w:hAnsi="Arial" w:cs="Arial"/>
                <w:b/>
                <w:bCs/>
                <w:sz w:val="20"/>
                <w:szCs w:val="20"/>
              </w:rPr>
            </w:pPr>
            <w:r w:rsidRPr="007B1FC5">
              <w:rPr>
                <w:rFonts w:ascii="Arial" w:hAnsi="Arial" w:cs="Arial"/>
                <w:b/>
                <w:bCs/>
                <w:sz w:val="20"/>
                <w:szCs w:val="20"/>
              </w:rPr>
              <w:t>Navrhované znenie</w:t>
            </w:r>
          </w:p>
        </w:tc>
        <w:tc>
          <w:tcPr>
            <w:tcW w:w="4961" w:type="dxa"/>
            <w:shd w:val="clear" w:color="auto" w:fill="A6A6A6"/>
            <w:vAlign w:val="center"/>
          </w:tcPr>
          <w:p w:rsidR="00A93043" w:rsidRPr="007B1FC5" w:rsidRDefault="00A93043" w:rsidP="00CD28D2">
            <w:pPr>
              <w:spacing w:after="0" w:line="240" w:lineRule="auto"/>
              <w:jc w:val="center"/>
              <w:rPr>
                <w:rFonts w:ascii="Arial" w:hAnsi="Arial" w:cs="Arial"/>
                <w:b/>
                <w:bCs/>
                <w:sz w:val="20"/>
                <w:szCs w:val="20"/>
              </w:rPr>
            </w:pPr>
            <w:r w:rsidRPr="007B1FC5">
              <w:rPr>
                <w:rFonts w:ascii="Arial" w:hAnsi="Arial" w:cs="Arial"/>
                <w:b/>
                <w:bCs/>
                <w:sz w:val="20"/>
                <w:szCs w:val="20"/>
              </w:rPr>
              <w:t>Poznámka</w:t>
            </w:r>
          </w:p>
        </w:tc>
        <w:tc>
          <w:tcPr>
            <w:tcW w:w="1701" w:type="dxa"/>
            <w:shd w:val="clear" w:color="auto" w:fill="A6A6A6"/>
            <w:vAlign w:val="center"/>
          </w:tcPr>
          <w:p w:rsidR="00A93043" w:rsidRPr="007B1FC5" w:rsidRDefault="00A93043" w:rsidP="00CD28D2">
            <w:pPr>
              <w:spacing w:after="0" w:line="240" w:lineRule="auto"/>
              <w:jc w:val="center"/>
              <w:rPr>
                <w:rFonts w:ascii="Arial" w:hAnsi="Arial" w:cs="Arial"/>
                <w:b/>
                <w:bCs/>
                <w:sz w:val="20"/>
                <w:szCs w:val="20"/>
              </w:rPr>
            </w:pPr>
            <w:r w:rsidRPr="007B1FC5">
              <w:rPr>
                <w:rFonts w:ascii="Arial" w:hAnsi="Arial" w:cs="Arial"/>
                <w:b/>
                <w:bCs/>
                <w:sz w:val="20"/>
                <w:szCs w:val="20"/>
              </w:rPr>
              <w:t>Spôsob vyhodnotenia</w:t>
            </w:r>
          </w:p>
        </w:tc>
      </w:tr>
      <w:tr w:rsidR="000B7D4C" w:rsidRPr="007B1FC5" w:rsidTr="00450A99">
        <w:trPr>
          <w:cantSplit/>
          <w:trHeight w:val="684"/>
        </w:trPr>
        <w:tc>
          <w:tcPr>
            <w:tcW w:w="1668" w:type="dxa"/>
          </w:tcPr>
          <w:p w:rsidR="000B7D4C" w:rsidRPr="007B1FC5" w:rsidRDefault="000B7D4C" w:rsidP="00CD28D2">
            <w:pPr>
              <w:pStyle w:val="Odsekzoznamu"/>
              <w:ind w:left="0"/>
              <w:rPr>
                <w:rFonts w:ascii="Arial" w:hAnsi="Arial" w:cs="Arial"/>
                <w:b/>
                <w:bCs/>
                <w:sz w:val="20"/>
                <w:szCs w:val="20"/>
              </w:rPr>
            </w:pPr>
          </w:p>
          <w:p w:rsidR="000B7D4C" w:rsidRPr="007B1FC5" w:rsidRDefault="000B7D4C" w:rsidP="00CD28D2">
            <w:pPr>
              <w:pStyle w:val="Odsekzoznamu"/>
              <w:ind w:left="0"/>
              <w:rPr>
                <w:rFonts w:ascii="Arial" w:hAnsi="Arial" w:cs="Arial"/>
                <w:b/>
                <w:bCs/>
                <w:sz w:val="20"/>
                <w:szCs w:val="20"/>
              </w:rPr>
            </w:pPr>
            <w:r w:rsidRPr="007B1FC5">
              <w:rPr>
                <w:rFonts w:ascii="Arial" w:hAnsi="Arial" w:cs="Arial"/>
                <w:b/>
                <w:bCs/>
                <w:sz w:val="20"/>
                <w:szCs w:val="20"/>
              </w:rPr>
              <w:t>Čl. I.</w:t>
            </w:r>
          </w:p>
        </w:tc>
        <w:tc>
          <w:tcPr>
            <w:tcW w:w="3827" w:type="dxa"/>
          </w:tcPr>
          <w:p w:rsidR="000B7D4C" w:rsidRPr="007B1FC5" w:rsidRDefault="000B7D4C" w:rsidP="00CD28D2">
            <w:pPr>
              <w:pStyle w:val="Textkomentra"/>
              <w:rPr>
                <w:rFonts w:ascii="Arial" w:hAnsi="Arial" w:cs="Arial"/>
              </w:rPr>
            </w:pPr>
          </w:p>
        </w:tc>
        <w:tc>
          <w:tcPr>
            <w:tcW w:w="3969" w:type="dxa"/>
          </w:tcPr>
          <w:p w:rsidR="000B7D4C" w:rsidRPr="007B1FC5" w:rsidRDefault="000B7D4C" w:rsidP="00CD28D2">
            <w:pPr>
              <w:pStyle w:val="Textkomentra"/>
              <w:rPr>
                <w:rFonts w:ascii="Arial" w:hAnsi="Arial" w:cs="Arial"/>
              </w:rPr>
            </w:pPr>
          </w:p>
        </w:tc>
        <w:tc>
          <w:tcPr>
            <w:tcW w:w="4961" w:type="dxa"/>
          </w:tcPr>
          <w:p w:rsidR="000B7D4C" w:rsidRPr="007B1FC5" w:rsidRDefault="000B7D4C" w:rsidP="00CD28D2">
            <w:pPr>
              <w:pStyle w:val="Textkomentra"/>
              <w:rPr>
                <w:rFonts w:ascii="Arial" w:hAnsi="Arial" w:cs="Arial"/>
              </w:rPr>
            </w:pPr>
          </w:p>
        </w:tc>
        <w:tc>
          <w:tcPr>
            <w:tcW w:w="1701" w:type="dxa"/>
          </w:tcPr>
          <w:p w:rsidR="000B7D4C" w:rsidRPr="007B1FC5" w:rsidRDefault="000B7D4C" w:rsidP="00CD28D2">
            <w:pPr>
              <w:pStyle w:val="Odsekzoznamu"/>
              <w:ind w:left="0"/>
              <w:rPr>
                <w:rFonts w:ascii="Arial" w:hAnsi="Arial" w:cs="Arial"/>
                <w:bCs/>
                <w:sz w:val="20"/>
                <w:szCs w:val="20"/>
              </w:rPr>
            </w:pPr>
          </w:p>
        </w:tc>
      </w:tr>
      <w:tr w:rsidR="000B7D4C" w:rsidRPr="007B1FC5" w:rsidTr="00450A99">
        <w:trPr>
          <w:cantSplit/>
          <w:trHeight w:val="2407"/>
        </w:trPr>
        <w:tc>
          <w:tcPr>
            <w:tcW w:w="1668" w:type="dxa"/>
          </w:tcPr>
          <w:p w:rsidR="004936E1" w:rsidRPr="007B1FC5" w:rsidRDefault="00A93043" w:rsidP="00CD28D2">
            <w:pPr>
              <w:pStyle w:val="Odsekzoznamu"/>
              <w:ind w:left="0"/>
              <w:rPr>
                <w:rFonts w:ascii="Arial" w:hAnsi="Arial" w:cs="Arial"/>
                <w:b/>
                <w:bCs/>
                <w:sz w:val="20"/>
                <w:szCs w:val="20"/>
              </w:rPr>
            </w:pPr>
            <w:r w:rsidRPr="007B1FC5">
              <w:rPr>
                <w:rFonts w:ascii="Arial" w:hAnsi="Arial" w:cs="Arial"/>
                <w:b/>
                <w:bCs/>
                <w:sz w:val="20"/>
                <w:szCs w:val="20"/>
              </w:rPr>
              <w:t xml:space="preserve">§ 4 </w:t>
            </w:r>
          </w:p>
          <w:p w:rsidR="00A93043" w:rsidRPr="007B1FC5" w:rsidRDefault="00A93043" w:rsidP="00CD28D2">
            <w:pPr>
              <w:pStyle w:val="Odsekzoznamu"/>
              <w:ind w:left="0"/>
              <w:rPr>
                <w:rFonts w:ascii="Arial" w:hAnsi="Arial" w:cs="Arial"/>
                <w:b/>
                <w:bCs/>
                <w:sz w:val="20"/>
                <w:szCs w:val="20"/>
              </w:rPr>
            </w:pPr>
            <w:r w:rsidRPr="007B1FC5">
              <w:rPr>
                <w:rFonts w:ascii="Arial" w:hAnsi="Arial" w:cs="Arial"/>
                <w:b/>
                <w:bCs/>
                <w:sz w:val="20"/>
                <w:szCs w:val="20"/>
              </w:rPr>
              <w:t>Vymedzenie základných pojmov</w:t>
            </w:r>
          </w:p>
        </w:tc>
        <w:tc>
          <w:tcPr>
            <w:tcW w:w="3827" w:type="dxa"/>
          </w:tcPr>
          <w:p w:rsidR="00A93043" w:rsidRPr="007B1FC5" w:rsidRDefault="00A93043" w:rsidP="00CD28D2">
            <w:pPr>
              <w:pStyle w:val="Textkomentra"/>
              <w:rPr>
                <w:rFonts w:ascii="Arial" w:hAnsi="Arial" w:cs="Arial"/>
              </w:rPr>
            </w:pPr>
            <w:r w:rsidRPr="007B1FC5">
              <w:rPr>
                <w:rFonts w:ascii="Arial" w:hAnsi="Arial" w:cs="Arial"/>
              </w:rPr>
              <w:t xml:space="preserve">. </w:t>
            </w:r>
          </w:p>
          <w:p w:rsidR="00A93043" w:rsidRPr="007B1FC5" w:rsidRDefault="00A93043" w:rsidP="00CD28D2">
            <w:pPr>
              <w:pStyle w:val="Textkomentra"/>
              <w:rPr>
                <w:rFonts w:ascii="Arial" w:hAnsi="Arial" w:cs="Arial"/>
              </w:rPr>
            </w:pPr>
          </w:p>
        </w:tc>
        <w:tc>
          <w:tcPr>
            <w:tcW w:w="3969" w:type="dxa"/>
          </w:tcPr>
          <w:p w:rsidR="00A93043" w:rsidRPr="007B1FC5" w:rsidRDefault="00A93043" w:rsidP="00CD28D2">
            <w:pPr>
              <w:pStyle w:val="Textkomentra"/>
              <w:rPr>
                <w:rFonts w:ascii="Arial" w:hAnsi="Arial" w:cs="Arial"/>
              </w:rPr>
            </w:pPr>
            <w:r w:rsidRPr="007B1FC5">
              <w:rPr>
                <w:rFonts w:ascii="Arial" w:hAnsi="Arial" w:cs="Arial"/>
              </w:rPr>
              <w:t>Navrhujeme doplniť znenie ďalších pojmov vyskytujúcich sa v zákone, ktoré nie sú v zákone zadefinované</w:t>
            </w:r>
            <w:r w:rsidR="00B64D8C" w:rsidRPr="007B1FC5">
              <w:rPr>
                <w:rFonts w:ascii="Arial" w:hAnsi="Arial" w:cs="Arial"/>
              </w:rPr>
              <w:t>.</w:t>
            </w:r>
            <w:r w:rsidRPr="007B1FC5">
              <w:rPr>
                <w:rFonts w:ascii="Arial" w:hAnsi="Arial" w:cs="Arial"/>
              </w:rPr>
              <w:t xml:space="preserve"> </w:t>
            </w:r>
          </w:p>
          <w:p w:rsidR="00046ED4" w:rsidRPr="007B1FC5" w:rsidRDefault="00046ED4" w:rsidP="00CD28D2">
            <w:pPr>
              <w:pStyle w:val="Textkomentra"/>
              <w:rPr>
                <w:rFonts w:ascii="Arial" w:hAnsi="Arial" w:cs="Arial"/>
              </w:rPr>
            </w:pPr>
            <w:r w:rsidRPr="007B1FC5">
              <w:rPr>
                <w:rFonts w:ascii="Arial" w:hAnsi="Arial" w:cs="Arial"/>
              </w:rPr>
              <w:t xml:space="preserve">Z vymedzenia základných pojmov vypadli pojmy, ktoré sú pre celkový zákon o poisťovníctve dôležité, ako napr.: poistné riziko, správa poistných, zaistných zmlúv, poistný kmeň, likvidácia poistnej udalosti, technická úroková miera a iné. </w:t>
            </w:r>
          </w:p>
          <w:p w:rsidR="00A93043" w:rsidRPr="007B1FC5" w:rsidRDefault="00046ED4" w:rsidP="00CD28D2">
            <w:pPr>
              <w:pStyle w:val="Odsekzoznamu"/>
              <w:ind w:left="0"/>
              <w:rPr>
                <w:rFonts w:ascii="Arial" w:hAnsi="Arial" w:cs="Arial"/>
                <w:bCs/>
                <w:sz w:val="20"/>
                <w:szCs w:val="20"/>
              </w:rPr>
            </w:pPr>
            <w:r w:rsidRPr="007B1FC5">
              <w:rPr>
                <w:rFonts w:ascii="Arial" w:hAnsi="Arial" w:cs="Arial"/>
                <w:sz w:val="20"/>
                <w:szCs w:val="20"/>
              </w:rPr>
              <w:t xml:space="preserve">Príklad: Pod definíciu „klienta“ uvedenú v tomto zákone spadá aj „poistník“ a „poistený“ – t.j. pojmy vyskytujúce sa v texte zákona. </w:t>
            </w:r>
            <w:r w:rsidR="00781E68" w:rsidRPr="007B1FC5">
              <w:rPr>
                <w:rFonts w:ascii="Arial" w:hAnsi="Arial" w:cs="Arial"/>
                <w:sz w:val="20"/>
                <w:szCs w:val="20"/>
              </w:rPr>
              <w:br/>
            </w:r>
            <w:r w:rsidRPr="007B1FC5">
              <w:rPr>
                <w:rFonts w:ascii="Arial" w:hAnsi="Arial" w:cs="Arial"/>
                <w:sz w:val="20"/>
                <w:szCs w:val="20"/>
              </w:rPr>
              <w:t>Definícia „poistníka“ je však len  v teraz platnom  zákone, z predloženého návrhu nového zákona vypadla (i keď sa pojem „poistník“ naďalej v texte zákona vyskytuje).</w:t>
            </w:r>
          </w:p>
        </w:tc>
        <w:tc>
          <w:tcPr>
            <w:tcW w:w="4961" w:type="dxa"/>
          </w:tcPr>
          <w:p w:rsidR="00A93043" w:rsidRPr="007B1FC5" w:rsidRDefault="00A93043" w:rsidP="00CD28D2">
            <w:pPr>
              <w:pStyle w:val="Textkomentra"/>
              <w:rPr>
                <w:rFonts w:ascii="Arial" w:hAnsi="Arial" w:cs="Arial"/>
              </w:rPr>
            </w:pPr>
          </w:p>
        </w:tc>
        <w:tc>
          <w:tcPr>
            <w:tcW w:w="1701" w:type="dxa"/>
          </w:tcPr>
          <w:p w:rsidR="00A93043" w:rsidRPr="007B1FC5" w:rsidRDefault="00A93043" w:rsidP="00CD28D2">
            <w:pPr>
              <w:pStyle w:val="Odsekzoznamu"/>
              <w:ind w:left="0"/>
              <w:rPr>
                <w:rFonts w:ascii="Arial" w:hAnsi="Arial" w:cs="Arial"/>
                <w:bCs/>
                <w:sz w:val="20"/>
                <w:szCs w:val="20"/>
              </w:rPr>
            </w:pPr>
          </w:p>
        </w:tc>
      </w:tr>
      <w:tr w:rsidR="0086240A" w:rsidRPr="007B1FC5" w:rsidTr="00450A99">
        <w:trPr>
          <w:cantSplit/>
          <w:trHeight w:val="2514"/>
        </w:trPr>
        <w:tc>
          <w:tcPr>
            <w:tcW w:w="1668" w:type="dxa"/>
          </w:tcPr>
          <w:p w:rsidR="0086240A" w:rsidRPr="007B1FC5" w:rsidRDefault="0086240A" w:rsidP="00CD28D2">
            <w:pPr>
              <w:pStyle w:val="Odsekzoznamu"/>
              <w:ind w:left="0"/>
              <w:rPr>
                <w:rFonts w:ascii="Arial" w:hAnsi="Arial" w:cs="Arial"/>
                <w:b/>
                <w:bCs/>
                <w:sz w:val="20"/>
                <w:szCs w:val="20"/>
              </w:rPr>
            </w:pPr>
          </w:p>
        </w:tc>
        <w:tc>
          <w:tcPr>
            <w:tcW w:w="3827" w:type="dxa"/>
          </w:tcPr>
          <w:p w:rsidR="0086240A" w:rsidRPr="007B1FC5" w:rsidRDefault="0086240A" w:rsidP="00CD28D2">
            <w:pPr>
              <w:pStyle w:val="Textkomentra"/>
              <w:rPr>
                <w:rFonts w:ascii="Arial" w:hAnsi="Arial" w:cs="Arial"/>
              </w:rPr>
            </w:pPr>
          </w:p>
        </w:tc>
        <w:tc>
          <w:tcPr>
            <w:tcW w:w="3969" w:type="dxa"/>
          </w:tcPr>
          <w:p w:rsidR="0086240A" w:rsidRPr="007B1FC5" w:rsidRDefault="0086240A" w:rsidP="00CD28D2">
            <w:pPr>
              <w:pStyle w:val="Textkomentra"/>
              <w:rPr>
                <w:rFonts w:ascii="Arial" w:hAnsi="Arial" w:cs="Arial"/>
              </w:rPr>
            </w:pPr>
          </w:p>
        </w:tc>
        <w:tc>
          <w:tcPr>
            <w:tcW w:w="4961" w:type="dxa"/>
          </w:tcPr>
          <w:p w:rsidR="0086240A" w:rsidRPr="007B1FC5" w:rsidRDefault="0086240A" w:rsidP="00CD28D2">
            <w:pPr>
              <w:pStyle w:val="Textkomentra"/>
              <w:rPr>
                <w:rFonts w:ascii="Arial" w:hAnsi="Arial" w:cs="Arial"/>
              </w:rPr>
            </w:pPr>
          </w:p>
        </w:tc>
        <w:tc>
          <w:tcPr>
            <w:tcW w:w="1701" w:type="dxa"/>
          </w:tcPr>
          <w:p w:rsidR="0086240A" w:rsidRPr="007B1FC5" w:rsidRDefault="0086240A" w:rsidP="00CD28D2">
            <w:pPr>
              <w:pStyle w:val="Odsekzoznamu"/>
              <w:ind w:left="0"/>
              <w:rPr>
                <w:rFonts w:ascii="Arial" w:hAnsi="Arial" w:cs="Arial"/>
                <w:bCs/>
                <w:sz w:val="20"/>
                <w:szCs w:val="20"/>
              </w:rPr>
            </w:pPr>
          </w:p>
        </w:tc>
      </w:tr>
      <w:tr w:rsidR="000B7D4C" w:rsidRPr="007B1FC5" w:rsidTr="00450A99">
        <w:trPr>
          <w:cantSplit/>
          <w:trHeight w:val="2514"/>
        </w:trPr>
        <w:tc>
          <w:tcPr>
            <w:tcW w:w="1668" w:type="dxa"/>
          </w:tcPr>
          <w:p w:rsidR="00A93043" w:rsidRPr="007B1FC5" w:rsidRDefault="00A93043" w:rsidP="00CD28D2">
            <w:pPr>
              <w:pStyle w:val="Odsekzoznamu"/>
              <w:ind w:left="0"/>
              <w:rPr>
                <w:rFonts w:ascii="Arial" w:hAnsi="Arial" w:cs="Arial"/>
                <w:b/>
                <w:bCs/>
                <w:sz w:val="20"/>
                <w:szCs w:val="20"/>
              </w:rPr>
            </w:pPr>
            <w:r w:rsidRPr="007B1FC5">
              <w:rPr>
                <w:rFonts w:ascii="Arial" w:hAnsi="Arial" w:cs="Arial"/>
                <w:b/>
                <w:bCs/>
                <w:sz w:val="20"/>
                <w:szCs w:val="20"/>
              </w:rPr>
              <w:lastRenderedPageBreak/>
              <w:t>§ 4 ods. 13</w:t>
            </w:r>
          </w:p>
        </w:tc>
        <w:tc>
          <w:tcPr>
            <w:tcW w:w="3827" w:type="dxa"/>
          </w:tcPr>
          <w:p w:rsidR="00A93043" w:rsidRPr="007B1FC5" w:rsidRDefault="00A93043" w:rsidP="00CD28D2">
            <w:pPr>
              <w:pStyle w:val="Textkomentra"/>
              <w:rPr>
                <w:rFonts w:ascii="Arial" w:hAnsi="Arial" w:cs="Arial"/>
              </w:rPr>
            </w:pPr>
            <w:r w:rsidRPr="007B1FC5">
              <w:rPr>
                <w:rFonts w:ascii="Arial" w:hAnsi="Arial" w:cs="Arial"/>
              </w:rPr>
              <w:t xml:space="preserve">(13) Poisťovacia činnosť je činnosť spočívajúca v prijímaní poistných rizík postúpených poistníkom alebo inou oprávnenou osobou poisťovni, poisťovni z iného členského štátu, zahraničnej poisťovni alebo ich pobočkám. </w:t>
            </w:r>
          </w:p>
          <w:p w:rsidR="00A93043" w:rsidRPr="007B1FC5" w:rsidRDefault="00A93043" w:rsidP="00CD28D2">
            <w:pPr>
              <w:pStyle w:val="Textkomentra"/>
              <w:rPr>
                <w:rFonts w:ascii="Arial" w:hAnsi="Arial" w:cs="Arial"/>
              </w:rPr>
            </w:pPr>
          </w:p>
        </w:tc>
        <w:tc>
          <w:tcPr>
            <w:tcW w:w="3969" w:type="dxa"/>
          </w:tcPr>
          <w:p w:rsidR="00A93043" w:rsidRPr="007B1FC5" w:rsidRDefault="00A93043" w:rsidP="00CD28D2">
            <w:pPr>
              <w:pStyle w:val="Textkomentra"/>
              <w:rPr>
                <w:rFonts w:ascii="Arial" w:hAnsi="Arial" w:cs="Arial"/>
              </w:rPr>
            </w:pPr>
            <w:r w:rsidRPr="007B1FC5">
              <w:rPr>
                <w:rFonts w:ascii="Arial" w:hAnsi="Arial" w:cs="Arial"/>
              </w:rPr>
              <w:t>Navrhujeme užšie vyšpecifikovať zadefinovanie poisťovacej činnosti.</w:t>
            </w:r>
          </w:p>
          <w:p w:rsidR="00A93043" w:rsidRPr="007B1FC5" w:rsidRDefault="00A93043" w:rsidP="00CD28D2">
            <w:pPr>
              <w:pStyle w:val="Odsekzoznamu"/>
              <w:ind w:left="0"/>
              <w:rPr>
                <w:rFonts w:ascii="Arial" w:hAnsi="Arial" w:cs="Arial"/>
                <w:bCs/>
                <w:sz w:val="20"/>
                <w:szCs w:val="20"/>
              </w:rPr>
            </w:pPr>
          </w:p>
        </w:tc>
        <w:tc>
          <w:tcPr>
            <w:tcW w:w="4961" w:type="dxa"/>
          </w:tcPr>
          <w:p w:rsidR="00A93043" w:rsidRPr="007B1FC5" w:rsidRDefault="00A93043" w:rsidP="00CD28D2">
            <w:pPr>
              <w:pStyle w:val="Textkomentra"/>
              <w:rPr>
                <w:rFonts w:ascii="Arial" w:hAnsi="Arial" w:cs="Arial"/>
              </w:rPr>
            </w:pPr>
            <w:r w:rsidRPr="007B1FC5">
              <w:rPr>
                <w:rFonts w:ascii="Arial" w:hAnsi="Arial" w:cs="Arial"/>
              </w:rPr>
              <w:t>Z definície poisťovacej činnosti vypadli dôležité činnosti</w:t>
            </w:r>
            <w:r w:rsidR="00046ED4" w:rsidRPr="007B1FC5">
              <w:rPr>
                <w:rFonts w:ascii="Arial" w:hAnsi="Arial" w:cs="Arial"/>
              </w:rPr>
              <w:t>, ktoré poisťovne vykonávajú a sú súčasťou jej poisťovacej činnosti a to</w:t>
            </w:r>
            <w:r w:rsidRPr="007B1FC5">
              <w:rPr>
                <w:rFonts w:ascii="Arial" w:hAnsi="Arial" w:cs="Arial"/>
              </w:rPr>
              <w:t xml:space="preserve"> napr.: ohodnocovanie rizík a ich riadenia, správa PZ, udržiavanie požadovanej miery solventnosti, tvorba techn</w:t>
            </w:r>
            <w:r w:rsidR="00046ED4" w:rsidRPr="007B1FC5">
              <w:rPr>
                <w:rFonts w:ascii="Arial" w:hAnsi="Arial" w:cs="Arial"/>
              </w:rPr>
              <w:t>ických</w:t>
            </w:r>
            <w:r w:rsidRPr="007B1FC5">
              <w:rPr>
                <w:rFonts w:ascii="Arial" w:hAnsi="Arial" w:cs="Arial"/>
              </w:rPr>
              <w:t xml:space="preserve"> rezerv, poskytovanie plnenia z poistných zmlúv, poskytovanie asistenčných služieb</w:t>
            </w:r>
            <w:r w:rsidR="00046ED4" w:rsidRPr="007B1FC5">
              <w:rPr>
                <w:rFonts w:ascii="Arial" w:hAnsi="Arial" w:cs="Arial"/>
              </w:rPr>
              <w:t>,  investovanie, či už v mene klienta na základe podmienok poistnej zmluvy alebo investovanie za účelom umiestňovania a zhodnocovania prostriedkov technických rezerv</w:t>
            </w:r>
            <w:r w:rsidRPr="007B1FC5">
              <w:rPr>
                <w:rFonts w:ascii="Arial" w:hAnsi="Arial" w:cs="Arial"/>
              </w:rPr>
              <w:t xml:space="preserve">. </w:t>
            </w:r>
            <w:r w:rsidR="00046ED4" w:rsidRPr="007B1FC5">
              <w:rPr>
                <w:rFonts w:ascii="Arial" w:hAnsi="Arial" w:cs="Arial"/>
              </w:rPr>
              <w:t>Keďže tieto činnosti už v novele zákona nie sú uvedené</w:t>
            </w:r>
            <w:r w:rsidR="0037356A" w:rsidRPr="007B1FC5">
              <w:rPr>
                <w:rFonts w:ascii="Arial" w:hAnsi="Arial" w:cs="Arial"/>
              </w:rPr>
              <w:t>,</w:t>
            </w:r>
            <w:r w:rsidR="00046ED4" w:rsidRPr="007B1FC5">
              <w:rPr>
                <w:rFonts w:ascii="Arial" w:hAnsi="Arial" w:cs="Arial"/>
              </w:rPr>
              <w:t xml:space="preserve"> vzniká otázka, či poisťovne budú oprávnené v súlade s týmto zákonom poskytovať napr. asistenčné služby </w:t>
            </w:r>
            <w:r w:rsidR="00F63237" w:rsidRPr="007B1FC5">
              <w:rPr>
                <w:rFonts w:ascii="Arial" w:hAnsi="Arial" w:cs="Arial"/>
              </w:rPr>
              <w:t>alebo</w:t>
            </w:r>
            <w:r w:rsidR="00046ED4" w:rsidRPr="007B1FC5">
              <w:rPr>
                <w:rFonts w:ascii="Arial" w:hAnsi="Arial" w:cs="Arial"/>
              </w:rPr>
              <w:t xml:space="preserve"> investovať v mene </w:t>
            </w:r>
            <w:r w:rsidR="00F63237" w:rsidRPr="007B1FC5">
              <w:rPr>
                <w:rFonts w:ascii="Arial" w:hAnsi="Arial" w:cs="Arial"/>
              </w:rPr>
              <w:t>klientov a pod.</w:t>
            </w:r>
            <w:r w:rsidRPr="007B1FC5">
              <w:rPr>
                <w:rFonts w:ascii="Arial" w:hAnsi="Arial" w:cs="Arial"/>
              </w:rPr>
              <w:br/>
              <w:t>Definíciu poisťovacej činnosti preto požadujeme rozšíriť tak, aby zahŕňala všetky činnosti, ktoré zvyčajne poisťovne vykonávajú v súvislosti s prijímaním poistných rizík</w:t>
            </w:r>
            <w:r w:rsidR="00046ED4" w:rsidRPr="007B1FC5">
              <w:rPr>
                <w:rFonts w:ascii="Arial" w:hAnsi="Arial" w:cs="Arial"/>
              </w:rPr>
              <w:t>.</w:t>
            </w:r>
            <w:r w:rsidRPr="007B1FC5">
              <w:rPr>
                <w:rFonts w:ascii="Arial" w:hAnsi="Arial" w:cs="Arial"/>
              </w:rPr>
              <w:t xml:space="preserve"> </w:t>
            </w:r>
            <w:r w:rsidR="00B64D8C" w:rsidRPr="007B1FC5">
              <w:rPr>
                <w:rFonts w:ascii="Arial" w:hAnsi="Arial" w:cs="Arial"/>
              </w:rPr>
              <w:br/>
            </w:r>
          </w:p>
        </w:tc>
        <w:tc>
          <w:tcPr>
            <w:tcW w:w="1701" w:type="dxa"/>
          </w:tcPr>
          <w:p w:rsidR="00A93043" w:rsidRPr="007B1FC5" w:rsidRDefault="00A93043" w:rsidP="00CD28D2">
            <w:pPr>
              <w:pStyle w:val="Odsekzoznamu"/>
              <w:ind w:left="0"/>
              <w:rPr>
                <w:rFonts w:ascii="Arial" w:hAnsi="Arial" w:cs="Arial"/>
                <w:bCs/>
                <w:sz w:val="20"/>
                <w:szCs w:val="20"/>
              </w:rPr>
            </w:pPr>
          </w:p>
        </w:tc>
      </w:tr>
      <w:tr w:rsidR="0086240A" w:rsidRPr="007B1FC5" w:rsidTr="00450A99">
        <w:trPr>
          <w:cantSplit/>
          <w:trHeight w:val="340"/>
        </w:trPr>
        <w:tc>
          <w:tcPr>
            <w:tcW w:w="1668" w:type="dxa"/>
          </w:tcPr>
          <w:p w:rsidR="0086240A" w:rsidRPr="007B1FC5" w:rsidRDefault="000961D6" w:rsidP="000961D6">
            <w:pPr>
              <w:pStyle w:val="Odsekzoznamu"/>
              <w:ind w:left="0"/>
              <w:rPr>
                <w:rFonts w:ascii="Arial" w:hAnsi="Arial" w:cs="Arial"/>
                <w:b/>
                <w:bCs/>
                <w:sz w:val="20"/>
                <w:szCs w:val="20"/>
              </w:rPr>
            </w:pPr>
            <w:r w:rsidRPr="007B1FC5">
              <w:rPr>
                <w:rFonts w:ascii="Arial" w:hAnsi="Arial" w:cs="Arial"/>
                <w:b/>
                <w:bCs/>
                <w:sz w:val="20"/>
                <w:szCs w:val="20"/>
              </w:rPr>
              <w:t>§ 8 ods. 4</w:t>
            </w:r>
          </w:p>
        </w:tc>
        <w:tc>
          <w:tcPr>
            <w:tcW w:w="3827" w:type="dxa"/>
          </w:tcPr>
          <w:p w:rsidR="00A249D0" w:rsidRPr="007B1FC5" w:rsidRDefault="00A249D0" w:rsidP="00A249D0">
            <w:pPr>
              <w:spacing w:after="0" w:line="240" w:lineRule="auto"/>
              <w:jc w:val="both"/>
              <w:rPr>
                <w:rFonts w:ascii="Arial" w:hAnsi="Arial" w:cs="Arial"/>
                <w:sz w:val="20"/>
                <w:szCs w:val="20"/>
              </w:rPr>
            </w:pPr>
            <w:r w:rsidRPr="007B1FC5">
              <w:rPr>
                <w:rFonts w:ascii="Arial" w:hAnsi="Arial" w:cs="Arial"/>
                <w:sz w:val="20"/>
                <w:szCs w:val="20"/>
              </w:rPr>
              <w:t>(4) Zahraničná zaisťovňa môže vykonávať zaisťovaciu činnosť na území Slovenskej republiky len prostredníctvom svojej pobočky a len ak jej bolo udelené povolenie na vykonávanie zaisťovacej činnosti podľa § 11 ods. 1; to nebráni, aby zahraničná zaisťovňa, ktorá nemá zriadenú pobočku, preberala poistné riziká na základe uzatvorenej zaistnej zmluvy, ak sídlo zaisťovne je v inom ako členskom štáte, ktorého režim solventnosti bol uznaný za rovnocenný podľa § 67.</w:t>
            </w:r>
          </w:p>
          <w:p w:rsidR="0086240A" w:rsidRPr="007B1FC5" w:rsidRDefault="0086240A" w:rsidP="00CD28D2">
            <w:pPr>
              <w:pStyle w:val="Odsekzoznamu"/>
              <w:ind w:left="0"/>
              <w:rPr>
                <w:rFonts w:ascii="Arial" w:hAnsi="Arial" w:cs="Arial"/>
                <w:bCs/>
                <w:sz w:val="20"/>
                <w:szCs w:val="20"/>
                <w:lang w:eastAsia="sk-SK" w:bidi="ar-SA"/>
              </w:rPr>
            </w:pPr>
          </w:p>
        </w:tc>
        <w:tc>
          <w:tcPr>
            <w:tcW w:w="3969" w:type="dxa"/>
          </w:tcPr>
          <w:p w:rsidR="00A249D0" w:rsidRPr="007B1FC5" w:rsidRDefault="00A249D0" w:rsidP="00A249D0">
            <w:pPr>
              <w:spacing w:after="0" w:line="240" w:lineRule="auto"/>
              <w:jc w:val="both"/>
              <w:rPr>
                <w:rFonts w:ascii="Arial" w:hAnsi="Arial" w:cs="Arial"/>
                <w:sz w:val="20"/>
                <w:szCs w:val="20"/>
              </w:rPr>
            </w:pPr>
            <w:r w:rsidRPr="007B1FC5">
              <w:rPr>
                <w:rFonts w:ascii="Arial" w:hAnsi="Arial" w:cs="Arial"/>
                <w:sz w:val="20"/>
                <w:szCs w:val="20"/>
              </w:rPr>
              <w:t xml:space="preserve">(4) Zahraničná zaisťovňa môže vykonávať zaisťovaciu činnosť na území Slovenskej republiky len prostredníctvom svojej pobočky a len ak jej bolo udelené povolenie na vykonávanie zaisťovacej činnosti podľa § 11 ods. 1; to nebráni, aby zahraničná zaisťovňa, ktorá nemá zriadenú pobočku, preberala poistné riziká na základe uzatvorenej zaistnej zmluvy, ak </w:t>
            </w:r>
            <w:r w:rsidR="00F65E23" w:rsidRPr="007B1FC5">
              <w:rPr>
                <w:rFonts w:ascii="Arial" w:hAnsi="Arial" w:cs="Arial"/>
                <w:sz w:val="20"/>
                <w:szCs w:val="20"/>
              </w:rPr>
              <w:t>sa poisťovňa alebo pobočka zahraničnej poisťovne rozhodne s takouto zaisťovňou uzatvoriť zaistnú zmluvu</w:t>
            </w:r>
            <w:r w:rsidRPr="007B1FC5">
              <w:rPr>
                <w:rFonts w:ascii="Arial" w:hAnsi="Arial" w:cs="Arial"/>
                <w:sz w:val="20"/>
                <w:szCs w:val="20"/>
              </w:rPr>
              <w:t>.</w:t>
            </w:r>
          </w:p>
          <w:p w:rsidR="0086240A" w:rsidRPr="007B1FC5" w:rsidRDefault="0086240A" w:rsidP="00CD28D2">
            <w:pPr>
              <w:rPr>
                <w:rFonts w:ascii="Arial" w:hAnsi="Arial" w:cs="Arial"/>
                <w:bCs/>
                <w:sz w:val="20"/>
                <w:szCs w:val="20"/>
              </w:rPr>
            </w:pPr>
          </w:p>
        </w:tc>
        <w:tc>
          <w:tcPr>
            <w:tcW w:w="4961" w:type="dxa"/>
          </w:tcPr>
          <w:p w:rsidR="0086240A" w:rsidRPr="007B1FC5" w:rsidRDefault="000961D6" w:rsidP="00A249D0">
            <w:pPr>
              <w:pStyle w:val="Odsekzoznamu"/>
              <w:ind w:left="0"/>
              <w:rPr>
                <w:rFonts w:ascii="Arial" w:hAnsi="Arial" w:cs="Arial"/>
                <w:bCs/>
                <w:sz w:val="20"/>
                <w:szCs w:val="20"/>
              </w:rPr>
            </w:pPr>
            <w:r w:rsidRPr="007B1FC5">
              <w:rPr>
                <w:rFonts w:ascii="Arial" w:hAnsi="Arial" w:cs="Arial"/>
                <w:sz w:val="20"/>
                <w:szCs w:val="20"/>
                <w:lang w:eastAsia="sk-SK"/>
              </w:rPr>
              <w:t xml:space="preserve">Ods. 4 navrhujeme </w:t>
            </w:r>
            <w:r w:rsidR="00A249D0" w:rsidRPr="007B1FC5">
              <w:rPr>
                <w:rFonts w:ascii="Arial" w:hAnsi="Arial" w:cs="Arial"/>
                <w:sz w:val="20"/>
                <w:szCs w:val="20"/>
                <w:lang w:eastAsia="sk-SK"/>
              </w:rPr>
              <w:t>upraviť</w:t>
            </w:r>
            <w:r w:rsidRPr="007B1FC5">
              <w:rPr>
                <w:rFonts w:ascii="Arial" w:hAnsi="Arial" w:cs="Arial"/>
                <w:sz w:val="20"/>
                <w:szCs w:val="20"/>
                <w:lang w:eastAsia="sk-SK"/>
              </w:rPr>
              <w:t xml:space="preserve">, a to aj napriek </w:t>
            </w:r>
            <w:r w:rsidR="00F65E23" w:rsidRPr="007B1FC5">
              <w:rPr>
                <w:rFonts w:ascii="Arial" w:hAnsi="Arial" w:cs="Arial"/>
                <w:sz w:val="20"/>
                <w:szCs w:val="20"/>
                <w:lang w:eastAsia="sk-SK"/>
              </w:rPr>
              <w:t xml:space="preserve">navrhovanej </w:t>
            </w:r>
            <w:r w:rsidRPr="007B1FC5">
              <w:rPr>
                <w:rFonts w:ascii="Arial" w:hAnsi="Arial" w:cs="Arial"/>
                <w:sz w:val="20"/>
                <w:szCs w:val="20"/>
                <w:lang w:eastAsia="sk-SK"/>
              </w:rPr>
              <w:t xml:space="preserve">možnosti aplikácie § 67. </w:t>
            </w:r>
            <w:r w:rsidR="00A249D0" w:rsidRPr="007B1FC5">
              <w:rPr>
                <w:rFonts w:ascii="Arial" w:hAnsi="Arial" w:cs="Arial"/>
                <w:sz w:val="20"/>
                <w:szCs w:val="20"/>
                <w:lang w:eastAsia="sk-SK"/>
              </w:rPr>
              <w:t>Pôvodné znenie považujeme</w:t>
            </w:r>
            <w:r w:rsidRPr="007B1FC5">
              <w:rPr>
                <w:rFonts w:ascii="Arial" w:hAnsi="Arial" w:cs="Arial"/>
                <w:sz w:val="20"/>
                <w:szCs w:val="20"/>
                <w:lang w:eastAsia="sk-SK"/>
              </w:rPr>
              <w:t xml:space="preserve"> za nadbytočnú administratívnu záťaž a prekážku obchodu. Rozumieme námietke, že zaisťovatelia mimo EU nepodliehajú EU dozoru/regulácii, každopádne poisťovne majú povinnosť eliminovať riziko protistrany zaisťovaním u bezpečných zaisťovateľov, resp. podriaďovať sa  existujúcim </w:t>
            </w:r>
            <w:proofErr w:type="spellStart"/>
            <w:r w:rsidRPr="007B1FC5">
              <w:rPr>
                <w:rFonts w:ascii="Arial" w:hAnsi="Arial" w:cs="Arial"/>
                <w:sz w:val="20"/>
                <w:szCs w:val="20"/>
                <w:lang w:eastAsia="sk-SK"/>
              </w:rPr>
              <w:t>security</w:t>
            </w:r>
            <w:proofErr w:type="spellEnd"/>
            <w:r w:rsidRPr="007B1FC5">
              <w:rPr>
                <w:rFonts w:ascii="Arial" w:hAnsi="Arial" w:cs="Arial"/>
                <w:sz w:val="20"/>
                <w:szCs w:val="20"/>
                <w:lang w:eastAsia="sk-SK"/>
              </w:rPr>
              <w:t xml:space="preserve"> listom, </w:t>
            </w:r>
            <w:proofErr w:type="spellStart"/>
            <w:r w:rsidRPr="007B1FC5">
              <w:rPr>
                <w:rFonts w:ascii="Arial" w:hAnsi="Arial" w:cs="Arial"/>
                <w:sz w:val="20"/>
                <w:szCs w:val="20"/>
                <w:lang w:eastAsia="sk-SK"/>
              </w:rPr>
              <w:t>raiting</w:t>
            </w:r>
            <w:proofErr w:type="spellEnd"/>
            <w:r w:rsidRPr="007B1FC5">
              <w:rPr>
                <w:rFonts w:ascii="Arial" w:hAnsi="Arial" w:cs="Arial"/>
                <w:sz w:val="20"/>
                <w:szCs w:val="20"/>
                <w:lang w:eastAsia="sk-SK"/>
              </w:rPr>
              <w:t xml:space="preserve"> zaisťovateľov je zohľadnený v internom modely poisťovne.</w:t>
            </w:r>
          </w:p>
        </w:tc>
        <w:tc>
          <w:tcPr>
            <w:tcW w:w="1701" w:type="dxa"/>
          </w:tcPr>
          <w:p w:rsidR="0086240A" w:rsidRPr="007B1FC5" w:rsidRDefault="0086240A" w:rsidP="00CD28D2">
            <w:pPr>
              <w:pStyle w:val="Odsekzoznamu"/>
              <w:ind w:left="0"/>
              <w:rPr>
                <w:rFonts w:ascii="Arial" w:hAnsi="Arial" w:cs="Arial"/>
                <w:bCs/>
                <w:sz w:val="20"/>
                <w:szCs w:val="20"/>
              </w:rPr>
            </w:pPr>
          </w:p>
        </w:tc>
      </w:tr>
      <w:tr w:rsidR="0015144A" w:rsidRPr="007B1FC5" w:rsidTr="00450A99">
        <w:trPr>
          <w:cantSplit/>
          <w:trHeight w:val="340"/>
        </w:trPr>
        <w:tc>
          <w:tcPr>
            <w:tcW w:w="1668" w:type="dxa"/>
          </w:tcPr>
          <w:p w:rsidR="0015144A" w:rsidRPr="007B1FC5" w:rsidRDefault="0015144A" w:rsidP="000961D6">
            <w:pPr>
              <w:pStyle w:val="Odsekzoznamu"/>
              <w:ind w:left="0"/>
              <w:rPr>
                <w:rFonts w:ascii="Arial" w:hAnsi="Arial" w:cs="Arial"/>
                <w:b/>
                <w:bCs/>
                <w:sz w:val="20"/>
                <w:szCs w:val="20"/>
              </w:rPr>
            </w:pPr>
            <w:r w:rsidRPr="007B1FC5">
              <w:rPr>
                <w:rFonts w:ascii="Arial" w:hAnsi="Arial" w:cs="Arial"/>
                <w:b/>
                <w:bCs/>
                <w:sz w:val="20"/>
                <w:szCs w:val="20"/>
              </w:rPr>
              <w:lastRenderedPageBreak/>
              <w:t>§ 12 ods. 5</w:t>
            </w:r>
          </w:p>
        </w:tc>
        <w:tc>
          <w:tcPr>
            <w:tcW w:w="3827" w:type="dxa"/>
          </w:tcPr>
          <w:p w:rsidR="00865C03" w:rsidRPr="007B1FC5" w:rsidRDefault="00865C03" w:rsidP="00865C03">
            <w:pPr>
              <w:spacing w:after="0" w:line="240" w:lineRule="auto"/>
              <w:ind w:firstLine="708"/>
              <w:jc w:val="both"/>
              <w:rPr>
                <w:rFonts w:ascii="Arial" w:hAnsi="Arial" w:cs="Arial"/>
                <w:sz w:val="20"/>
                <w:szCs w:val="20"/>
              </w:rPr>
            </w:pPr>
            <w:r w:rsidRPr="007B1FC5">
              <w:rPr>
                <w:rFonts w:ascii="Arial" w:hAnsi="Arial" w:cs="Arial"/>
                <w:sz w:val="20"/>
                <w:szCs w:val="20"/>
              </w:rPr>
              <w:t>(5) Poisťovňa alebo zahraničná poisťovňa alebo zaisťovňa alebo zahraničná zaisťovňa je povinná podať príslušnému súdu návrh na zápis poisťovne alebo zaisťovne do obchodného registra na základe povolenia na vykonávanie poisťovacej činnosti alebo povolenia na vykonávanie zaisťovacej činnosti alebo jeho zmeny do 30 dní odo dňa, keď toto povolenie alebo jeho zmena nadobudla právoplatnosť, a predložiť Národnej banke Slovenska výpis z obchodného registra do desiatich dní odo dňa nadobudnutia právoplatnosti rozhodnutia súdu o vykonaní zápisu do obchodného registra alebo zmeny zápisu v obchodnom registri.</w:t>
            </w:r>
          </w:p>
          <w:p w:rsidR="0015144A" w:rsidRPr="007B1FC5" w:rsidRDefault="0015144A" w:rsidP="00A249D0">
            <w:pPr>
              <w:spacing w:after="0" w:line="240" w:lineRule="auto"/>
              <w:jc w:val="both"/>
              <w:rPr>
                <w:rFonts w:ascii="Arial" w:hAnsi="Arial" w:cs="Arial"/>
                <w:sz w:val="20"/>
                <w:szCs w:val="20"/>
              </w:rPr>
            </w:pPr>
          </w:p>
        </w:tc>
        <w:tc>
          <w:tcPr>
            <w:tcW w:w="3969" w:type="dxa"/>
          </w:tcPr>
          <w:p w:rsidR="00865C03" w:rsidRPr="007B1FC5" w:rsidRDefault="00865C03" w:rsidP="00865C03">
            <w:pPr>
              <w:spacing w:after="0" w:line="240" w:lineRule="auto"/>
              <w:ind w:firstLine="708"/>
              <w:jc w:val="both"/>
              <w:rPr>
                <w:rFonts w:ascii="Arial" w:hAnsi="Arial" w:cs="Arial"/>
                <w:sz w:val="20"/>
                <w:szCs w:val="20"/>
              </w:rPr>
            </w:pPr>
            <w:r w:rsidRPr="007B1FC5">
              <w:rPr>
                <w:rFonts w:ascii="Arial" w:hAnsi="Arial" w:cs="Arial"/>
                <w:sz w:val="20"/>
                <w:szCs w:val="20"/>
              </w:rPr>
              <w:t>(5) Poisťovňa alebo zahraničná poisťovňa alebo zaisťovňa alebo zahraničná zaisťovňa je povinná podať príslušnému súdu návrh na zápis poisťovne alebo zaisťovne do obchodného registra na základe povolenia na vykonávanie poisťovacej činnosti alebo povolenia na vykonávanie zaisťovacej činnosti do 30 dní odo dňa, keď toto povolenie alebo jeho zmena nadobudla právoplatnosť, a predložiť Národnej banke Slovenska výpis z obchodného registra do desiatich dní odo dňa nadobudnutia právoplatnosti rozhodnutia súdu o vykonaní zápisu do obchodného registra alebo zmeny zápisu v obchodnom registri.</w:t>
            </w:r>
          </w:p>
          <w:p w:rsidR="0015144A" w:rsidRPr="007B1FC5" w:rsidRDefault="0015144A" w:rsidP="00A249D0">
            <w:pPr>
              <w:spacing w:after="0" w:line="240" w:lineRule="auto"/>
              <w:jc w:val="both"/>
              <w:rPr>
                <w:rFonts w:ascii="Arial" w:hAnsi="Arial" w:cs="Arial"/>
                <w:sz w:val="20"/>
                <w:szCs w:val="20"/>
              </w:rPr>
            </w:pPr>
          </w:p>
        </w:tc>
        <w:tc>
          <w:tcPr>
            <w:tcW w:w="4961" w:type="dxa"/>
          </w:tcPr>
          <w:p w:rsidR="0015144A" w:rsidRPr="007B1FC5" w:rsidRDefault="00865C03" w:rsidP="00865C03">
            <w:pPr>
              <w:pStyle w:val="Odsekzoznamu"/>
              <w:ind w:left="0"/>
              <w:rPr>
                <w:rFonts w:ascii="Arial" w:hAnsi="Arial" w:cs="Arial"/>
                <w:sz w:val="20"/>
                <w:szCs w:val="20"/>
                <w:lang w:eastAsia="sk-SK"/>
              </w:rPr>
            </w:pPr>
            <w:r w:rsidRPr="007B1FC5">
              <w:rPr>
                <w:rFonts w:ascii="Arial" w:hAnsi="Arial" w:cs="Arial"/>
                <w:sz w:val="20"/>
                <w:szCs w:val="20"/>
                <w:lang w:eastAsia="sk-SK"/>
              </w:rPr>
              <w:t>Navrhujeme vypustiť slová „alebo jeho zmeny“, nakoľko na základe zmeny povolenia sa poisťovňa, resp. zaisťovňa nezapisuje. Ak by malo dané ustanovenie platiť aj pre zmenu, je ho potrebné preformulovať. Lehota 30 dní sa v takomto prípade nedá v praxi dodržať – zmena povolenia si vyžaduje aj zmenu stanov, ktoré sa v prípade akciových spoločností nedá včas zorganizovať. Minimálne je potrebné lehotu predĺžiť na 60 dní.</w:t>
            </w:r>
          </w:p>
          <w:p w:rsidR="00037433" w:rsidRPr="007B1FC5" w:rsidRDefault="00037433" w:rsidP="00865C03">
            <w:pPr>
              <w:pStyle w:val="Odsekzoznamu"/>
              <w:ind w:left="0"/>
              <w:rPr>
                <w:rFonts w:ascii="Arial" w:hAnsi="Arial" w:cs="Arial"/>
                <w:sz w:val="20"/>
                <w:szCs w:val="20"/>
                <w:lang w:eastAsia="sk-SK"/>
              </w:rPr>
            </w:pPr>
          </w:p>
          <w:p w:rsidR="00037433" w:rsidRPr="007B1FC5" w:rsidRDefault="00037433" w:rsidP="00865C03">
            <w:pPr>
              <w:pStyle w:val="Odsekzoznamu"/>
              <w:ind w:left="0"/>
              <w:rPr>
                <w:rFonts w:ascii="Arial" w:hAnsi="Arial" w:cs="Arial"/>
                <w:sz w:val="20"/>
                <w:szCs w:val="20"/>
                <w:lang w:eastAsia="sk-SK"/>
              </w:rPr>
            </w:pPr>
            <w:r w:rsidRPr="007B1FC5">
              <w:rPr>
                <w:rFonts w:ascii="Arial" w:hAnsi="Arial" w:cs="Arial"/>
                <w:sz w:val="20"/>
                <w:szCs w:val="20"/>
                <w:lang w:eastAsia="sk-SK"/>
              </w:rPr>
              <w:t>Navrhované úprava vychádza aj zo znenia § 160 ods. 1 písm. d), podľa ktorého na nepodanie návrhu na zápis nadväzuje zánik povolenia na vykonávanie poisťovacej, resp. zaisťovacej činnosti.</w:t>
            </w:r>
          </w:p>
        </w:tc>
        <w:tc>
          <w:tcPr>
            <w:tcW w:w="1701" w:type="dxa"/>
          </w:tcPr>
          <w:p w:rsidR="0015144A" w:rsidRPr="007B1FC5" w:rsidRDefault="0015144A" w:rsidP="00CD28D2">
            <w:pPr>
              <w:pStyle w:val="Odsekzoznamu"/>
              <w:ind w:left="0"/>
              <w:rPr>
                <w:rFonts w:ascii="Arial" w:hAnsi="Arial" w:cs="Arial"/>
                <w:bCs/>
                <w:sz w:val="20"/>
                <w:szCs w:val="20"/>
              </w:rPr>
            </w:pPr>
          </w:p>
        </w:tc>
      </w:tr>
      <w:tr w:rsidR="00865C03" w:rsidRPr="007B1FC5" w:rsidTr="00450A99">
        <w:trPr>
          <w:cantSplit/>
          <w:trHeight w:val="340"/>
        </w:trPr>
        <w:tc>
          <w:tcPr>
            <w:tcW w:w="1668" w:type="dxa"/>
          </w:tcPr>
          <w:p w:rsidR="00865C03" w:rsidRPr="007B1FC5" w:rsidRDefault="00865C03" w:rsidP="00CD28D2">
            <w:pPr>
              <w:pStyle w:val="Odsekzoznamu"/>
              <w:ind w:left="0"/>
              <w:rPr>
                <w:rFonts w:ascii="Arial" w:hAnsi="Arial" w:cs="Arial"/>
                <w:b/>
                <w:bCs/>
                <w:sz w:val="20"/>
                <w:szCs w:val="20"/>
              </w:rPr>
            </w:pPr>
            <w:r w:rsidRPr="007B1FC5">
              <w:rPr>
                <w:rFonts w:ascii="Arial" w:hAnsi="Arial" w:cs="Arial"/>
                <w:b/>
                <w:bCs/>
                <w:sz w:val="20"/>
                <w:szCs w:val="20"/>
              </w:rPr>
              <w:t>§ 24 ods. 5</w:t>
            </w:r>
          </w:p>
        </w:tc>
        <w:tc>
          <w:tcPr>
            <w:tcW w:w="3827" w:type="dxa"/>
          </w:tcPr>
          <w:p w:rsidR="00865C03" w:rsidRPr="007B1FC5" w:rsidRDefault="00865C03" w:rsidP="00CD28D2">
            <w:pPr>
              <w:pStyle w:val="Odsekzoznamu"/>
              <w:ind w:left="0"/>
              <w:rPr>
                <w:rFonts w:ascii="Arial" w:hAnsi="Arial" w:cs="Arial"/>
                <w:bCs/>
                <w:sz w:val="20"/>
                <w:szCs w:val="20"/>
                <w:lang w:eastAsia="sk-SK" w:bidi="ar-SA"/>
              </w:rPr>
            </w:pPr>
          </w:p>
        </w:tc>
        <w:tc>
          <w:tcPr>
            <w:tcW w:w="3969" w:type="dxa"/>
          </w:tcPr>
          <w:p w:rsidR="00865C03" w:rsidRPr="007B1FC5" w:rsidRDefault="00865C03" w:rsidP="00CD28D2">
            <w:pPr>
              <w:rPr>
                <w:rFonts w:ascii="Arial" w:hAnsi="Arial" w:cs="Arial"/>
                <w:bCs/>
                <w:sz w:val="20"/>
                <w:szCs w:val="20"/>
              </w:rPr>
            </w:pPr>
          </w:p>
        </w:tc>
        <w:tc>
          <w:tcPr>
            <w:tcW w:w="4961" w:type="dxa"/>
          </w:tcPr>
          <w:p w:rsidR="00865C03" w:rsidRPr="007B1FC5" w:rsidRDefault="00302984" w:rsidP="00302984">
            <w:pPr>
              <w:pStyle w:val="Odsekzoznamu"/>
              <w:ind w:left="0"/>
              <w:rPr>
                <w:rFonts w:ascii="Arial" w:hAnsi="Arial" w:cs="Arial"/>
                <w:bCs/>
                <w:sz w:val="20"/>
                <w:szCs w:val="20"/>
              </w:rPr>
            </w:pPr>
            <w:r w:rsidRPr="007B1FC5">
              <w:rPr>
                <w:rFonts w:ascii="Arial" w:hAnsi="Arial" w:cs="Arial"/>
                <w:bCs/>
                <w:sz w:val="20"/>
                <w:szCs w:val="20"/>
              </w:rPr>
              <w:t>Nie je jasné</w:t>
            </w:r>
            <w:r w:rsidR="00865C03" w:rsidRPr="007B1FC5">
              <w:rPr>
                <w:rFonts w:ascii="Arial" w:hAnsi="Arial" w:cs="Arial"/>
                <w:bCs/>
                <w:sz w:val="20"/>
                <w:szCs w:val="20"/>
              </w:rPr>
              <w:t>,</w:t>
            </w:r>
            <w:r w:rsidRPr="007B1FC5">
              <w:rPr>
                <w:rFonts w:ascii="Arial" w:hAnsi="Arial" w:cs="Arial"/>
                <w:bCs/>
                <w:sz w:val="20"/>
                <w:szCs w:val="20"/>
              </w:rPr>
              <w:t xml:space="preserve"> či sa ustanovenie odvoláva na</w:t>
            </w:r>
            <w:r w:rsidR="00865C03" w:rsidRPr="007B1FC5">
              <w:rPr>
                <w:rFonts w:ascii="Arial" w:hAnsi="Arial" w:cs="Arial"/>
                <w:bCs/>
                <w:sz w:val="20"/>
                <w:szCs w:val="20"/>
              </w:rPr>
              <w:t xml:space="preserve"> </w:t>
            </w:r>
            <w:r w:rsidRPr="007B1FC5">
              <w:rPr>
                <w:rFonts w:ascii="Arial" w:hAnsi="Arial" w:cs="Arial"/>
                <w:bCs/>
                <w:sz w:val="20"/>
                <w:szCs w:val="20"/>
              </w:rPr>
              <w:t>osobu</w:t>
            </w:r>
            <w:r w:rsidR="00865C03" w:rsidRPr="007B1FC5">
              <w:rPr>
                <w:rFonts w:ascii="Arial" w:hAnsi="Arial" w:cs="Arial"/>
                <w:bCs/>
                <w:sz w:val="20"/>
                <w:szCs w:val="20"/>
              </w:rPr>
              <w:t xml:space="preserve"> v písm. b)</w:t>
            </w:r>
            <w:r w:rsidRPr="007B1FC5">
              <w:rPr>
                <w:rFonts w:ascii="Arial" w:hAnsi="Arial" w:cs="Arial"/>
                <w:bCs/>
                <w:sz w:val="20"/>
                <w:szCs w:val="20"/>
              </w:rPr>
              <w:t>, ktorá</w:t>
            </w:r>
            <w:r w:rsidR="00865C03" w:rsidRPr="007B1FC5">
              <w:rPr>
                <w:rFonts w:ascii="Arial" w:hAnsi="Arial" w:cs="Arial"/>
                <w:bCs/>
                <w:sz w:val="20"/>
                <w:szCs w:val="20"/>
              </w:rPr>
              <w:t xml:space="preserve"> je dôveryhodná nakoľko nebola </w:t>
            </w:r>
            <w:r w:rsidR="00D1014F" w:rsidRPr="007B1FC5">
              <w:rPr>
                <w:rFonts w:ascii="Arial" w:hAnsi="Arial" w:cs="Arial"/>
                <w:bCs/>
                <w:sz w:val="20"/>
                <w:szCs w:val="20"/>
              </w:rPr>
              <w:t>členom tam menovaných orgánov</w:t>
            </w:r>
            <w:r w:rsidRPr="007B1FC5">
              <w:rPr>
                <w:rFonts w:ascii="Arial" w:hAnsi="Arial" w:cs="Arial"/>
                <w:bCs/>
                <w:sz w:val="20"/>
                <w:szCs w:val="20"/>
              </w:rPr>
              <w:t xml:space="preserve"> a </w:t>
            </w:r>
            <w:r w:rsidR="00D1014F" w:rsidRPr="007B1FC5">
              <w:rPr>
                <w:rFonts w:ascii="Arial" w:hAnsi="Arial" w:cs="Arial"/>
                <w:bCs/>
                <w:sz w:val="20"/>
                <w:szCs w:val="20"/>
              </w:rPr>
              <w:t>uznanie</w:t>
            </w:r>
            <w:r w:rsidRPr="007B1FC5">
              <w:rPr>
                <w:rFonts w:ascii="Arial" w:hAnsi="Arial" w:cs="Arial"/>
                <w:bCs/>
                <w:sz w:val="20"/>
                <w:szCs w:val="20"/>
              </w:rPr>
              <w:t xml:space="preserve"> platí</w:t>
            </w:r>
            <w:r w:rsidR="00D1014F" w:rsidRPr="007B1FC5">
              <w:rPr>
                <w:rFonts w:ascii="Arial" w:hAnsi="Arial" w:cs="Arial"/>
                <w:bCs/>
                <w:sz w:val="20"/>
                <w:szCs w:val="20"/>
              </w:rPr>
              <w:t xml:space="preserve"> pre prípad, že nespln</w:t>
            </w:r>
            <w:r w:rsidRPr="007B1FC5">
              <w:rPr>
                <w:rFonts w:ascii="Arial" w:hAnsi="Arial" w:cs="Arial"/>
                <w:bCs/>
                <w:sz w:val="20"/>
                <w:szCs w:val="20"/>
              </w:rPr>
              <w:t>í ďalšie podmienky podľa ods. 4. Navrhujeme formulovať jasnejšie podľa</w:t>
            </w:r>
            <w:r w:rsidR="00865C03" w:rsidRPr="007B1FC5">
              <w:rPr>
                <w:rFonts w:ascii="Arial" w:hAnsi="Arial" w:cs="Arial"/>
                <w:bCs/>
                <w:sz w:val="20"/>
                <w:szCs w:val="20"/>
              </w:rPr>
              <w:t xml:space="preserve"> </w:t>
            </w:r>
            <w:r w:rsidRPr="007B1FC5">
              <w:rPr>
                <w:rFonts w:ascii="Arial" w:hAnsi="Arial" w:cs="Arial"/>
                <w:bCs/>
                <w:sz w:val="20"/>
                <w:szCs w:val="20"/>
              </w:rPr>
              <w:t xml:space="preserve"> zámeru navrhovateľa.</w:t>
            </w:r>
          </w:p>
        </w:tc>
        <w:tc>
          <w:tcPr>
            <w:tcW w:w="1701" w:type="dxa"/>
          </w:tcPr>
          <w:p w:rsidR="00865C03" w:rsidRPr="007B1FC5" w:rsidRDefault="00865C03" w:rsidP="00CD28D2">
            <w:pPr>
              <w:pStyle w:val="Odsekzoznamu"/>
              <w:ind w:left="0"/>
              <w:rPr>
                <w:rFonts w:ascii="Arial" w:hAnsi="Arial" w:cs="Arial"/>
                <w:bCs/>
                <w:sz w:val="20"/>
                <w:szCs w:val="20"/>
              </w:rPr>
            </w:pPr>
          </w:p>
        </w:tc>
      </w:tr>
      <w:tr w:rsidR="0005191C" w:rsidRPr="007B1FC5" w:rsidTr="00450A99">
        <w:trPr>
          <w:cantSplit/>
          <w:trHeight w:val="340"/>
        </w:trPr>
        <w:tc>
          <w:tcPr>
            <w:tcW w:w="1668" w:type="dxa"/>
          </w:tcPr>
          <w:p w:rsidR="0005191C" w:rsidRPr="007B1FC5" w:rsidRDefault="0005191C" w:rsidP="00CD28D2">
            <w:pPr>
              <w:pStyle w:val="Odsekzoznamu"/>
              <w:ind w:left="0"/>
              <w:rPr>
                <w:rFonts w:ascii="Arial" w:hAnsi="Arial" w:cs="Arial"/>
                <w:b/>
                <w:bCs/>
                <w:sz w:val="20"/>
                <w:szCs w:val="20"/>
              </w:rPr>
            </w:pPr>
            <w:r>
              <w:rPr>
                <w:rFonts w:ascii="Arial" w:hAnsi="Arial" w:cs="Arial"/>
                <w:b/>
                <w:bCs/>
                <w:sz w:val="20"/>
                <w:szCs w:val="20"/>
              </w:rPr>
              <w:t>§70</w:t>
            </w:r>
            <w:r w:rsidR="000A18FA">
              <w:rPr>
                <w:rFonts w:ascii="Arial" w:hAnsi="Arial" w:cs="Arial"/>
                <w:b/>
                <w:bCs/>
                <w:sz w:val="20"/>
                <w:szCs w:val="20"/>
              </w:rPr>
              <w:t xml:space="preserve"> ods. 5</w:t>
            </w:r>
          </w:p>
        </w:tc>
        <w:tc>
          <w:tcPr>
            <w:tcW w:w="3827" w:type="dxa"/>
          </w:tcPr>
          <w:p w:rsidR="0005191C" w:rsidRPr="007B1FC5" w:rsidRDefault="0005191C" w:rsidP="00CD28D2">
            <w:pPr>
              <w:pStyle w:val="Odsekzoznamu"/>
              <w:ind w:left="0"/>
              <w:rPr>
                <w:rFonts w:ascii="Arial" w:hAnsi="Arial" w:cs="Arial"/>
                <w:bCs/>
                <w:sz w:val="20"/>
                <w:szCs w:val="20"/>
                <w:lang w:eastAsia="sk-SK" w:bidi="ar-SA"/>
              </w:rPr>
            </w:pPr>
          </w:p>
        </w:tc>
        <w:tc>
          <w:tcPr>
            <w:tcW w:w="3969" w:type="dxa"/>
          </w:tcPr>
          <w:p w:rsidR="0005191C" w:rsidRPr="007B1FC5" w:rsidRDefault="0005191C" w:rsidP="00CD28D2">
            <w:pPr>
              <w:rPr>
                <w:rFonts w:ascii="Arial" w:hAnsi="Arial" w:cs="Arial"/>
                <w:bCs/>
                <w:sz w:val="20"/>
                <w:szCs w:val="20"/>
              </w:rPr>
            </w:pPr>
          </w:p>
        </w:tc>
        <w:tc>
          <w:tcPr>
            <w:tcW w:w="4961" w:type="dxa"/>
          </w:tcPr>
          <w:p w:rsidR="0005191C" w:rsidRPr="007B1FC5" w:rsidRDefault="000A18FA" w:rsidP="00057720">
            <w:pPr>
              <w:pStyle w:val="Odsekzoznamu"/>
              <w:ind w:left="0"/>
              <w:rPr>
                <w:rFonts w:ascii="Arial" w:hAnsi="Arial" w:cs="Arial"/>
                <w:bCs/>
                <w:sz w:val="20"/>
                <w:szCs w:val="20"/>
              </w:rPr>
            </w:pPr>
            <w:r>
              <w:rPr>
                <w:rFonts w:ascii="Arial" w:hAnsi="Arial" w:cs="Arial"/>
                <w:bCs/>
                <w:sz w:val="20"/>
                <w:szCs w:val="20"/>
              </w:rPr>
              <w:t>Nie je zrejmé, aké postavenie majú mať osoby, ktoré skutočne riadia poisťovňu (uvedené napr. v § 24 ods. 1). Je otázne, prečo v tomto ustanovení nie sú uvedené, osoby, ktoré tu sú vymenované</w:t>
            </w:r>
            <w:r w:rsidR="00057720">
              <w:rPr>
                <w:rFonts w:ascii="Arial" w:hAnsi="Arial" w:cs="Arial"/>
                <w:bCs/>
                <w:sz w:val="20"/>
                <w:szCs w:val="20"/>
              </w:rPr>
              <w:t xml:space="preserve"> predstavujú pojem </w:t>
            </w:r>
            <w:bookmarkStart w:id="0" w:name="_GoBack"/>
            <w:bookmarkEnd w:id="0"/>
            <w:r w:rsidR="00057720">
              <w:rPr>
                <w:rFonts w:ascii="Arial" w:hAnsi="Arial" w:cs="Arial"/>
                <w:bCs/>
                <w:sz w:val="20"/>
                <w:szCs w:val="20"/>
              </w:rPr>
              <w:t>osoby, ktoré skutočne riadia poisťovňu</w:t>
            </w:r>
            <w:r>
              <w:rPr>
                <w:rFonts w:ascii="Arial" w:hAnsi="Arial" w:cs="Arial"/>
                <w:bCs/>
                <w:sz w:val="20"/>
                <w:szCs w:val="20"/>
              </w:rPr>
              <w:t>? Navrhujeme pre jasnosť ustanovení definovať pojem osoby, ktoré skutočne riadia poisťovňu.</w:t>
            </w:r>
          </w:p>
        </w:tc>
        <w:tc>
          <w:tcPr>
            <w:tcW w:w="1701" w:type="dxa"/>
          </w:tcPr>
          <w:p w:rsidR="0005191C" w:rsidRPr="007B1FC5" w:rsidRDefault="0005191C" w:rsidP="00CD28D2">
            <w:pPr>
              <w:pStyle w:val="Odsekzoznamu"/>
              <w:ind w:left="0"/>
              <w:rPr>
                <w:rFonts w:ascii="Arial" w:hAnsi="Arial" w:cs="Arial"/>
                <w:bCs/>
                <w:sz w:val="20"/>
                <w:szCs w:val="20"/>
              </w:rPr>
            </w:pPr>
          </w:p>
        </w:tc>
      </w:tr>
      <w:tr w:rsidR="00CA5AFF" w:rsidRPr="007B1FC5" w:rsidTr="00450A99">
        <w:trPr>
          <w:cantSplit/>
          <w:trHeight w:val="340"/>
        </w:trPr>
        <w:tc>
          <w:tcPr>
            <w:tcW w:w="1668" w:type="dxa"/>
          </w:tcPr>
          <w:p w:rsidR="00CA5AFF" w:rsidRPr="007B1FC5" w:rsidRDefault="00CA5AFF" w:rsidP="00CD28D2">
            <w:pPr>
              <w:pStyle w:val="Odsekzoznamu"/>
              <w:ind w:left="0"/>
              <w:rPr>
                <w:rFonts w:ascii="Arial" w:hAnsi="Arial" w:cs="Arial"/>
                <w:b/>
                <w:bCs/>
                <w:sz w:val="20"/>
                <w:szCs w:val="20"/>
              </w:rPr>
            </w:pPr>
            <w:r w:rsidRPr="007B1FC5">
              <w:rPr>
                <w:rFonts w:ascii="Arial" w:hAnsi="Arial" w:cs="Arial"/>
                <w:b/>
                <w:bCs/>
                <w:sz w:val="20"/>
                <w:szCs w:val="20"/>
              </w:rPr>
              <w:lastRenderedPageBreak/>
              <w:t>§ 71 ods. 2</w:t>
            </w:r>
          </w:p>
        </w:tc>
        <w:tc>
          <w:tcPr>
            <w:tcW w:w="3827" w:type="dxa"/>
          </w:tcPr>
          <w:p w:rsidR="00CA5AFF" w:rsidRPr="007B1FC5" w:rsidRDefault="00CA5AFF" w:rsidP="00CA5AFF">
            <w:pPr>
              <w:spacing w:after="0" w:line="240" w:lineRule="auto"/>
              <w:jc w:val="both"/>
              <w:rPr>
                <w:rFonts w:ascii="Arial" w:hAnsi="Arial" w:cs="Arial"/>
                <w:sz w:val="20"/>
                <w:szCs w:val="20"/>
              </w:rPr>
            </w:pPr>
            <w:r w:rsidRPr="007B1FC5">
              <w:rPr>
                <w:rFonts w:ascii="Arial" w:hAnsi="Arial" w:cs="Arial"/>
                <w:sz w:val="20"/>
                <w:szCs w:val="20"/>
              </w:rPr>
              <w:t>(2) Poisťovňa, pobočka zahraničnej poisťovne, zaisťovňa a pobočka zahraničnej zaisťovne vykonáva s osobami podľa odseku 1 obchody, len ak o tom jednomyseľne rozhodne štatutárny orgán poisťovne, zaisťovne alebo vedúci pobočky zahraničnej poisťovne, pobočky zahraničnej zaisťovne na základe písomnej analýzy príslušného obchodu a finančnej situácie žiadateľa. Z rozhodovania je vylúčená osoba, ktorej sa rozhodnutie týka.</w:t>
            </w:r>
          </w:p>
          <w:p w:rsidR="00CA5AFF" w:rsidRPr="007B1FC5" w:rsidRDefault="00CA5AFF" w:rsidP="00CD28D2">
            <w:pPr>
              <w:pStyle w:val="Odsekzoznamu"/>
              <w:ind w:left="0"/>
              <w:rPr>
                <w:rFonts w:ascii="Arial" w:hAnsi="Arial" w:cs="Arial"/>
                <w:bCs/>
                <w:sz w:val="20"/>
                <w:szCs w:val="20"/>
                <w:lang w:eastAsia="sk-SK" w:bidi="ar-SA"/>
              </w:rPr>
            </w:pPr>
          </w:p>
        </w:tc>
        <w:tc>
          <w:tcPr>
            <w:tcW w:w="3969" w:type="dxa"/>
          </w:tcPr>
          <w:p w:rsidR="00CA5AFF" w:rsidRPr="007B1FC5" w:rsidRDefault="00CA5AFF" w:rsidP="00CA5AFF">
            <w:pPr>
              <w:spacing w:after="0" w:line="240" w:lineRule="auto"/>
              <w:jc w:val="both"/>
              <w:rPr>
                <w:rFonts w:ascii="Arial" w:hAnsi="Arial" w:cs="Arial"/>
                <w:sz w:val="20"/>
                <w:szCs w:val="20"/>
              </w:rPr>
            </w:pPr>
            <w:r w:rsidRPr="007B1FC5">
              <w:rPr>
                <w:rFonts w:ascii="Arial" w:hAnsi="Arial" w:cs="Arial"/>
                <w:sz w:val="20"/>
                <w:szCs w:val="20"/>
              </w:rPr>
              <w:t>(2) Poisťovňa, pobočka zahraničnej poisťovne, zaisťovňa a pobočka zahraničnej zaisťovne vykonáva s osobami podľa odseku 3 a 4 obchody, len ak o tom jednomyseľne rozhodne štatutárny orgán poisťovne, zaisťovne alebo vedúci pobočky zahraničnej poisťovne, pobočky zahraničnej zaisťovne na základe písomnej analýzy príslušného obchodu a finančnej situácie žiadateľa. Z rozhodovania je vylúčená osoba, ktorej sa rozhodnutie týka.</w:t>
            </w:r>
          </w:p>
          <w:p w:rsidR="00CA5AFF" w:rsidRPr="007B1FC5" w:rsidRDefault="00CA5AFF" w:rsidP="00CD28D2">
            <w:pPr>
              <w:rPr>
                <w:rFonts w:ascii="Arial" w:hAnsi="Arial" w:cs="Arial"/>
                <w:bCs/>
                <w:sz w:val="20"/>
                <w:szCs w:val="20"/>
              </w:rPr>
            </w:pPr>
          </w:p>
        </w:tc>
        <w:tc>
          <w:tcPr>
            <w:tcW w:w="4961" w:type="dxa"/>
          </w:tcPr>
          <w:p w:rsidR="00CA5AFF" w:rsidRPr="007B1FC5" w:rsidRDefault="00CA5AFF" w:rsidP="00DC01E3">
            <w:pPr>
              <w:pStyle w:val="Odsekzoznamu"/>
              <w:ind w:left="0"/>
              <w:rPr>
                <w:rFonts w:ascii="Arial" w:hAnsi="Arial" w:cs="Arial"/>
                <w:bCs/>
                <w:sz w:val="20"/>
                <w:szCs w:val="20"/>
              </w:rPr>
            </w:pPr>
            <w:r w:rsidRPr="007B1FC5">
              <w:rPr>
                <w:rFonts w:ascii="Arial" w:hAnsi="Arial" w:cs="Arial"/>
                <w:bCs/>
                <w:sz w:val="20"/>
                <w:szCs w:val="20"/>
              </w:rPr>
              <w:t>Navrhujeme od</w:t>
            </w:r>
            <w:r w:rsidR="00DC01E3" w:rsidRPr="007B1FC5">
              <w:rPr>
                <w:rFonts w:ascii="Arial" w:hAnsi="Arial" w:cs="Arial"/>
                <w:bCs/>
                <w:sz w:val="20"/>
                <w:szCs w:val="20"/>
              </w:rPr>
              <w:t>kaz</w:t>
            </w:r>
            <w:r w:rsidRPr="007B1FC5">
              <w:rPr>
                <w:rFonts w:ascii="Arial" w:hAnsi="Arial" w:cs="Arial"/>
                <w:bCs/>
                <w:sz w:val="20"/>
                <w:szCs w:val="20"/>
              </w:rPr>
              <w:t xml:space="preserve"> </w:t>
            </w:r>
            <w:r w:rsidR="00DC01E3" w:rsidRPr="007B1FC5">
              <w:rPr>
                <w:rFonts w:ascii="Arial" w:hAnsi="Arial" w:cs="Arial"/>
                <w:bCs/>
                <w:sz w:val="20"/>
                <w:szCs w:val="20"/>
              </w:rPr>
              <w:t xml:space="preserve">zmeniť </w:t>
            </w:r>
            <w:r w:rsidRPr="007B1FC5">
              <w:rPr>
                <w:rFonts w:ascii="Arial" w:hAnsi="Arial" w:cs="Arial"/>
                <w:bCs/>
                <w:sz w:val="20"/>
                <w:szCs w:val="20"/>
              </w:rPr>
              <w:t>na odseky 3 a 4, nakoľko osoby, ktoré sa majú v ods. 2 na mysli, sú definované v uvedených odsekoch, nie v ods. 1. V prípade ponechania pôvodného odkazu sú odseky nezrozumiteľné, v ods. 1 sa obchody s osobami s osobitným vzťahom k poisťovni zakazujú, v ods. 2 sa umožňujú, pôvodne navrhované znenie je tak zmätočné.</w:t>
            </w:r>
          </w:p>
        </w:tc>
        <w:tc>
          <w:tcPr>
            <w:tcW w:w="1701" w:type="dxa"/>
          </w:tcPr>
          <w:p w:rsidR="00CA5AFF" w:rsidRPr="007B1FC5" w:rsidRDefault="00CA5AFF" w:rsidP="00CD28D2">
            <w:pPr>
              <w:pStyle w:val="Odsekzoznamu"/>
              <w:ind w:left="0"/>
              <w:rPr>
                <w:rFonts w:ascii="Arial" w:hAnsi="Arial" w:cs="Arial"/>
                <w:bCs/>
                <w:sz w:val="20"/>
                <w:szCs w:val="20"/>
              </w:rPr>
            </w:pPr>
          </w:p>
        </w:tc>
      </w:tr>
      <w:tr w:rsidR="000B7D4C" w:rsidRPr="007B1FC5" w:rsidTr="00450A99">
        <w:trPr>
          <w:cantSplit/>
          <w:trHeight w:val="340"/>
        </w:trPr>
        <w:tc>
          <w:tcPr>
            <w:tcW w:w="1668" w:type="dxa"/>
          </w:tcPr>
          <w:p w:rsidR="00A93043" w:rsidRPr="007B1FC5" w:rsidRDefault="00A93043" w:rsidP="00CD28D2">
            <w:pPr>
              <w:pStyle w:val="Odsekzoznamu"/>
              <w:ind w:left="0"/>
              <w:rPr>
                <w:rFonts w:ascii="Arial" w:hAnsi="Arial" w:cs="Arial"/>
                <w:b/>
                <w:bCs/>
                <w:sz w:val="20"/>
                <w:szCs w:val="20"/>
              </w:rPr>
            </w:pPr>
            <w:r w:rsidRPr="007B1FC5">
              <w:rPr>
                <w:rFonts w:ascii="Arial" w:hAnsi="Arial" w:cs="Arial"/>
                <w:b/>
                <w:bCs/>
                <w:sz w:val="20"/>
                <w:szCs w:val="20"/>
              </w:rPr>
              <w:t xml:space="preserve">§ </w:t>
            </w:r>
            <w:r w:rsidR="0037356A" w:rsidRPr="007B1FC5">
              <w:rPr>
                <w:rFonts w:ascii="Arial" w:hAnsi="Arial" w:cs="Arial"/>
                <w:b/>
                <w:bCs/>
                <w:sz w:val="20"/>
                <w:szCs w:val="20"/>
              </w:rPr>
              <w:t>7</w:t>
            </w:r>
            <w:r w:rsidRPr="007B1FC5">
              <w:rPr>
                <w:rFonts w:ascii="Arial" w:hAnsi="Arial" w:cs="Arial"/>
                <w:b/>
                <w:bCs/>
                <w:sz w:val="20"/>
                <w:szCs w:val="20"/>
              </w:rPr>
              <w:t>3 ods. 7</w:t>
            </w:r>
          </w:p>
        </w:tc>
        <w:tc>
          <w:tcPr>
            <w:tcW w:w="3827" w:type="dxa"/>
          </w:tcPr>
          <w:p w:rsidR="00A93043" w:rsidRPr="007B1FC5" w:rsidRDefault="00A93043" w:rsidP="00CD28D2">
            <w:pPr>
              <w:pStyle w:val="Odsekzoznamu"/>
              <w:ind w:left="0"/>
              <w:rPr>
                <w:rFonts w:ascii="Arial" w:hAnsi="Arial" w:cs="Arial"/>
                <w:sz w:val="20"/>
                <w:szCs w:val="20"/>
              </w:rPr>
            </w:pPr>
            <w:r w:rsidRPr="007B1FC5">
              <w:rPr>
                <w:rFonts w:ascii="Arial" w:hAnsi="Arial" w:cs="Arial"/>
                <w:bCs/>
                <w:sz w:val="20"/>
                <w:szCs w:val="20"/>
                <w:lang w:eastAsia="sk-SK" w:bidi="ar-SA"/>
              </w:rPr>
              <w:t xml:space="preserve">Poisťovňa je povinná viesť </w:t>
            </w:r>
            <w:r w:rsidRPr="007B1FC5">
              <w:rPr>
                <w:rFonts w:ascii="Arial" w:hAnsi="Arial" w:cs="Arial"/>
                <w:b/>
                <w:bCs/>
                <w:sz w:val="20"/>
                <w:szCs w:val="20"/>
                <w:lang w:eastAsia="sk-SK" w:bidi="ar-SA"/>
              </w:rPr>
              <w:t>účtovnú evidenciu osobitne</w:t>
            </w:r>
            <w:r w:rsidRPr="007B1FC5">
              <w:rPr>
                <w:rFonts w:ascii="Arial" w:hAnsi="Arial" w:cs="Arial"/>
                <w:bCs/>
                <w:sz w:val="20"/>
                <w:szCs w:val="20"/>
                <w:lang w:eastAsia="sk-SK" w:bidi="ar-SA"/>
              </w:rPr>
              <w:t xml:space="preserve"> pre životné poistenie a neživotné poistenie a pripraviť účtovné závierky tak, aby sa oddelene vykázali výnosy a náklady pre životné poistenie a neživotné poistenie, najmä poistné, platby zaisťovateľom, príjmy z investícií, výplaty poistných plnení, tvorba technických rezerv, platby zaisťovateľov a prevádzkové náklady. Položky spoločné pre obidva poistné druhy sa zaúčtujú podľa rozdelenia navrhnutého poisťovňou a po súhlase Národnej banky Slovenska. </w:t>
            </w:r>
          </w:p>
        </w:tc>
        <w:tc>
          <w:tcPr>
            <w:tcW w:w="3969" w:type="dxa"/>
          </w:tcPr>
          <w:p w:rsidR="00A93043" w:rsidRPr="007B1FC5" w:rsidRDefault="0005188C" w:rsidP="00CD28D2">
            <w:pPr>
              <w:rPr>
                <w:rFonts w:ascii="Arial" w:hAnsi="Arial" w:cs="Arial"/>
                <w:bCs/>
                <w:sz w:val="20"/>
                <w:szCs w:val="20"/>
              </w:rPr>
            </w:pPr>
            <w:r w:rsidRPr="007B1FC5">
              <w:rPr>
                <w:rFonts w:ascii="Arial" w:hAnsi="Arial" w:cs="Arial"/>
                <w:bCs/>
                <w:sz w:val="20"/>
                <w:szCs w:val="20"/>
              </w:rPr>
              <w:t xml:space="preserve">Žiadame </w:t>
            </w:r>
            <w:r w:rsidR="003A3338" w:rsidRPr="007B1FC5">
              <w:rPr>
                <w:rFonts w:ascii="Arial" w:hAnsi="Arial" w:cs="Arial"/>
                <w:bCs/>
                <w:sz w:val="20"/>
                <w:szCs w:val="20"/>
              </w:rPr>
              <w:t xml:space="preserve">preformulovať </w:t>
            </w:r>
            <w:r w:rsidR="00A93043" w:rsidRPr="007B1FC5">
              <w:rPr>
                <w:rFonts w:ascii="Arial" w:hAnsi="Arial" w:cs="Arial"/>
                <w:bCs/>
                <w:sz w:val="20"/>
                <w:szCs w:val="20"/>
              </w:rPr>
              <w:t>slovné spojeni</w:t>
            </w:r>
            <w:r w:rsidRPr="007B1FC5">
              <w:rPr>
                <w:rFonts w:ascii="Arial" w:hAnsi="Arial" w:cs="Arial"/>
                <w:bCs/>
                <w:sz w:val="20"/>
                <w:szCs w:val="20"/>
              </w:rPr>
              <w:t>e</w:t>
            </w:r>
            <w:r w:rsidR="00A93043" w:rsidRPr="007B1FC5">
              <w:rPr>
                <w:rFonts w:ascii="Arial" w:hAnsi="Arial" w:cs="Arial"/>
                <w:bCs/>
                <w:sz w:val="20"/>
                <w:szCs w:val="20"/>
              </w:rPr>
              <w:t xml:space="preserve"> „vedenie </w:t>
            </w:r>
            <w:r w:rsidR="00A93043" w:rsidRPr="007B1FC5">
              <w:rPr>
                <w:rFonts w:ascii="Arial" w:hAnsi="Arial" w:cs="Arial"/>
                <w:b/>
                <w:bCs/>
                <w:sz w:val="20"/>
                <w:szCs w:val="20"/>
              </w:rPr>
              <w:t>účtovnej evidencie osobitne</w:t>
            </w:r>
            <w:r w:rsidR="00A93043" w:rsidRPr="007B1FC5">
              <w:rPr>
                <w:rFonts w:ascii="Arial" w:hAnsi="Arial" w:cs="Arial"/>
                <w:bCs/>
                <w:sz w:val="20"/>
                <w:szCs w:val="20"/>
              </w:rPr>
              <w:t xml:space="preserve"> pre životné poistenie a neživotné poistenie“</w:t>
            </w:r>
            <w:r w:rsidR="003A3338" w:rsidRPr="007B1FC5">
              <w:rPr>
                <w:rFonts w:ascii="Arial" w:hAnsi="Arial" w:cs="Arial"/>
                <w:bCs/>
                <w:sz w:val="20"/>
                <w:szCs w:val="20"/>
              </w:rPr>
              <w:t xml:space="preserve"> </w:t>
            </w:r>
            <w:r w:rsidR="0037356A" w:rsidRPr="007B1FC5">
              <w:rPr>
                <w:rFonts w:ascii="Arial" w:hAnsi="Arial" w:cs="Arial"/>
                <w:bCs/>
                <w:sz w:val="20"/>
                <w:szCs w:val="20"/>
              </w:rPr>
              <w:t xml:space="preserve">na „vedenie </w:t>
            </w:r>
            <w:r w:rsidR="0037356A" w:rsidRPr="007B1FC5">
              <w:rPr>
                <w:rFonts w:ascii="Arial" w:hAnsi="Arial" w:cs="Arial"/>
                <w:b/>
                <w:bCs/>
                <w:sz w:val="20"/>
                <w:szCs w:val="20"/>
              </w:rPr>
              <w:t xml:space="preserve">oddelenej analytickej evidencie </w:t>
            </w:r>
            <w:r w:rsidR="0037356A" w:rsidRPr="007B1FC5">
              <w:rPr>
                <w:rFonts w:ascii="Arial" w:hAnsi="Arial" w:cs="Arial"/>
                <w:bCs/>
                <w:sz w:val="20"/>
                <w:szCs w:val="20"/>
              </w:rPr>
              <w:t>osobitne pre životné poistenie a neživotné poistenie“</w:t>
            </w:r>
          </w:p>
        </w:tc>
        <w:tc>
          <w:tcPr>
            <w:tcW w:w="4961" w:type="dxa"/>
          </w:tcPr>
          <w:p w:rsidR="0005188C" w:rsidRPr="007B1FC5" w:rsidRDefault="0005188C" w:rsidP="00CD28D2">
            <w:pPr>
              <w:pStyle w:val="Odsekzoznamu"/>
              <w:ind w:left="0"/>
              <w:rPr>
                <w:rFonts w:ascii="Arial" w:hAnsi="Arial" w:cs="Arial"/>
                <w:bCs/>
                <w:sz w:val="20"/>
                <w:szCs w:val="20"/>
              </w:rPr>
            </w:pPr>
            <w:r w:rsidRPr="007B1FC5">
              <w:rPr>
                <w:rFonts w:ascii="Arial" w:hAnsi="Arial" w:cs="Arial"/>
                <w:bCs/>
                <w:sz w:val="20"/>
                <w:szCs w:val="20"/>
              </w:rPr>
              <w:t xml:space="preserve">Chceme poukázať na skutočnosť, že </w:t>
            </w:r>
            <w:r w:rsidR="00781E68" w:rsidRPr="007B1FC5">
              <w:rPr>
                <w:rFonts w:ascii="Arial" w:hAnsi="Arial" w:cs="Arial"/>
                <w:bCs/>
                <w:sz w:val="20"/>
                <w:szCs w:val="20"/>
              </w:rPr>
              <w:t>z</w:t>
            </w:r>
            <w:r w:rsidRPr="007B1FC5">
              <w:rPr>
                <w:rFonts w:ascii="Arial" w:hAnsi="Arial" w:cs="Arial"/>
                <w:bCs/>
                <w:sz w:val="20"/>
                <w:szCs w:val="20"/>
              </w:rPr>
              <w:t>ákon o účtovníctve nepozná pojem „účtovná evidencia“. Vo svojich ustanovenia</w:t>
            </w:r>
            <w:r w:rsidR="0037356A" w:rsidRPr="007B1FC5">
              <w:rPr>
                <w:rFonts w:ascii="Arial" w:hAnsi="Arial" w:cs="Arial"/>
                <w:bCs/>
                <w:sz w:val="20"/>
                <w:szCs w:val="20"/>
              </w:rPr>
              <w:t>ch</w:t>
            </w:r>
            <w:r w:rsidRPr="007B1FC5">
              <w:rPr>
                <w:rFonts w:ascii="Arial" w:hAnsi="Arial" w:cs="Arial"/>
                <w:bCs/>
                <w:sz w:val="20"/>
                <w:szCs w:val="20"/>
              </w:rPr>
              <w:t xml:space="preserve"> pojednáva len v spojitosti s "daňovou evidenciou" a "analytickou evidenciou"</w:t>
            </w:r>
            <w:r w:rsidR="0037356A" w:rsidRPr="007B1FC5">
              <w:rPr>
                <w:rFonts w:ascii="Arial" w:hAnsi="Arial" w:cs="Arial"/>
                <w:bCs/>
                <w:sz w:val="20"/>
                <w:szCs w:val="20"/>
              </w:rPr>
              <w:t>.</w:t>
            </w:r>
            <w:r w:rsidRPr="007B1FC5">
              <w:rPr>
                <w:rFonts w:ascii="Arial" w:hAnsi="Arial" w:cs="Arial"/>
                <w:bCs/>
                <w:sz w:val="20"/>
                <w:szCs w:val="20"/>
              </w:rPr>
              <w:t xml:space="preserve"> Odporúčame preto používať pojem zaužívaný podľa súčasne platného zákona o poisťovníctve („vedenie oddelenej analytickej evidencie“), ktorý je v súlade so </w:t>
            </w:r>
            <w:r w:rsidR="00781E68" w:rsidRPr="007B1FC5">
              <w:rPr>
                <w:rFonts w:ascii="Arial" w:hAnsi="Arial" w:cs="Arial"/>
                <w:bCs/>
                <w:sz w:val="20"/>
                <w:szCs w:val="20"/>
              </w:rPr>
              <w:t>z</w:t>
            </w:r>
            <w:r w:rsidRPr="007B1FC5">
              <w:rPr>
                <w:rFonts w:ascii="Arial" w:hAnsi="Arial" w:cs="Arial"/>
                <w:bCs/>
                <w:sz w:val="20"/>
                <w:szCs w:val="20"/>
              </w:rPr>
              <w:t>ákonom o účtovníctve.</w:t>
            </w:r>
          </w:p>
          <w:p w:rsidR="0037356A" w:rsidRPr="007B1FC5" w:rsidRDefault="0037356A" w:rsidP="00CD28D2">
            <w:pPr>
              <w:pStyle w:val="Odsekzoznamu"/>
              <w:ind w:left="0"/>
              <w:rPr>
                <w:rFonts w:ascii="Arial" w:hAnsi="Arial" w:cs="Arial"/>
                <w:bCs/>
                <w:sz w:val="20"/>
                <w:szCs w:val="20"/>
              </w:rPr>
            </w:pPr>
          </w:p>
          <w:p w:rsidR="0037356A" w:rsidRPr="007B1FC5" w:rsidRDefault="0037356A" w:rsidP="00CD28D2">
            <w:pPr>
              <w:pStyle w:val="Odsekzoznamu"/>
              <w:ind w:left="0"/>
              <w:rPr>
                <w:rFonts w:ascii="Arial" w:hAnsi="Arial" w:cs="Arial"/>
                <w:bCs/>
                <w:sz w:val="20"/>
                <w:szCs w:val="20"/>
              </w:rPr>
            </w:pPr>
            <w:r w:rsidRPr="007B1FC5">
              <w:rPr>
                <w:rFonts w:ascii="Arial" w:hAnsi="Arial" w:cs="Arial"/>
                <w:bCs/>
                <w:sz w:val="20"/>
                <w:szCs w:val="20"/>
              </w:rPr>
              <w:t xml:space="preserve">Pozn.: </w:t>
            </w:r>
          </w:p>
          <w:p w:rsidR="0037356A" w:rsidRPr="007B1FC5" w:rsidRDefault="00952F2E" w:rsidP="00CD28D2">
            <w:pPr>
              <w:pStyle w:val="Odsekzoznamu"/>
              <w:ind w:left="0"/>
              <w:rPr>
                <w:rFonts w:ascii="Arial" w:hAnsi="Arial" w:cs="Arial"/>
                <w:bCs/>
                <w:sz w:val="20"/>
                <w:szCs w:val="20"/>
              </w:rPr>
            </w:pPr>
            <w:r w:rsidRPr="007B1FC5">
              <w:rPr>
                <w:rFonts w:ascii="Arial" w:hAnsi="Arial" w:cs="Arial"/>
                <w:bCs/>
                <w:sz w:val="20"/>
                <w:szCs w:val="20"/>
              </w:rPr>
              <w:t>Aj v</w:t>
            </w:r>
            <w:r w:rsidR="009D0A6B" w:rsidRPr="007B1FC5">
              <w:rPr>
                <w:rFonts w:ascii="Arial" w:hAnsi="Arial" w:cs="Arial"/>
                <w:bCs/>
                <w:sz w:val="20"/>
                <w:szCs w:val="20"/>
              </w:rPr>
              <w:t xml:space="preserve"> § 73 ods. 10 a 12 </w:t>
            </w:r>
            <w:r w:rsidR="0037356A" w:rsidRPr="007B1FC5">
              <w:rPr>
                <w:rFonts w:ascii="Arial" w:hAnsi="Arial" w:cs="Arial"/>
                <w:bCs/>
                <w:sz w:val="20"/>
                <w:szCs w:val="20"/>
              </w:rPr>
              <w:t>sú použité pojmy „oddelená analytická evidencia“.</w:t>
            </w:r>
          </w:p>
          <w:p w:rsidR="0005188C" w:rsidRPr="007B1FC5" w:rsidRDefault="0005188C" w:rsidP="00CD28D2">
            <w:pPr>
              <w:pStyle w:val="Odsekzoznamu"/>
              <w:ind w:left="0"/>
              <w:rPr>
                <w:rFonts w:ascii="Arial" w:hAnsi="Arial" w:cs="Arial"/>
                <w:bCs/>
                <w:sz w:val="20"/>
                <w:szCs w:val="20"/>
              </w:rPr>
            </w:pPr>
          </w:p>
          <w:p w:rsidR="00A93043" w:rsidRPr="007B1FC5" w:rsidRDefault="00554B5A" w:rsidP="00CD28D2">
            <w:pPr>
              <w:pStyle w:val="Odsekzoznamu"/>
              <w:ind w:left="0"/>
              <w:rPr>
                <w:rFonts w:ascii="Arial" w:hAnsi="Arial" w:cs="Arial"/>
                <w:bCs/>
                <w:sz w:val="20"/>
                <w:szCs w:val="20"/>
              </w:rPr>
            </w:pPr>
            <w:r w:rsidRPr="007B1FC5">
              <w:rPr>
                <w:rFonts w:ascii="Arial" w:hAnsi="Arial" w:cs="Arial"/>
                <w:bCs/>
                <w:sz w:val="20"/>
                <w:szCs w:val="20"/>
              </w:rPr>
              <w:t>Použitý pojem „účtovné závierky“ v množnom čísle cháp</w:t>
            </w:r>
            <w:r w:rsidR="00D931AB" w:rsidRPr="007B1FC5">
              <w:rPr>
                <w:rFonts w:ascii="Arial" w:hAnsi="Arial" w:cs="Arial"/>
                <w:bCs/>
                <w:sz w:val="20"/>
                <w:szCs w:val="20"/>
              </w:rPr>
              <w:t>eme</w:t>
            </w:r>
            <w:r w:rsidRPr="007B1FC5">
              <w:rPr>
                <w:rFonts w:ascii="Arial" w:hAnsi="Arial" w:cs="Arial"/>
                <w:bCs/>
                <w:sz w:val="20"/>
                <w:szCs w:val="20"/>
              </w:rPr>
              <w:t xml:space="preserve"> ako pojem platný pre jednotlivé „typy / f</w:t>
            </w:r>
            <w:r w:rsidR="009D0A6B" w:rsidRPr="007B1FC5">
              <w:rPr>
                <w:rFonts w:ascii="Arial" w:hAnsi="Arial" w:cs="Arial"/>
                <w:bCs/>
                <w:sz w:val="20"/>
                <w:szCs w:val="20"/>
              </w:rPr>
              <w:t xml:space="preserve">ormy“ </w:t>
            </w:r>
            <w:proofErr w:type="spellStart"/>
            <w:r w:rsidR="009D0A6B" w:rsidRPr="007B1FC5">
              <w:rPr>
                <w:rFonts w:ascii="Arial" w:hAnsi="Arial" w:cs="Arial"/>
                <w:bCs/>
                <w:sz w:val="20"/>
                <w:szCs w:val="20"/>
              </w:rPr>
              <w:t>účt</w:t>
            </w:r>
            <w:proofErr w:type="spellEnd"/>
            <w:r w:rsidR="009D0A6B" w:rsidRPr="007B1FC5">
              <w:rPr>
                <w:rFonts w:ascii="Arial" w:hAnsi="Arial" w:cs="Arial"/>
                <w:bCs/>
                <w:sz w:val="20"/>
                <w:szCs w:val="20"/>
              </w:rPr>
              <w:t>. závierok v zmysle §</w:t>
            </w:r>
            <w:r w:rsidRPr="007B1FC5">
              <w:rPr>
                <w:rFonts w:ascii="Arial" w:hAnsi="Arial" w:cs="Arial"/>
                <w:bCs/>
                <w:sz w:val="20"/>
                <w:szCs w:val="20"/>
              </w:rPr>
              <w:t xml:space="preserve"> 6 aktuálne platného zákona o účtovníctve (individuálna, riadna, priebežná, m</w:t>
            </w:r>
            <w:r w:rsidR="00D931AB" w:rsidRPr="007B1FC5">
              <w:rPr>
                <w:rFonts w:ascii="Arial" w:hAnsi="Arial" w:cs="Arial"/>
                <w:bCs/>
                <w:sz w:val="20"/>
                <w:szCs w:val="20"/>
              </w:rPr>
              <w:t>imoriadna, konsolidovaná).</w:t>
            </w:r>
            <w:r w:rsidR="00D931AB" w:rsidRPr="007B1FC5">
              <w:rPr>
                <w:rFonts w:ascii="Arial" w:hAnsi="Arial" w:cs="Arial"/>
                <w:bCs/>
                <w:sz w:val="20"/>
                <w:szCs w:val="20"/>
              </w:rPr>
              <w:br/>
              <w:t>Je tento predpoklad správny, alebo si uvedené ustanovenie možno vykladať ako zostavenie osobitnej účtovnej závierky pre životné poistenie a osobitnej účtovnej závierky pre neživotné poistenie?</w:t>
            </w:r>
          </w:p>
          <w:p w:rsidR="00D931AB" w:rsidRPr="007B1FC5" w:rsidRDefault="00D931AB" w:rsidP="00CD28D2">
            <w:pPr>
              <w:pStyle w:val="Odsekzoznamu"/>
              <w:ind w:left="0"/>
              <w:rPr>
                <w:rFonts w:ascii="Arial" w:hAnsi="Arial" w:cs="Arial"/>
                <w:bCs/>
                <w:sz w:val="20"/>
                <w:szCs w:val="20"/>
              </w:rPr>
            </w:pPr>
          </w:p>
        </w:tc>
        <w:tc>
          <w:tcPr>
            <w:tcW w:w="1701" w:type="dxa"/>
          </w:tcPr>
          <w:p w:rsidR="00A93043" w:rsidRPr="007B1FC5" w:rsidRDefault="00A93043" w:rsidP="00CD28D2">
            <w:pPr>
              <w:pStyle w:val="Odsekzoznamu"/>
              <w:ind w:left="0"/>
              <w:rPr>
                <w:rFonts w:ascii="Arial" w:hAnsi="Arial" w:cs="Arial"/>
                <w:bCs/>
                <w:sz w:val="20"/>
                <w:szCs w:val="20"/>
              </w:rPr>
            </w:pPr>
          </w:p>
        </w:tc>
      </w:tr>
      <w:tr w:rsidR="00450A99" w:rsidRPr="007B1FC5" w:rsidTr="00450A99">
        <w:trPr>
          <w:cantSplit/>
          <w:trHeight w:val="340"/>
        </w:trPr>
        <w:tc>
          <w:tcPr>
            <w:tcW w:w="1668" w:type="dxa"/>
          </w:tcPr>
          <w:p w:rsidR="00450A99" w:rsidRPr="007B1FC5" w:rsidRDefault="00450A99" w:rsidP="00450A99">
            <w:pPr>
              <w:pStyle w:val="Odsekzoznamu"/>
              <w:ind w:left="0"/>
              <w:rPr>
                <w:rFonts w:ascii="Arial" w:hAnsi="Arial" w:cs="Arial"/>
                <w:b/>
                <w:bCs/>
                <w:sz w:val="20"/>
                <w:szCs w:val="20"/>
              </w:rPr>
            </w:pPr>
            <w:r w:rsidRPr="007B1FC5">
              <w:rPr>
                <w:rFonts w:ascii="Arial" w:hAnsi="Arial" w:cs="Arial"/>
                <w:b/>
                <w:bCs/>
                <w:sz w:val="20"/>
                <w:szCs w:val="20"/>
              </w:rPr>
              <w:lastRenderedPageBreak/>
              <w:t>§ 74 ods. 1</w:t>
            </w:r>
          </w:p>
        </w:tc>
        <w:tc>
          <w:tcPr>
            <w:tcW w:w="3827" w:type="dxa"/>
          </w:tcPr>
          <w:p w:rsidR="00450A99" w:rsidRPr="007B1FC5" w:rsidRDefault="00450A99" w:rsidP="00450A99">
            <w:pPr>
              <w:spacing w:after="0" w:line="240" w:lineRule="auto"/>
              <w:jc w:val="both"/>
              <w:rPr>
                <w:rFonts w:ascii="Arial" w:hAnsi="Arial" w:cs="Arial"/>
                <w:sz w:val="20"/>
                <w:szCs w:val="20"/>
              </w:rPr>
            </w:pPr>
            <w:r w:rsidRPr="007B1FC5">
              <w:rPr>
                <w:rFonts w:ascii="Arial" w:hAnsi="Arial" w:cs="Arial"/>
                <w:sz w:val="20"/>
                <w:szCs w:val="20"/>
              </w:rPr>
              <w:t>Poisťovňa, zaisťovňa, pobočka zahraničnej poisťovne a pobočka zahraničnej zaisťovne sú povinné  v primeranej lehote predkladať Národnej banke Slovenska na jej žiadosť správy o ich finančnej situácii zodpovedajúce pravdivému a vernému obrazu o ich finančnej situácii a ktoré sú v súlade s platnými účtovnými štandardmi a pravidlami.</w:t>
            </w:r>
          </w:p>
          <w:p w:rsidR="00450A99" w:rsidRPr="007B1FC5" w:rsidRDefault="00450A99" w:rsidP="00450A99">
            <w:pPr>
              <w:spacing w:after="0" w:line="240" w:lineRule="auto"/>
              <w:ind w:firstLine="708"/>
              <w:jc w:val="both"/>
              <w:rPr>
                <w:rFonts w:ascii="Arial" w:hAnsi="Arial" w:cs="Arial"/>
                <w:sz w:val="20"/>
                <w:szCs w:val="20"/>
                <w:lang w:bidi="si-LK"/>
              </w:rPr>
            </w:pPr>
          </w:p>
        </w:tc>
        <w:tc>
          <w:tcPr>
            <w:tcW w:w="3969" w:type="dxa"/>
          </w:tcPr>
          <w:p w:rsidR="00450A99" w:rsidRPr="007B1FC5" w:rsidRDefault="00450A99" w:rsidP="00450A99">
            <w:pPr>
              <w:pStyle w:val="Odsekzoznamu"/>
              <w:ind w:left="0"/>
              <w:rPr>
                <w:rFonts w:ascii="Arial" w:hAnsi="Arial" w:cs="Arial"/>
                <w:bCs/>
                <w:sz w:val="20"/>
                <w:szCs w:val="20"/>
              </w:rPr>
            </w:pPr>
          </w:p>
        </w:tc>
        <w:tc>
          <w:tcPr>
            <w:tcW w:w="4961" w:type="dxa"/>
          </w:tcPr>
          <w:p w:rsidR="00450A99" w:rsidRPr="007B1FC5" w:rsidRDefault="00450A99" w:rsidP="00450A99">
            <w:pPr>
              <w:pStyle w:val="Odsekzoznamu"/>
              <w:ind w:left="0"/>
              <w:rPr>
                <w:rFonts w:ascii="Arial" w:hAnsi="Arial" w:cs="Arial"/>
                <w:bCs/>
                <w:sz w:val="20"/>
                <w:szCs w:val="20"/>
              </w:rPr>
            </w:pPr>
            <w:r w:rsidRPr="007B1FC5">
              <w:rPr>
                <w:rFonts w:ascii="Arial" w:hAnsi="Arial" w:cs="Arial"/>
                <w:bCs/>
                <w:sz w:val="20"/>
                <w:szCs w:val="20"/>
              </w:rPr>
              <w:t>Je potrebné doplniť, aká lehota je prípustná „ako primeraná“ pre účely tohto zákona.</w:t>
            </w:r>
          </w:p>
          <w:p w:rsidR="00450A99" w:rsidRPr="007B1FC5" w:rsidRDefault="00450A99" w:rsidP="00450A99">
            <w:pPr>
              <w:pStyle w:val="Odsekzoznamu"/>
              <w:ind w:left="0"/>
              <w:rPr>
                <w:rFonts w:ascii="Arial" w:hAnsi="Arial" w:cs="Arial"/>
                <w:bCs/>
                <w:sz w:val="20"/>
                <w:szCs w:val="20"/>
              </w:rPr>
            </w:pPr>
          </w:p>
          <w:p w:rsidR="00450A99" w:rsidRPr="007B1FC5" w:rsidRDefault="00450A99" w:rsidP="00450A99">
            <w:pPr>
              <w:pStyle w:val="Odsekzoznamu"/>
              <w:ind w:left="0"/>
              <w:rPr>
                <w:rFonts w:ascii="Arial" w:hAnsi="Arial" w:cs="Arial"/>
                <w:bCs/>
                <w:sz w:val="20"/>
                <w:szCs w:val="20"/>
              </w:rPr>
            </w:pPr>
            <w:r w:rsidRPr="007B1FC5">
              <w:rPr>
                <w:rFonts w:ascii="Arial" w:hAnsi="Arial" w:cs="Arial"/>
                <w:bCs/>
                <w:sz w:val="20"/>
                <w:szCs w:val="20"/>
              </w:rPr>
              <w:t>Zároveň je potrebné zadefinovať „správu o finančnej situácii“, uviesť obsahovú štruktúru správy o finančnej situácii príp. jej prílohy.</w:t>
            </w:r>
          </w:p>
          <w:p w:rsidR="00450A99" w:rsidRPr="007B1FC5" w:rsidRDefault="00450A99" w:rsidP="00450A99">
            <w:pPr>
              <w:pStyle w:val="Odsekzoznamu"/>
              <w:ind w:left="0"/>
              <w:rPr>
                <w:rFonts w:ascii="Arial" w:hAnsi="Arial" w:cs="Arial"/>
                <w:sz w:val="20"/>
                <w:szCs w:val="20"/>
              </w:rPr>
            </w:pPr>
            <w:r w:rsidRPr="007B1FC5">
              <w:rPr>
                <w:rFonts w:ascii="Arial" w:hAnsi="Arial" w:cs="Arial"/>
                <w:bCs/>
                <w:sz w:val="20"/>
                <w:szCs w:val="20"/>
              </w:rPr>
              <w:t>V prípade, že správu o finančnej situácii bude upravovať NBS osobitným opatrením, navrhujeme túto skutočnosť do zákona uviesť.</w:t>
            </w:r>
          </w:p>
        </w:tc>
        <w:tc>
          <w:tcPr>
            <w:tcW w:w="1701" w:type="dxa"/>
          </w:tcPr>
          <w:p w:rsidR="00450A99" w:rsidRPr="007B1FC5" w:rsidRDefault="00450A99" w:rsidP="00450A99">
            <w:pPr>
              <w:pStyle w:val="Odsekzoznamu"/>
              <w:ind w:left="0"/>
              <w:rPr>
                <w:rFonts w:ascii="Arial" w:hAnsi="Arial" w:cs="Arial"/>
                <w:bCs/>
                <w:sz w:val="20"/>
                <w:szCs w:val="20"/>
              </w:rPr>
            </w:pPr>
          </w:p>
        </w:tc>
      </w:tr>
      <w:tr w:rsidR="00450A99" w:rsidRPr="007B1FC5" w:rsidTr="00450A99">
        <w:trPr>
          <w:cantSplit/>
          <w:trHeight w:val="340"/>
        </w:trPr>
        <w:tc>
          <w:tcPr>
            <w:tcW w:w="1668" w:type="dxa"/>
          </w:tcPr>
          <w:p w:rsidR="00450A99" w:rsidRPr="007B1FC5" w:rsidRDefault="00450A99" w:rsidP="00450A99">
            <w:pPr>
              <w:pStyle w:val="Odsekzoznamu"/>
              <w:ind w:left="0"/>
              <w:rPr>
                <w:rFonts w:ascii="Arial" w:hAnsi="Arial" w:cs="Arial"/>
                <w:b/>
                <w:bCs/>
                <w:sz w:val="20"/>
                <w:szCs w:val="20"/>
              </w:rPr>
            </w:pPr>
            <w:r w:rsidRPr="007B1FC5">
              <w:rPr>
                <w:rFonts w:ascii="Arial" w:hAnsi="Arial" w:cs="Arial"/>
                <w:b/>
                <w:bCs/>
                <w:sz w:val="20"/>
                <w:szCs w:val="20"/>
              </w:rPr>
              <w:t xml:space="preserve">§ 78 ods. 6 </w:t>
            </w:r>
          </w:p>
        </w:tc>
        <w:tc>
          <w:tcPr>
            <w:tcW w:w="3827" w:type="dxa"/>
          </w:tcPr>
          <w:p w:rsidR="00450A99" w:rsidRPr="007B1FC5" w:rsidRDefault="00450A99" w:rsidP="00450A99">
            <w:pPr>
              <w:spacing w:after="0" w:line="240" w:lineRule="auto"/>
              <w:jc w:val="both"/>
              <w:rPr>
                <w:rFonts w:ascii="Arial" w:hAnsi="Arial" w:cs="Arial"/>
                <w:sz w:val="20"/>
                <w:szCs w:val="20"/>
              </w:rPr>
            </w:pPr>
            <w:r w:rsidRPr="007B1FC5">
              <w:rPr>
                <w:rFonts w:ascii="Arial" w:hAnsi="Arial" w:cs="Arial"/>
                <w:sz w:val="20"/>
                <w:szCs w:val="20"/>
              </w:rPr>
              <w:t>(6) Poisťovňa, pobočka poisťovne z iného členského štátu a pobočka zahraničnej poisťovne sú povinné pri uzavieraní poistnej zmluvy požadovať preukázanie totožnosti klienta a klient je povinný takej žiadosti vyhovieť. V prípadoch, keď sa poistná zmluva uzaviera prostredníctvom finančného agenta v sektore poistenia alebo zaistenia a finančného poradcu v sektore poistenia alebo zaistenia,</w:t>
            </w:r>
            <w:r w:rsidRPr="007B1FC5">
              <w:rPr>
                <w:rStyle w:val="Odkaznapoznmkupodiarou"/>
                <w:rFonts w:ascii="Arial" w:hAnsi="Arial" w:cs="Arial"/>
                <w:sz w:val="20"/>
                <w:szCs w:val="20"/>
              </w:rPr>
              <w:footnoteReference w:id="1"/>
            </w:r>
            <w:r w:rsidRPr="007B1FC5">
              <w:rPr>
                <w:rFonts w:ascii="Arial" w:hAnsi="Arial" w:cs="Arial"/>
                <w:sz w:val="20"/>
                <w:szCs w:val="20"/>
                <w:vertAlign w:val="superscript"/>
              </w:rPr>
              <w:t>)</w:t>
            </w:r>
            <w:r w:rsidRPr="007B1FC5">
              <w:rPr>
                <w:rFonts w:ascii="Arial" w:hAnsi="Arial" w:cs="Arial"/>
                <w:sz w:val="20"/>
                <w:szCs w:val="20"/>
              </w:rPr>
              <w:t xml:space="preserve"> môže totožnosť zisťovať aj finančný agent v sektore poistenia alebo zaistenia a finančný poradca v sektore poistenia alebo zaistenia.</w:t>
            </w:r>
            <w:r w:rsidRPr="007B1FC5">
              <w:rPr>
                <w:rFonts w:ascii="Arial" w:hAnsi="Arial" w:cs="Arial"/>
                <w:sz w:val="20"/>
                <w:szCs w:val="20"/>
                <w:vertAlign w:val="superscript"/>
              </w:rPr>
              <w:t>53)</w:t>
            </w:r>
            <w:r w:rsidRPr="007B1FC5">
              <w:rPr>
                <w:rFonts w:ascii="Arial" w:hAnsi="Arial" w:cs="Arial"/>
                <w:sz w:val="20"/>
                <w:szCs w:val="20"/>
              </w:rPr>
              <w:t xml:space="preserve"> Uzavieranie poistnej zmluvy so zachovaním anonymity klienta sú poisťovňa, pobočka poisťovne z iného členského štátu, pobočka zahraničnej poisťovne, finančný agent v sektore poistenia alebo zaistenia a finančný poradca v sektore poistenia alebo zaistenia</w:t>
            </w:r>
            <w:r w:rsidRPr="007B1FC5">
              <w:rPr>
                <w:rFonts w:ascii="Arial" w:hAnsi="Arial" w:cs="Arial"/>
                <w:sz w:val="20"/>
                <w:szCs w:val="20"/>
                <w:vertAlign w:val="superscript"/>
              </w:rPr>
              <w:t>53)</w:t>
            </w:r>
            <w:r w:rsidRPr="007B1FC5">
              <w:rPr>
                <w:rFonts w:ascii="Arial" w:hAnsi="Arial" w:cs="Arial"/>
                <w:sz w:val="20"/>
                <w:szCs w:val="20"/>
              </w:rPr>
              <w:t xml:space="preserve"> povinní odmietnuť.</w:t>
            </w:r>
          </w:p>
          <w:p w:rsidR="00450A99" w:rsidRPr="007B1FC5" w:rsidRDefault="00450A99" w:rsidP="00450A99">
            <w:pPr>
              <w:pStyle w:val="Odsekzoznamu"/>
              <w:ind w:left="0"/>
              <w:rPr>
                <w:rFonts w:ascii="Arial" w:hAnsi="Arial" w:cs="Arial"/>
                <w:bCs/>
                <w:sz w:val="20"/>
                <w:szCs w:val="20"/>
                <w:lang w:eastAsia="sk-SK" w:bidi="ar-SA"/>
              </w:rPr>
            </w:pPr>
          </w:p>
        </w:tc>
        <w:tc>
          <w:tcPr>
            <w:tcW w:w="3969" w:type="dxa"/>
          </w:tcPr>
          <w:p w:rsidR="00450A99" w:rsidRPr="007B1FC5" w:rsidRDefault="00450A99" w:rsidP="00450A99">
            <w:pPr>
              <w:spacing w:after="0" w:line="240" w:lineRule="auto"/>
              <w:jc w:val="both"/>
              <w:rPr>
                <w:rFonts w:ascii="Arial" w:hAnsi="Arial" w:cs="Arial"/>
                <w:sz w:val="20"/>
                <w:szCs w:val="20"/>
              </w:rPr>
            </w:pPr>
            <w:r w:rsidRPr="007B1FC5">
              <w:rPr>
                <w:rFonts w:ascii="Arial" w:hAnsi="Arial" w:cs="Arial"/>
                <w:sz w:val="20"/>
                <w:szCs w:val="20"/>
              </w:rPr>
              <w:t>(6) Poisťovňa, pobočka poisťovne z iného členského štátu a pobočka zahraničnej poisťovne sú povinné pri uzavieraní poistnej zmluvy v životnom poistení požadovať preukázanie totožnosti klienta a klient je povinný takej žiadosti vyhovieť. V prípadoch, keď sa poistná zmluva uzaviera prostredníctvom finančného agenta v sektore poistenia alebo zaistenia a finančného poradcu v sektore poistenia alebo zaistenia,</w:t>
            </w:r>
            <w:r w:rsidRPr="007B1FC5">
              <w:rPr>
                <w:rStyle w:val="Odkaznapoznmkupodiarou"/>
                <w:rFonts w:ascii="Arial" w:hAnsi="Arial" w:cs="Arial"/>
                <w:sz w:val="20"/>
                <w:szCs w:val="20"/>
              </w:rPr>
              <w:footnoteReference w:id="2"/>
            </w:r>
            <w:r w:rsidRPr="007B1FC5">
              <w:rPr>
                <w:rFonts w:ascii="Arial" w:hAnsi="Arial" w:cs="Arial"/>
                <w:sz w:val="20"/>
                <w:szCs w:val="20"/>
                <w:vertAlign w:val="superscript"/>
              </w:rPr>
              <w:t>)</w:t>
            </w:r>
            <w:r w:rsidRPr="007B1FC5">
              <w:rPr>
                <w:rFonts w:ascii="Arial" w:hAnsi="Arial" w:cs="Arial"/>
                <w:sz w:val="20"/>
                <w:szCs w:val="20"/>
              </w:rPr>
              <w:t xml:space="preserve"> môže totožnosť zisťovať aj finančný agent v sektore poistenia alebo zaistenia a finančný poradca v sektore poistenia alebo zaistenia.</w:t>
            </w:r>
            <w:r w:rsidRPr="007B1FC5">
              <w:rPr>
                <w:rFonts w:ascii="Arial" w:hAnsi="Arial" w:cs="Arial"/>
                <w:sz w:val="20"/>
                <w:szCs w:val="20"/>
                <w:vertAlign w:val="superscript"/>
              </w:rPr>
              <w:t>53)</w:t>
            </w:r>
            <w:r w:rsidRPr="007B1FC5">
              <w:rPr>
                <w:rFonts w:ascii="Arial" w:hAnsi="Arial" w:cs="Arial"/>
                <w:sz w:val="20"/>
                <w:szCs w:val="20"/>
              </w:rPr>
              <w:t xml:space="preserve"> Uzavieranie poistnej zmluvy so zachovaním anonymity klienta sú poisťovňa, pobočka poisťovne z iného členského štátu, pobočka zahraničnej poisťovne, finančný agent v sektore poistenia alebo zaistenia a finančný poradca v sektore poistenia alebo zaistenia</w:t>
            </w:r>
            <w:r w:rsidRPr="007B1FC5">
              <w:rPr>
                <w:rFonts w:ascii="Arial" w:hAnsi="Arial" w:cs="Arial"/>
                <w:sz w:val="20"/>
                <w:szCs w:val="20"/>
                <w:vertAlign w:val="superscript"/>
              </w:rPr>
              <w:t>53)</w:t>
            </w:r>
            <w:r w:rsidRPr="007B1FC5">
              <w:rPr>
                <w:rFonts w:ascii="Arial" w:hAnsi="Arial" w:cs="Arial"/>
                <w:sz w:val="20"/>
                <w:szCs w:val="20"/>
              </w:rPr>
              <w:t xml:space="preserve"> povinní odmietnuť.</w:t>
            </w:r>
          </w:p>
          <w:p w:rsidR="00450A99" w:rsidRPr="007B1FC5" w:rsidRDefault="00450A99" w:rsidP="00450A99">
            <w:pPr>
              <w:rPr>
                <w:rFonts w:ascii="Arial" w:hAnsi="Arial" w:cs="Arial"/>
                <w:bCs/>
                <w:sz w:val="20"/>
                <w:szCs w:val="20"/>
              </w:rPr>
            </w:pPr>
          </w:p>
        </w:tc>
        <w:tc>
          <w:tcPr>
            <w:tcW w:w="4961" w:type="dxa"/>
          </w:tcPr>
          <w:p w:rsidR="00450A99" w:rsidRPr="007B1FC5" w:rsidRDefault="00450A99" w:rsidP="00450A99">
            <w:pPr>
              <w:pStyle w:val="Odsekzoznamu"/>
              <w:ind w:left="0"/>
              <w:rPr>
                <w:rFonts w:ascii="Arial" w:hAnsi="Arial" w:cs="Arial"/>
                <w:bCs/>
                <w:sz w:val="20"/>
                <w:szCs w:val="20"/>
              </w:rPr>
            </w:pPr>
            <w:r w:rsidRPr="007B1FC5">
              <w:rPr>
                <w:rFonts w:ascii="Arial" w:hAnsi="Arial" w:cs="Arial"/>
                <w:bCs/>
                <w:sz w:val="20"/>
                <w:szCs w:val="20"/>
              </w:rPr>
              <w:t>Navrhujeme spresniť, že povinnosť identifikácie platí len v prípade životného poistenia. Bez takejto zmeny by bolo znemožnené uzatvárať poistné zmluvy prostredníctvom prostriedkov diaľkovej komunikácie, resp. tento spôsob dojednávania poistenia by sa znefunkčnil, nakoľko ods. 7 tiež vyžaduje predchádzajúcu identifikáciu, t. j. osobný kontakt, ktorý je napr. pri dojednávaní poistenia prostredníctvom prostriedkov diaľkovej komunikácie nemožný.</w:t>
            </w:r>
          </w:p>
          <w:p w:rsidR="00450A99" w:rsidRPr="007B1FC5" w:rsidRDefault="00450A99" w:rsidP="00450A99">
            <w:pPr>
              <w:pStyle w:val="Odsekzoznamu"/>
              <w:ind w:left="0"/>
              <w:rPr>
                <w:rFonts w:ascii="Arial" w:hAnsi="Arial" w:cs="Arial"/>
                <w:bCs/>
                <w:sz w:val="20"/>
                <w:szCs w:val="20"/>
              </w:rPr>
            </w:pPr>
          </w:p>
          <w:p w:rsidR="00450A99" w:rsidRPr="007B1FC5" w:rsidRDefault="00450A99" w:rsidP="00450A99">
            <w:pPr>
              <w:pStyle w:val="Odsekzoznamu"/>
              <w:ind w:left="0"/>
              <w:rPr>
                <w:rFonts w:ascii="Arial" w:hAnsi="Arial" w:cs="Arial"/>
                <w:bCs/>
                <w:sz w:val="20"/>
                <w:szCs w:val="20"/>
              </w:rPr>
            </w:pPr>
          </w:p>
        </w:tc>
        <w:tc>
          <w:tcPr>
            <w:tcW w:w="1701" w:type="dxa"/>
          </w:tcPr>
          <w:p w:rsidR="00450A99" w:rsidRPr="007B1FC5" w:rsidRDefault="00450A99" w:rsidP="00450A99">
            <w:pPr>
              <w:pStyle w:val="Odsekzoznamu"/>
              <w:ind w:left="0"/>
              <w:rPr>
                <w:rFonts w:ascii="Arial" w:hAnsi="Arial" w:cs="Arial"/>
                <w:bCs/>
                <w:sz w:val="20"/>
                <w:szCs w:val="20"/>
              </w:rPr>
            </w:pPr>
          </w:p>
        </w:tc>
      </w:tr>
      <w:tr w:rsidR="00450A99" w:rsidRPr="007B1FC5" w:rsidTr="00450A99">
        <w:trPr>
          <w:cantSplit/>
          <w:trHeight w:val="340"/>
        </w:trPr>
        <w:tc>
          <w:tcPr>
            <w:tcW w:w="1668" w:type="dxa"/>
          </w:tcPr>
          <w:p w:rsidR="00450A99" w:rsidRPr="007B1FC5" w:rsidRDefault="00450A99" w:rsidP="00450A99">
            <w:pPr>
              <w:pStyle w:val="Odsekzoznamu"/>
              <w:ind w:left="0"/>
              <w:rPr>
                <w:rFonts w:ascii="Arial" w:hAnsi="Arial" w:cs="Arial"/>
                <w:b/>
                <w:bCs/>
                <w:sz w:val="20"/>
                <w:szCs w:val="20"/>
              </w:rPr>
            </w:pPr>
            <w:r w:rsidRPr="007B1FC5">
              <w:rPr>
                <w:rFonts w:ascii="Arial" w:hAnsi="Arial" w:cs="Arial"/>
                <w:b/>
                <w:bCs/>
                <w:sz w:val="20"/>
                <w:szCs w:val="20"/>
              </w:rPr>
              <w:t xml:space="preserve">§ 81 </w:t>
            </w:r>
          </w:p>
        </w:tc>
        <w:tc>
          <w:tcPr>
            <w:tcW w:w="3827" w:type="dxa"/>
          </w:tcPr>
          <w:p w:rsidR="00450A99" w:rsidRPr="007B1FC5" w:rsidRDefault="00450A99" w:rsidP="00450A99">
            <w:pPr>
              <w:autoSpaceDE w:val="0"/>
              <w:autoSpaceDN w:val="0"/>
              <w:adjustRightInd w:val="0"/>
              <w:spacing w:after="0" w:line="240" w:lineRule="auto"/>
              <w:jc w:val="both"/>
              <w:rPr>
                <w:rFonts w:ascii="Arial" w:hAnsi="Arial" w:cs="Arial"/>
                <w:sz w:val="20"/>
                <w:szCs w:val="20"/>
                <w:lang w:bidi="si-LK"/>
              </w:rPr>
            </w:pPr>
            <w:r w:rsidRPr="007B1FC5">
              <w:rPr>
                <w:rFonts w:ascii="Arial" w:hAnsi="Arial" w:cs="Arial"/>
                <w:sz w:val="20"/>
                <w:szCs w:val="20"/>
                <w:lang w:bidi="si-LK"/>
              </w:rPr>
              <w:t xml:space="preserve">V ustanoveniach § 81 je použitý pojem účinný dominantný vplyv. </w:t>
            </w:r>
          </w:p>
          <w:p w:rsidR="00450A99" w:rsidRPr="007B1FC5" w:rsidRDefault="00450A99" w:rsidP="00450A99">
            <w:pPr>
              <w:pStyle w:val="Odsekzoznamu"/>
              <w:ind w:left="0"/>
              <w:rPr>
                <w:rFonts w:ascii="Arial" w:hAnsi="Arial" w:cs="Arial"/>
                <w:sz w:val="20"/>
                <w:szCs w:val="20"/>
              </w:rPr>
            </w:pPr>
          </w:p>
        </w:tc>
        <w:tc>
          <w:tcPr>
            <w:tcW w:w="3969" w:type="dxa"/>
          </w:tcPr>
          <w:p w:rsidR="00450A99" w:rsidRPr="007B1FC5" w:rsidRDefault="00450A99" w:rsidP="00450A99">
            <w:pPr>
              <w:pStyle w:val="Odsekzoznamu"/>
              <w:ind w:left="0"/>
              <w:rPr>
                <w:rFonts w:ascii="Arial" w:hAnsi="Arial" w:cs="Arial"/>
                <w:bCs/>
                <w:sz w:val="20"/>
                <w:szCs w:val="20"/>
              </w:rPr>
            </w:pPr>
          </w:p>
        </w:tc>
        <w:tc>
          <w:tcPr>
            <w:tcW w:w="4961" w:type="dxa"/>
          </w:tcPr>
          <w:p w:rsidR="00450A99" w:rsidRPr="007B1FC5" w:rsidRDefault="00450A99" w:rsidP="00450A99">
            <w:pPr>
              <w:pStyle w:val="Odsekzoznamu"/>
              <w:ind w:left="0"/>
              <w:rPr>
                <w:rFonts w:ascii="Arial" w:hAnsi="Arial" w:cs="Arial"/>
                <w:bCs/>
                <w:sz w:val="20"/>
                <w:szCs w:val="20"/>
              </w:rPr>
            </w:pPr>
            <w:r w:rsidRPr="007B1FC5">
              <w:rPr>
                <w:rFonts w:ascii="Arial" w:hAnsi="Arial" w:cs="Arial"/>
                <w:bCs/>
                <w:sz w:val="20"/>
                <w:szCs w:val="20"/>
              </w:rPr>
              <w:t xml:space="preserve">Je potrebné zadefinovať, čo je myslené pod pojmom „účinný dominantný vplyv“ resp. uviesť odvolávku na príslušný predpis, podľa ktorého sa má tento pojem posudzovať. </w:t>
            </w:r>
          </w:p>
          <w:p w:rsidR="00450A99" w:rsidRPr="007B1FC5" w:rsidRDefault="00450A99" w:rsidP="00450A99">
            <w:pPr>
              <w:pStyle w:val="Textkomentra"/>
              <w:rPr>
                <w:rFonts w:ascii="Arial" w:hAnsi="Arial" w:cs="Arial"/>
                <w:bCs/>
              </w:rPr>
            </w:pPr>
          </w:p>
        </w:tc>
        <w:tc>
          <w:tcPr>
            <w:tcW w:w="1701" w:type="dxa"/>
          </w:tcPr>
          <w:p w:rsidR="00450A99" w:rsidRPr="007B1FC5" w:rsidRDefault="00450A99" w:rsidP="00450A99">
            <w:pPr>
              <w:pStyle w:val="Odsekzoznamu"/>
              <w:ind w:left="0"/>
              <w:rPr>
                <w:rFonts w:ascii="Arial" w:hAnsi="Arial" w:cs="Arial"/>
                <w:bCs/>
                <w:sz w:val="20"/>
                <w:szCs w:val="20"/>
              </w:rPr>
            </w:pPr>
          </w:p>
        </w:tc>
      </w:tr>
      <w:tr w:rsidR="00450A99" w:rsidRPr="007B1FC5" w:rsidTr="00450A99">
        <w:trPr>
          <w:cantSplit/>
          <w:trHeight w:val="340"/>
        </w:trPr>
        <w:tc>
          <w:tcPr>
            <w:tcW w:w="1668" w:type="dxa"/>
          </w:tcPr>
          <w:p w:rsidR="00450A99" w:rsidRPr="007B1FC5" w:rsidRDefault="00450A99" w:rsidP="00450A99">
            <w:pPr>
              <w:pStyle w:val="Odsekzoznamu"/>
              <w:ind w:left="0"/>
              <w:rPr>
                <w:rFonts w:ascii="Arial" w:hAnsi="Arial" w:cs="Arial"/>
                <w:b/>
                <w:bCs/>
                <w:sz w:val="20"/>
                <w:szCs w:val="20"/>
              </w:rPr>
            </w:pPr>
            <w:r w:rsidRPr="007B1FC5">
              <w:rPr>
                <w:rFonts w:ascii="Arial" w:hAnsi="Arial" w:cs="Arial"/>
                <w:b/>
                <w:bCs/>
                <w:sz w:val="20"/>
                <w:szCs w:val="20"/>
              </w:rPr>
              <w:lastRenderedPageBreak/>
              <w:t>§ 160 ods. 1 písm. d)</w:t>
            </w:r>
          </w:p>
        </w:tc>
        <w:tc>
          <w:tcPr>
            <w:tcW w:w="3827" w:type="dxa"/>
          </w:tcPr>
          <w:p w:rsidR="00450A99" w:rsidRPr="007B1FC5" w:rsidRDefault="00450A99" w:rsidP="00450A99">
            <w:pPr>
              <w:pStyle w:val="Odsekzoznamu"/>
              <w:ind w:left="0"/>
              <w:rPr>
                <w:rFonts w:ascii="Arial" w:hAnsi="Arial" w:cs="Arial"/>
                <w:bCs/>
                <w:sz w:val="20"/>
                <w:szCs w:val="20"/>
                <w:lang w:eastAsia="sk-SK" w:bidi="ar-SA"/>
              </w:rPr>
            </w:pPr>
          </w:p>
        </w:tc>
        <w:tc>
          <w:tcPr>
            <w:tcW w:w="3969" w:type="dxa"/>
          </w:tcPr>
          <w:p w:rsidR="00450A99" w:rsidRPr="007B1FC5" w:rsidRDefault="00450A99" w:rsidP="00450A99">
            <w:pPr>
              <w:pStyle w:val="Odsekzoznamu"/>
              <w:ind w:left="0"/>
              <w:rPr>
                <w:rFonts w:ascii="Arial" w:hAnsi="Arial" w:cs="Arial"/>
                <w:bCs/>
                <w:sz w:val="20"/>
                <w:szCs w:val="20"/>
              </w:rPr>
            </w:pPr>
          </w:p>
        </w:tc>
        <w:tc>
          <w:tcPr>
            <w:tcW w:w="4961" w:type="dxa"/>
          </w:tcPr>
          <w:p w:rsidR="00450A99" w:rsidRPr="007B1FC5" w:rsidRDefault="00450A99" w:rsidP="00450A99">
            <w:pPr>
              <w:pStyle w:val="Odsekzoznamu"/>
              <w:ind w:left="0"/>
              <w:rPr>
                <w:rFonts w:ascii="Arial" w:hAnsi="Arial" w:cs="Arial"/>
                <w:bCs/>
                <w:sz w:val="20"/>
                <w:szCs w:val="20"/>
              </w:rPr>
            </w:pPr>
            <w:r w:rsidRPr="007B1FC5">
              <w:rPr>
                <w:rFonts w:ascii="Arial" w:hAnsi="Arial" w:cs="Arial"/>
                <w:bCs/>
                <w:sz w:val="20"/>
                <w:szCs w:val="20"/>
              </w:rPr>
              <w:t>Nie je jasné, ako bude predmetné ustanovenie realizované, v ustanovení § 12 ods. 5 sa nachádzajú dve lehoty. Navrhujeme spresniť.</w:t>
            </w:r>
          </w:p>
        </w:tc>
        <w:tc>
          <w:tcPr>
            <w:tcW w:w="1701" w:type="dxa"/>
          </w:tcPr>
          <w:p w:rsidR="00450A99" w:rsidRPr="007B1FC5" w:rsidRDefault="00450A99" w:rsidP="00450A99">
            <w:pPr>
              <w:pStyle w:val="Odsekzoznamu"/>
              <w:ind w:left="0"/>
              <w:rPr>
                <w:rFonts w:ascii="Arial" w:hAnsi="Arial" w:cs="Arial"/>
                <w:bCs/>
                <w:sz w:val="20"/>
                <w:szCs w:val="20"/>
              </w:rPr>
            </w:pPr>
          </w:p>
        </w:tc>
      </w:tr>
      <w:tr w:rsidR="00450A99" w:rsidRPr="007B1FC5" w:rsidTr="00450A99">
        <w:trPr>
          <w:cantSplit/>
          <w:trHeight w:val="340"/>
        </w:trPr>
        <w:tc>
          <w:tcPr>
            <w:tcW w:w="1668" w:type="dxa"/>
          </w:tcPr>
          <w:p w:rsidR="00450A99" w:rsidRPr="007B1FC5" w:rsidRDefault="00450A99" w:rsidP="00450A99">
            <w:pPr>
              <w:pStyle w:val="Odsekzoznamu"/>
              <w:ind w:left="0"/>
              <w:rPr>
                <w:rFonts w:ascii="Arial" w:hAnsi="Arial" w:cs="Arial"/>
                <w:b/>
                <w:bCs/>
                <w:sz w:val="20"/>
                <w:szCs w:val="20"/>
              </w:rPr>
            </w:pPr>
            <w:r w:rsidRPr="007B1FC5">
              <w:rPr>
                <w:rFonts w:ascii="Arial" w:hAnsi="Arial" w:cs="Arial"/>
                <w:b/>
                <w:bCs/>
                <w:sz w:val="20"/>
                <w:szCs w:val="20"/>
              </w:rPr>
              <w:t>§ 186 ods. 6</w:t>
            </w:r>
          </w:p>
        </w:tc>
        <w:tc>
          <w:tcPr>
            <w:tcW w:w="3827" w:type="dxa"/>
          </w:tcPr>
          <w:p w:rsidR="00450A99" w:rsidRPr="007B1FC5" w:rsidRDefault="00450A99" w:rsidP="00450A99">
            <w:pPr>
              <w:pStyle w:val="Odsekzoznamu"/>
              <w:ind w:left="0"/>
              <w:rPr>
                <w:rFonts w:ascii="Arial" w:hAnsi="Arial" w:cs="Arial"/>
                <w:bCs/>
                <w:sz w:val="20"/>
                <w:szCs w:val="20"/>
                <w:lang w:eastAsia="sk-SK" w:bidi="ar-SA"/>
              </w:rPr>
            </w:pPr>
          </w:p>
        </w:tc>
        <w:tc>
          <w:tcPr>
            <w:tcW w:w="3969" w:type="dxa"/>
          </w:tcPr>
          <w:p w:rsidR="00450A99" w:rsidRPr="007B1FC5" w:rsidRDefault="00450A99" w:rsidP="00450A99">
            <w:pPr>
              <w:pStyle w:val="Odsekzoznamu"/>
              <w:ind w:left="0"/>
              <w:rPr>
                <w:rFonts w:ascii="Arial" w:hAnsi="Arial" w:cs="Arial"/>
                <w:bCs/>
                <w:sz w:val="20"/>
                <w:szCs w:val="20"/>
              </w:rPr>
            </w:pPr>
          </w:p>
        </w:tc>
        <w:tc>
          <w:tcPr>
            <w:tcW w:w="4961" w:type="dxa"/>
          </w:tcPr>
          <w:p w:rsidR="00450A99" w:rsidRPr="007B1FC5" w:rsidRDefault="00450A99" w:rsidP="00450A99">
            <w:pPr>
              <w:pStyle w:val="Odsekzoznamu"/>
              <w:ind w:left="0"/>
              <w:rPr>
                <w:rFonts w:ascii="Arial" w:hAnsi="Arial" w:cs="Arial"/>
                <w:bCs/>
                <w:sz w:val="20"/>
                <w:szCs w:val="20"/>
              </w:rPr>
            </w:pPr>
            <w:r w:rsidRPr="007B1FC5">
              <w:rPr>
                <w:rFonts w:ascii="Arial" w:hAnsi="Arial" w:cs="Arial"/>
                <w:bCs/>
                <w:sz w:val="20"/>
                <w:szCs w:val="20"/>
              </w:rPr>
              <w:t>Navrhujeme obdobnú úpravu textu ako v prípade § 73 ods. 7.</w:t>
            </w:r>
          </w:p>
        </w:tc>
        <w:tc>
          <w:tcPr>
            <w:tcW w:w="1701" w:type="dxa"/>
          </w:tcPr>
          <w:p w:rsidR="00450A99" w:rsidRPr="007B1FC5" w:rsidRDefault="00450A99" w:rsidP="00450A99">
            <w:pPr>
              <w:pStyle w:val="Odsekzoznamu"/>
              <w:ind w:left="0"/>
              <w:rPr>
                <w:rFonts w:ascii="Arial" w:hAnsi="Arial" w:cs="Arial"/>
                <w:bCs/>
                <w:sz w:val="20"/>
                <w:szCs w:val="20"/>
              </w:rPr>
            </w:pPr>
          </w:p>
        </w:tc>
      </w:tr>
      <w:tr w:rsidR="00450A99" w:rsidRPr="007B1FC5" w:rsidTr="00450A99">
        <w:trPr>
          <w:cantSplit/>
          <w:trHeight w:val="340"/>
        </w:trPr>
        <w:tc>
          <w:tcPr>
            <w:tcW w:w="1668" w:type="dxa"/>
          </w:tcPr>
          <w:p w:rsidR="00450A99" w:rsidRPr="007B1FC5" w:rsidRDefault="00450A99" w:rsidP="00450A99">
            <w:pPr>
              <w:pStyle w:val="Odsekzoznamu"/>
              <w:ind w:left="0"/>
              <w:rPr>
                <w:rFonts w:ascii="Arial" w:hAnsi="Arial" w:cs="Arial"/>
                <w:b/>
                <w:bCs/>
                <w:sz w:val="20"/>
                <w:szCs w:val="20"/>
              </w:rPr>
            </w:pPr>
            <w:r w:rsidRPr="007B1FC5">
              <w:rPr>
                <w:rFonts w:ascii="Arial" w:hAnsi="Arial" w:cs="Arial"/>
                <w:b/>
                <w:bCs/>
                <w:sz w:val="20"/>
                <w:szCs w:val="20"/>
              </w:rPr>
              <w:t>§ 192 ods. 5</w:t>
            </w:r>
          </w:p>
        </w:tc>
        <w:tc>
          <w:tcPr>
            <w:tcW w:w="3827" w:type="dxa"/>
          </w:tcPr>
          <w:p w:rsidR="00450A99" w:rsidRPr="007B1FC5" w:rsidRDefault="00450A99" w:rsidP="00450A99">
            <w:pPr>
              <w:autoSpaceDE w:val="0"/>
              <w:autoSpaceDN w:val="0"/>
              <w:adjustRightInd w:val="0"/>
              <w:spacing w:after="0" w:line="240" w:lineRule="auto"/>
              <w:ind w:firstLine="708"/>
              <w:jc w:val="both"/>
              <w:rPr>
                <w:rFonts w:ascii="Arial" w:hAnsi="Arial" w:cs="Arial"/>
                <w:color w:val="000000"/>
                <w:sz w:val="20"/>
                <w:szCs w:val="20"/>
              </w:rPr>
            </w:pPr>
            <w:r w:rsidRPr="007B1FC5">
              <w:rPr>
                <w:rFonts w:ascii="Arial" w:hAnsi="Arial" w:cs="Arial"/>
                <w:color w:val="000000"/>
                <w:sz w:val="20"/>
                <w:szCs w:val="20"/>
              </w:rPr>
              <w:t xml:space="preserve">(5) Národná banka Slovenska vydá k 1. januáru 2016 poisťovni, zaisťovni, pobočke zahraničnej poisťovne alebo pobočke zahraničnej zaisťovne osvedčenie o rozsahu poisťovacej činnosti alebo zaisťovacej činnosti podľa prílohy č. 1, ktorú je poisťovňa, zaisťovňa, pobočka zahraničnej poisťovne alebo pobočka zahraničnej zaisťovne oprávnená vykonávať na základe povolenia podľa odseku 4. </w:t>
            </w:r>
          </w:p>
          <w:p w:rsidR="00450A99" w:rsidRPr="007B1FC5" w:rsidRDefault="00450A99" w:rsidP="00450A99">
            <w:pPr>
              <w:pStyle w:val="Odsekzoznamu"/>
              <w:ind w:left="0"/>
              <w:rPr>
                <w:rFonts w:ascii="Arial" w:hAnsi="Arial" w:cs="Arial"/>
                <w:bCs/>
                <w:sz w:val="20"/>
                <w:szCs w:val="20"/>
                <w:lang w:eastAsia="sk-SK" w:bidi="ar-SA"/>
              </w:rPr>
            </w:pPr>
          </w:p>
        </w:tc>
        <w:tc>
          <w:tcPr>
            <w:tcW w:w="3969" w:type="dxa"/>
          </w:tcPr>
          <w:p w:rsidR="00450A99" w:rsidRPr="007B1FC5" w:rsidRDefault="00450A99" w:rsidP="00450A99">
            <w:pPr>
              <w:autoSpaceDE w:val="0"/>
              <w:autoSpaceDN w:val="0"/>
              <w:adjustRightInd w:val="0"/>
              <w:spacing w:after="0" w:line="240" w:lineRule="auto"/>
              <w:ind w:firstLine="708"/>
              <w:jc w:val="both"/>
              <w:rPr>
                <w:rFonts w:ascii="Arial" w:hAnsi="Arial" w:cs="Arial"/>
                <w:color w:val="000000"/>
                <w:sz w:val="20"/>
                <w:szCs w:val="20"/>
              </w:rPr>
            </w:pPr>
            <w:r w:rsidRPr="007B1FC5">
              <w:rPr>
                <w:rFonts w:ascii="Arial" w:hAnsi="Arial" w:cs="Arial"/>
                <w:color w:val="000000"/>
                <w:sz w:val="20"/>
                <w:szCs w:val="20"/>
              </w:rPr>
              <w:t xml:space="preserve">(5) Národná banka Slovenska vydá k 1. januáru 2016 poisťovni, zaisťovni, pobočke zahraničnej poisťovne alebo pobočke zahraničnej zaisťovne osvedčenie o rozsahu poisťovacej činnosti alebo zaisťovacej činnosti podľa prílohy č. 1, ktorú je poisťovňa, zaisťovňa, pobočka zahraničnej poisťovne alebo pobočka zahraničnej zaisťovne oprávnená vykonávať na základe povolenia podľa odseku 2 alebo podľa ods. 4. </w:t>
            </w:r>
          </w:p>
          <w:p w:rsidR="00450A99" w:rsidRPr="007B1FC5" w:rsidRDefault="00450A99" w:rsidP="00450A99">
            <w:pPr>
              <w:pStyle w:val="Odsekzoznamu"/>
              <w:ind w:left="0"/>
              <w:rPr>
                <w:rFonts w:ascii="Arial" w:hAnsi="Arial" w:cs="Arial"/>
                <w:bCs/>
                <w:sz w:val="20"/>
                <w:szCs w:val="20"/>
              </w:rPr>
            </w:pPr>
          </w:p>
        </w:tc>
        <w:tc>
          <w:tcPr>
            <w:tcW w:w="4961" w:type="dxa"/>
          </w:tcPr>
          <w:p w:rsidR="00450A99" w:rsidRPr="007B1FC5" w:rsidRDefault="00450A99" w:rsidP="00DA3EEF">
            <w:pPr>
              <w:pStyle w:val="Odsekzoznamu"/>
              <w:ind w:left="0"/>
              <w:rPr>
                <w:rFonts w:ascii="Arial" w:hAnsi="Arial" w:cs="Arial"/>
                <w:bCs/>
                <w:sz w:val="20"/>
                <w:szCs w:val="20"/>
              </w:rPr>
            </w:pPr>
            <w:r w:rsidRPr="007B1FC5">
              <w:rPr>
                <w:rFonts w:ascii="Arial" w:hAnsi="Arial" w:cs="Arial"/>
                <w:bCs/>
                <w:sz w:val="20"/>
                <w:szCs w:val="20"/>
              </w:rPr>
              <w:t>Navrhujeme doplniť odkaz na ods. 2  nakoľko aj poisťovn</w:t>
            </w:r>
            <w:r w:rsidR="00DA3EEF" w:rsidRPr="007B1FC5">
              <w:rPr>
                <w:rFonts w:ascii="Arial" w:hAnsi="Arial" w:cs="Arial"/>
                <w:bCs/>
                <w:sz w:val="20"/>
                <w:szCs w:val="20"/>
              </w:rPr>
              <w:t>iam</w:t>
            </w:r>
            <w:r w:rsidRPr="007B1FC5">
              <w:rPr>
                <w:rFonts w:ascii="Arial" w:hAnsi="Arial" w:cs="Arial"/>
                <w:bCs/>
                <w:sz w:val="20"/>
                <w:szCs w:val="20"/>
              </w:rPr>
              <w:t xml:space="preserve">, ktoré vykonávali poisťovaciu činnosť v súlade s predpismi účinnými do 31. </w:t>
            </w:r>
            <w:r w:rsidR="00DA3EEF" w:rsidRPr="007B1FC5">
              <w:rPr>
                <w:rFonts w:ascii="Arial" w:hAnsi="Arial" w:cs="Arial"/>
                <w:bCs/>
                <w:sz w:val="20"/>
                <w:szCs w:val="20"/>
              </w:rPr>
              <w:t>d</w:t>
            </w:r>
            <w:r w:rsidRPr="007B1FC5">
              <w:rPr>
                <w:rFonts w:ascii="Arial" w:hAnsi="Arial" w:cs="Arial"/>
                <w:bCs/>
                <w:sz w:val="20"/>
                <w:szCs w:val="20"/>
              </w:rPr>
              <w:t>ecembra 2015</w:t>
            </w:r>
            <w:r w:rsidR="00DA3EEF" w:rsidRPr="007B1FC5">
              <w:rPr>
                <w:rFonts w:ascii="Arial" w:hAnsi="Arial" w:cs="Arial"/>
                <w:bCs/>
                <w:sz w:val="20"/>
                <w:szCs w:val="20"/>
              </w:rPr>
              <w:t xml:space="preserve"> a nespĺňajú podmienku z ods. 4 (nemajú vydané povolenie, nakoľko začali činnosť na základe iného právneho podkladu - napr. boli zriadené všeobecne záväznými právnymi predpismi), by malo byť vydané osvedčenie o rozsahu poisťovacej činnosti alebo zaisťovacej činnosti.</w:t>
            </w:r>
          </w:p>
        </w:tc>
        <w:tc>
          <w:tcPr>
            <w:tcW w:w="1701" w:type="dxa"/>
          </w:tcPr>
          <w:p w:rsidR="00450A99" w:rsidRPr="007B1FC5" w:rsidRDefault="00450A99" w:rsidP="00450A99">
            <w:pPr>
              <w:pStyle w:val="Odsekzoznamu"/>
              <w:ind w:left="0"/>
              <w:rPr>
                <w:rFonts w:ascii="Arial" w:hAnsi="Arial" w:cs="Arial"/>
                <w:bCs/>
                <w:sz w:val="20"/>
                <w:szCs w:val="20"/>
              </w:rPr>
            </w:pPr>
          </w:p>
        </w:tc>
      </w:tr>
      <w:tr w:rsidR="00450A99" w:rsidRPr="007B1FC5" w:rsidTr="00450A99">
        <w:trPr>
          <w:cantSplit/>
          <w:trHeight w:val="340"/>
        </w:trPr>
        <w:tc>
          <w:tcPr>
            <w:tcW w:w="1668" w:type="dxa"/>
          </w:tcPr>
          <w:p w:rsidR="00450A99" w:rsidRPr="007B1FC5" w:rsidRDefault="00DA3EEF" w:rsidP="00450A99">
            <w:pPr>
              <w:pStyle w:val="Odsekzoznamu"/>
              <w:ind w:left="0"/>
              <w:rPr>
                <w:rFonts w:ascii="Arial" w:hAnsi="Arial" w:cs="Arial"/>
                <w:b/>
                <w:bCs/>
                <w:sz w:val="20"/>
                <w:szCs w:val="20"/>
              </w:rPr>
            </w:pPr>
            <w:r w:rsidRPr="007B1FC5">
              <w:rPr>
                <w:rFonts w:ascii="Arial" w:hAnsi="Arial" w:cs="Arial"/>
                <w:b/>
                <w:bCs/>
                <w:sz w:val="20"/>
                <w:szCs w:val="20"/>
              </w:rPr>
              <w:t>§ 192 ods. 6</w:t>
            </w:r>
          </w:p>
        </w:tc>
        <w:tc>
          <w:tcPr>
            <w:tcW w:w="3827" w:type="dxa"/>
          </w:tcPr>
          <w:p w:rsidR="00DA3EEF" w:rsidRPr="007B1FC5" w:rsidRDefault="00DA3EEF" w:rsidP="00DA3EEF">
            <w:pPr>
              <w:autoSpaceDE w:val="0"/>
              <w:autoSpaceDN w:val="0"/>
              <w:adjustRightInd w:val="0"/>
              <w:spacing w:after="0" w:line="240" w:lineRule="auto"/>
              <w:ind w:firstLine="708"/>
              <w:jc w:val="both"/>
              <w:rPr>
                <w:rFonts w:ascii="Arial" w:hAnsi="Arial" w:cs="Arial"/>
                <w:color w:val="000000"/>
                <w:sz w:val="20"/>
                <w:szCs w:val="20"/>
              </w:rPr>
            </w:pPr>
            <w:r w:rsidRPr="007B1FC5">
              <w:rPr>
                <w:rFonts w:ascii="Arial" w:hAnsi="Arial" w:cs="Arial"/>
                <w:color w:val="000000"/>
                <w:sz w:val="20"/>
                <w:szCs w:val="20"/>
              </w:rPr>
              <w:t>(6) Poisťovňa, zaisťovňa, pobočka zahraničnej poisťovne alebo pobočka zahraničnej zaisťovne je povinná podať príslušnému súdu návrh na zápis zmeny a výmaz zapísaných údajov v predmete činnosti do obchodného registra na základe osvedčenia podľa odseku 5 do 30 dní odo dňa jeho doručenia poisťovni, zaisťovni, pobočke zahraničnej poisťovne alebo pobočke zahraničnej zaisťovne, a predložiť Národnej banke Slovenska výpis z obchodného registra do desiatich dní odo dňa nadobudnutia právoplatnosti rozhodnutia súdu o vykonaní zmeny zápisu v obchodnom registri.</w:t>
            </w:r>
          </w:p>
          <w:p w:rsidR="00450A99" w:rsidRPr="007B1FC5" w:rsidRDefault="00450A99" w:rsidP="00450A99">
            <w:pPr>
              <w:spacing w:after="0" w:line="240" w:lineRule="auto"/>
              <w:ind w:firstLine="708"/>
              <w:jc w:val="both"/>
              <w:rPr>
                <w:rFonts w:ascii="Arial" w:hAnsi="Arial" w:cs="Arial"/>
                <w:sz w:val="20"/>
                <w:szCs w:val="20"/>
                <w:lang w:bidi="si-LK"/>
              </w:rPr>
            </w:pPr>
          </w:p>
        </w:tc>
        <w:tc>
          <w:tcPr>
            <w:tcW w:w="3969" w:type="dxa"/>
          </w:tcPr>
          <w:p w:rsidR="00DA3EEF" w:rsidRPr="007B1FC5" w:rsidRDefault="00DA3EEF" w:rsidP="00DA3EEF">
            <w:pPr>
              <w:autoSpaceDE w:val="0"/>
              <w:autoSpaceDN w:val="0"/>
              <w:adjustRightInd w:val="0"/>
              <w:spacing w:after="0" w:line="240" w:lineRule="auto"/>
              <w:ind w:firstLine="708"/>
              <w:jc w:val="both"/>
              <w:rPr>
                <w:rFonts w:ascii="Arial" w:hAnsi="Arial" w:cs="Arial"/>
                <w:color w:val="000000"/>
                <w:sz w:val="20"/>
                <w:szCs w:val="20"/>
              </w:rPr>
            </w:pPr>
            <w:r w:rsidRPr="007B1FC5">
              <w:rPr>
                <w:rFonts w:ascii="Arial" w:hAnsi="Arial" w:cs="Arial"/>
                <w:color w:val="000000"/>
                <w:sz w:val="20"/>
                <w:szCs w:val="20"/>
              </w:rPr>
              <w:t>(6) Poisťovňa, zaisťovňa, pobočka zahraničnej poisťovne alebo pobočka zahraničnej zaisťovne je povinná podať príslušnému súdu návrh na zápis zmeny a výmaz zapísaných údajov v predmete činnosti do obchodného registra na základe osvedčenia podľa odseku 5 do 60 dní odo dňa jeho doručenia poisťovni, zaisťovni, pobočke zahraničnej poisťovne alebo pobočke zahraničnej zaisťovne, a predložiť Národnej banke Slovenska výpis z obchodného registra do desiatich dní odo dňa nadobudnutia právoplatnosti rozhodnutia súdu o vykonaní zmeny zápisu v obchodnom registri.</w:t>
            </w:r>
          </w:p>
          <w:p w:rsidR="00450A99" w:rsidRPr="007B1FC5" w:rsidRDefault="00450A99" w:rsidP="00450A99">
            <w:pPr>
              <w:pStyle w:val="Odsekzoznamu"/>
              <w:ind w:left="0"/>
              <w:rPr>
                <w:rFonts w:ascii="Arial" w:hAnsi="Arial" w:cs="Arial"/>
                <w:bCs/>
                <w:sz w:val="20"/>
                <w:szCs w:val="20"/>
              </w:rPr>
            </w:pPr>
          </w:p>
        </w:tc>
        <w:tc>
          <w:tcPr>
            <w:tcW w:w="4961" w:type="dxa"/>
          </w:tcPr>
          <w:p w:rsidR="00DA3EEF" w:rsidRPr="007B1FC5" w:rsidRDefault="00DA3EEF" w:rsidP="00DA3EEF">
            <w:pPr>
              <w:pStyle w:val="Odsekzoznamu"/>
              <w:ind w:left="0"/>
              <w:rPr>
                <w:rFonts w:ascii="Arial" w:hAnsi="Arial" w:cs="Arial"/>
                <w:sz w:val="20"/>
                <w:szCs w:val="20"/>
              </w:rPr>
            </w:pPr>
            <w:r w:rsidRPr="007B1FC5">
              <w:rPr>
                <w:rFonts w:ascii="Arial" w:hAnsi="Arial" w:cs="Arial"/>
                <w:sz w:val="20"/>
                <w:szCs w:val="20"/>
              </w:rPr>
              <w:t>Navrhujeme lehotu minimálne 60 dní, v pôvodnej lehote 30 dní nie je návrh na zápis možné s</w:t>
            </w:r>
            <w:r w:rsidR="007B1FC5" w:rsidRPr="007B1FC5">
              <w:rPr>
                <w:rFonts w:ascii="Arial" w:hAnsi="Arial" w:cs="Arial"/>
                <w:sz w:val="20"/>
                <w:szCs w:val="20"/>
              </w:rPr>
              <w:t> doložením potrebných</w:t>
            </w:r>
            <w:r w:rsidRPr="007B1FC5">
              <w:rPr>
                <w:rFonts w:ascii="Arial" w:hAnsi="Arial" w:cs="Arial"/>
                <w:sz w:val="20"/>
                <w:szCs w:val="20"/>
              </w:rPr>
              <w:t xml:space="preserve"> </w:t>
            </w:r>
            <w:r w:rsidR="007B1FC5" w:rsidRPr="007B1FC5">
              <w:rPr>
                <w:rFonts w:ascii="Arial" w:hAnsi="Arial" w:cs="Arial"/>
                <w:sz w:val="20"/>
                <w:szCs w:val="20"/>
              </w:rPr>
              <w:t xml:space="preserve">dokladov (napr. zmenené stanovy) </w:t>
            </w:r>
            <w:r w:rsidRPr="007B1FC5">
              <w:rPr>
                <w:rFonts w:ascii="Arial" w:hAnsi="Arial" w:cs="Arial"/>
                <w:sz w:val="20"/>
                <w:szCs w:val="20"/>
              </w:rPr>
              <w:t xml:space="preserve">realizovať. </w:t>
            </w:r>
          </w:p>
          <w:p w:rsidR="007B1FC5" w:rsidRPr="007B1FC5" w:rsidRDefault="007B1FC5" w:rsidP="00DA3EEF">
            <w:pPr>
              <w:pStyle w:val="Odsekzoznamu"/>
              <w:ind w:left="0"/>
              <w:rPr>
                <w:rFonts w:ascii="Arial" w:hAnsi="Arial" w:cs="Arial"/>
                <w:sz w:val="20"/>
                <w:szCs w:val="20"/>
              </w:rPr>
            </w:pPr>
          </w:p>
          <w:p w:rsidR="00DA3EEF" w:rsidRPr="007B1FC5" w:rsidRDefault="00DA3EEF" w:rsidP="00DA3EEF">
            <w:pPr>
              <w:pStyle w:val="Odsekzoznamu"/>
              <w:ind w:left="0"/>
              <w:rPr>
                <w:rFonts w:ascii="Arial" w:hAnsi="Arial" w:cs="Arial"/>
                <w:sz w:val="20"/>
                <w:szCs w:val="20"/>
              </w:rPr>
            </w:pPr>
            <w:r w:rsidRPr="007B1FC5">
              <w:rPr>
                <w:rFonts w:ascii="Arial" w:hAnsi="Arial" w:cs="Arial"/>
                <w:sz w:val="20"/>
                <w:szCs w:val="20"/>
              </w:rPr>
              <w:t>Zmeny v definovaní vykonávanej činnosti poisťovne si vyžiadajú zmenu stanov spoločnosti, ktorú schvaľuje valné zhromaždenie. Uvedené znamená nutnosť zvolať valné zhromaždenie s lehotami, ktoré predpisuje Obchodný zákonník</w:t>
            </w:r>
            <w:r w:rsidR="007B1FC5" w:rsidRPr="007B1FC5">
              <w:rPr>
                <w:rFonts w:ascii="Arial" w:hAnsi="Arial" w:cs="Arial"/>
                <w:sz w:val="20"/>
                <w:szCs w:val="20"/>
              </w:rPr>
              <w:t xml:space="preserve"> (§ 184 ods. 3)</w:t>
            </w:r>
            <w:r w:rsidRPr="007B1FC5">
              <w:rPr>
                <w:rFonts w:ascii="Arial" w:hAnsi="Arial" w:cs="Arial"/>
                <w:sz w:val="20"/>
                <w:szCs w:val="20"/>
              </w:rPr>
              <w:t>, zmeniť stanovy a až následne podať návrh na zmenu v obchodnom registri. Navrhovaných 30 dní je na takéto úkony nedostatočný.</w:t>
            </w:r>
          </w:p>
        </w:tc>
        <w:tc>
          <w:tcPr>
            <w:tcW w:w="1701" w:type="dxa"/>
          </w:tcPr>
          <w:p w:rsidR="00450A99" w:rsidRPr="007B1FC5" w:rsidRDefault="00450A99" w:rsidP="00450A99">
            <w:pPr>
              <w:pStyle w:val="Odsekzoznamu"/>
              <w:ind w:left="0"/>
              <w:rPr>
                <w:rFonts w:ascii="Arial" w:hAnsi="Arial" w:cs="Arial"/>
                <w:bCs/>
                <w:sz w:val="20"/>
                <w:szCs w:val="20"/>
              </w:rPr>
            </w:pPr>
          </w:p>
        </w:tc>
      </w:tr>
      <w:tr w:rsidR="00450A99" w:rsidRPr="007B1FC5" w:rsidTr="00450A99">
        <w:trPr>
          <w:cantSplit/>
          <w:trHeight w:val="340"/>
        </w:trPr>
        <w:tc>
          <w:tcPr>
            <w:tcW w:w="1668" w:type="dxa"/>
          </w:tcPr>
          <w:p w:rsidR="00450A99" w:rsidRPr="007B1FC5" w:rsidRDefault="00450A99" w:rsidP="00450A99">
            <w:pPr>
              <w:pStyle w:val="Odsekzoznamu"/>
              <w:ind w:left="0"/>
              <w:rPr>
                <w:rFonts w:ascii="Arial" w:hAnsi="Arial" w:cs="Arial"/>
                <w:b/>
                <w:bCs/>
                <w:sz w:val="20"/>
                <w:szCs w:val="20"/>
              </w:rPr>
            </w:pPr>
          </w:p>
        </w:tc>
        <w:tc>
          <w:tcPr>
            <w:tcW w:w="3827" w:type="dxa"/>
          </w:tcPr>
          <w:p w:rsidR="00450A99" w:rsidRPr="007B1FC5" w:rsidRDefault="00450A99" w:rsidP="00450A99">
            <w:pPr>
              <w:pStyle w:val="Odsekzoznamu"/>
              <w:ind w:left="0"/>
              <w:rPr>
                <w:rFonts w:ascii="Arial" w:hAnsi="Arial" w:cs="Arial"/>
                <w:sz w:val="20"/>
                <w:szCs w:val="20"/>
              </w:rPr>
            </w:pPr>
          </w:p>
        </w:tc>
        <w:tc>
          <w:tcPr>
            <w:tcW w:w="3969" w:type="dxa"/>
          </w:tcPr>
          <w:p w:rsidR="00450A99" w:rsidRPr="007B1FC5" w:rsidRDefault="00450A99" w:rsidP="00450A99">
            <w:pPr>
              <w:pStyle w:val="Odsekzoznamu"/>
              <w:ind w:left="0"/>
              <w:rPr>
                <w:rFonts w:ascii="Arial" w:hAnsi="Arial" w:cs="Arial"/>
                <w:bCs/>
                <w:sz w:val="20"/>
                <w:szCs w:val="20"/>
              </w:rPr>
            </w:pPr>
          </w:p>
        </w:tc>
        <w:tc>
          <w:tcPr>
            <w:tcW w:w="4961" w:type="dxa"/>
          </w:tcPr>
          <w:p w:rsidR="00450A99" w:rsidRPr="007B1FC5" w:rsidRDefault="00450A99" w:rsidP="00450A99">
            <w:pPr>
              <w:pStyle w:val="Textkomentra"/>
              <w:rPr>
                <w:rFonts w:ascii="Arial" w:hAnsi="Arial" w:cs="Arial"/>
                <w:bCs/>
              </w:rPr>
            </w:pPr>
          </w:p>
        </w:tc>
        <w:tc>
          <w:tcPr>
            <w:tcW w:w="1701" w:type="dxa"/>
          </w:tcPr>
          <w:p w:rsidR="00450A99" w:rsidRPr="007B1FC5" w:rsidRDefault="00450A99" w:rsidP="00450A99">
            <w:pPr>
              <w:pStyle w:val="Textkomentra"/>
              <w:rPr>
                <w:rFonts w:ascii="Arial" w:hAnsi="Arial" w:cs="Arial"/>
              </w:rPr>
            </w:pPr>
          </w:p>
        </w:tc>
      </w:tr>
      <w:tr w:rsidR="00450A99" w:rsidRPr="007B1FC5" w:rsidTr="00450A99">
        <w:trPr>
          <w:cantSplit/>
          <w:trHeight w:val="340"/>
        </w:trPr>
        <w:tc>
          <w:tcPr>
            <w:tcW w:w="1668" w:type="dxa"/>
          </w:tcPr>
          <w:p w:rsidR="00450A99" w:rsidRPr="007B1FC5" w:rsidRDefault="00450A99" w:rsidP="00450A99">
            <w:pPr>
              <w:pStyle w:val="Odsekzoznamu"/>
              <w:ind w:left="0"/>
              <w:rPr>
                <w:rFonts w:ascii="Arial" w:hAnsi="Arial" w:cs="Arial"/>
                <w:b/>
                <w:bCs/>
                <w:sz w:val="20"/>
                <w:szCs w:val="20"/>
              </w:rPr>
            </w:pPr>
            <w:r w:rsidRPr="007B1FC5">
              <w:rPr>
                <w:rFonts w:ascii="Arial" w:hAnsi="Arial" w:cs="Arial"/>
                <w:b/>
                <w:bCs/>
                <w:sz w:val="20"/>
                <w:szCs w:val="20"/>
              </w:rPr>
              <w:lastRenderedPageBreak/>
              <w:t>Všeobecne k technickým rezervám poisťovní nespadajúcich pod „Osobitný režim“</w:t>
            </w:r>
          </w:p>
        </w:tc>
        <w:tc>
          <w:tcPr>
            <w:tcW w:w="3827" w:type="dxa"/>
          </w:tcPr>
          <w:p w:rsidR="00450A99" w:rsidRPr="007B1FC5" w:rsidRDefault="00450A99" w:rsidP="00450A99">
            <w:pPr>
              <w:spacing w:after="0" w:line="240" w:lineRule="auto"/>
              <w:rPr>
                <w:rFonts w:ascii="Arial" w:hAnsi="Arial" w:cs="Arial"/>
                <w:sz w:val="20"/>
                <w:szCs w:val="20"/>
              </w:rPr>
            </w:pPr>
          </w:p>
        </w:tc>
        <w:tc>
          <w:tcPr>
            <w:tcW w:w="3969" w:type="dxa"/>
          </w:tcPr>
          <w:p w:rsidR="00450A99" w:rsidRPr="007B1FC5" w:rsidRDefault="00450A99" w:rsidP="00450A99">
            <w:pPr>
              <w:spacing w:after="0" w:line="240" w:lineRule="auto"/>
              <w:jc w:val="both"/>
              <w:rPr>
                <w:rFonts w:ascii="Arial" w:hAnsi="Arial" w:cs="Arial"/>
                <w:bCs/>
                <w:sz w:val="20"/>
                <w:szCs w:val="20"/>
              </w:rPr>
            </w:pPr>
          </w:p>
        </w:tc>
        <w:tc>
          <w:tcPr>
            <w:tcW w:w="4961" w:type="dxa"/>
          </w:tcPr>
          <w:p w:rsidR="00450A99" w:rsidRPr="007B1FC5" w:rsidRDefault="00450A99" w:rsidP="00450A99">
            <w:pPr>
              <w:pStyle w:val="Textkomentra"/>
              <w:rPr>
                <w:rFonts w:ascii="Arial" w:hAnsi="Arial" w:cs="Arial"/>
                <w:bCs/>
              </w:rPr>
            </w:pPr>
            <w:r w:rsidRPr="007B1FC5">
              <w:rPr>
                <w:rFonts w:ascii="Arial" w:hAnsi="Arial" w:cs="Arial"/>
              </w:rPr>
              <w:t xml:space="preserve">Podľa znenia § 37 ods. 1 tohto navrhovaného zákona, ktoré sa vzťahuje na poisťovne nespadajúce pod tzv. „Osobitný režim“, má platiť, že </w:t>
            </w:r>
            <w:r w:rsidRPr="007B1FC5">
              <w:rPr>
                <w:rFonts w:ascii="Arial" w:hAnsi="Arial" w:cs="Arial"/>
                <w:b/>
              </w:rPr>
              <w:t>"Poisťovňa a zaisťovňa sú povinné tvoriť technické rezervy na všetky záväzky voči poistníkom, poisteným, príjemcom poistného plnenia, príjemcom zaistného plnenia a Slovenskej kancelárii poisťovateľov."</w:t>
            </w:r>
            <w:r w:rsidRPr="007B1FC5">
              <w:rPr>
                <w:rFonts w:ascii="Arial" w:hAnsi="Arial" w:cs="Arial"/>
                <w:bCs/>
              </w:rPr>
              <w:t xml:space="preserve"> </w:t>
            </w:r>
          </w:p>
          <w:p w:rsidR="00450A99" w:rsidRPr="007B1FC5" w:rsidRDefault="00450A99" w:rsidP="00450A99">
            <w:pPr>
              <w:pStyle w:val="Textkomentra"/>
              <w:rPr>
                <w:rFonts w:ascii="Arial" w:hAnsi="Arial" w:cs="Arial"/>
                <w:bCs/>
              </w:rPr>
            </w:pPr>
            <w:r w:rsidRPr="007B1FC5">
              <w:rPr>
                <w:rFonts w:ascii="Arial" w:hAnsi="Arial" w:cs="Arial"/>
                <w:bCs/>
              </w:rPr>
              <w:t>V § 37 sa neuvádza zoznam „technických“ rezerv, ktoré je poisťovňa povinná tvoriť (v porovnaní s § 171) a ktoré má podľa § 73 ods. 7 poisťovňa nespadajúca pod „osobitný režim“ vykazovať oddelene pre životné poistenie a neživotné poistenie. Preto pre poisťovne nespadajúce pod „Osobitný režim“ zostáva otázna aj aplikácia zákona o dani z príjmov v jeho súčasnom znení vo vzťahu k „technickým“ rezervám.</w:t>
            </w:r>
          </w:p>
          <w:p w:rsidR="00450A99" w:rsidRPr="007B1FC5" w:rsidRDefault="00450A99" w:rsidP="00450A99">
            <w:pPr>
              <w:spacing w:after="0" w:line="240" w:lineRule="auto"/>
              <w:rPr>
                <w:rFonts w:ascii="Arial" w:hAnsi="Arial" w:cs="Arial"/>
                <w:bCs/>
                <w:sz w:val="20"/>
                <w:szCs w:val="20"/>
              </w:rPr>
            </w:pPr>
            <w:r w:rsidRPr="007B1FC5">
              <w:rPr>
                <w:rFonts w:ascii="Arial" w:hAnsi="Arial" w:cs="Arial"/>
                <w:bCs/>
                <w:sz w:val="20"/>
                <w:szCs w:val="20"/>
              </w:rPr>
              <w:t xml:space="preserve">Ak ide o poisťovňu, ktorá nespadá pod „Osobitný režim“, môže táto poisťovňa aplikovať aj niektoré ustanovenia šiestej časti zákona (napr. zoznam technických rezerv)? </w:t>
            </w:r>
          </w:p>
          <w:p w:rsidR="00450A99" w:rsidRPr="007B1FC5" w:rsidRDefault="00450A99" w:rsidP="00450A99">
            <w:pPr>
              <w:spacing w:after="0" w:line="240" w:lineRule="auto"/>
              <w:rPr>
                <w:rFonts w:ascii="Arial" w:hAnsi="Arial" w:cs="Arial"/>
                <w:bCs/>
                <w:sz w:val="20"/>
                <w:szCs w:val="20"/>
              </w:rPr>
            </w:pPr>
            <w:r w:rsidRPr="007B1FC5">
              <w:rPr>
                <w:rFonts w:ascii="Arial" w:hAnsi="Arial" w:cs="Arial"/>
                <w:bCs/>
                <w:sz w:val="20"/>
                <w:szCs w:val="20"/>
              </w:rPr>
              <w:t>Pozn.: Ustanovenia, ktoré to vylučujú, sme v zákone nenašli.</w:t>
            </w:r>
          </w:p>
          <w:p w:rsidR="00450A99" w:rsidRPr="007B1FC5" w:rsidRDefault="00450A99" w:rsidP="00450A99">
            <w:pPr>
              <w:spacing w:after="0" w:line="240" w:lineRule="auto"/>
              <w:rPr>
                <w:rFonts w:ascii="Arial" w:hAnsi="Arial" w:cs="Arial"/>
                <w:bCs/>
                <w:sz w:val="20"/>
                <w:szCs w:val="20"/>
              </w:rPr>
            </w:pPr>
            <w:r w:rsidRPr="007B1FC5">
              <w:rPr>
                <w:rFonts w:ascii="Arial" w:hAnsi="Arial" w:cs="Arial"/>
                <w:bCs/>
                <w:sz w:val="20"/>
                <w:szCs w:val="20"/>
              </w:rPr>
              <w:t xml:space="preserve">Ak by ustanovenia šiestej časti zákona na takúto poisťovňu nebolo možné použiť, potom pre túto poisťovňu je zatiaľ otázne aj to, aký spôsob umiestnenia prostriedkov technických rezerv bude aplikovať. </w:t>
            </w:r>
          </w:p>
          <w:p w:rsidR="00450A99" w:rsidRPr="007B1FC5" w:rsidRDefault="00450A99" w:rsidP="00450A99">
            <w:pPr>
              <w:spacing w:after="0" w:line="240" w:lineRule="auto"/>
              <w:rPr>
                <w:rFonts w:ascii="Arial" w:hAnsi="Arial" w:cs="Arial"/>
                <w:bCs/>
                <w:sz w:val="20"/>
                <w:szCs w:val="20"/>
              </w:rPr>
            </w:pPr>
          </w:p>
          <w:p w:rsidR="00450A99" w:rsidRPr="007B1FC5" w:rsidRDefault="00450A99" w:rsidP="00450A99">
            <w:pPr>
              <w:spacing w:after="0" w:line="240" w:lineRule="auto"/>
              <w:rPr>
                <w:rFonts w:ascii="Arial" w:hAnsi="Arial" w:cs="Arial"/>
                <w:bCs/>
                <w:sz w:val="20"/>
                <w:szCs w:val="20"/>
              </w:rPr>
            </w:pPr>
          </w:p>
          <w:p w:rsidR="00450A99" w:rsidRPr="007B1FC5" w:rsidRDefault="00450A99" w:rsidP="00450A99">
            <w:pPr>
              <w:pStyle w:val="Textkomentra"/>
              <w:rPr>
                <w:rFonts w:ascii="Arial" w:hAnsi="Arial" w:cs="Arial"/>
              </w:rPr>
            </w:pPr>
            <w:r w:rsidRPr="007B1FC5">
              <w:rPr>
                <w:rFonts w:ascii="Arial" w:hAnsi="Arial" w:cs="Arial"/>
              </w:rPr>
              <w:t xml:space="preserve">Ak § 171 má platiť len pre poisťovne „v osobitnom režime“, potom je pre ostatné poisťovne potrebné zadefinovať konkrétne, aké druhy technických rezerv majú resp. môžu tvoriť, resp. </w:t>
            </w:r>
            <w:r w:rsidRPr="007B1FC5">
              <w:rPr>
                <w:rFonts w:ascii="Arial" w:hAnsi="Arial" w:cs="Arial"/>
                <w:bCs/>
              </w:rPr>
              <w:t>uviesť odvolávku na príslušný predpis, podľa ktorého má poisťovňa nespadajúca pod „osobitný režim“ postupovať.</w:t>
            </w:r>
            <w:r w:rsidRPr="007B1FC5">
              <w:rPr>
                <w:rFonts w:ascii="Arial" w:hAnsi="Arial" w:cs="Arial"/>
              </w:rPr>
              <w:t xml:space="preserve"> </w:t>
            </w:r>
          </w:p>
          <w:p w:rsidR="00450A99" w:rsidRPr="007B1FC5" w:rsidRDefault="00450A99" w:rsidP="00450A99">
            <w:pPr>
              <w:spacing w:after="0" w:line="240" w:lineRule="auto"/>
              <w:rPr>
                <w:rFonts w:ascii="Arial" w:hAnsi="Arial" w:cs="Arial"/>
                <w:bCs/>
                <w:sz w:val="20"/>
                <w:szCs w:val="20"/>
              </w:rPr>
            </w:pPr>
          </w:p>
        </w:tc>
        <w:tc>
          <w:tcPr>
            <w:tcW w:w="1701" w:type="dxa"/>
          </w:tcPr>
          <w:p w:rsidR="00450A99" w:rsidRPr="007B1FC5" w:rsidRDefault="00450A99" w:rsidP="00450A99">
            <w:pPr>
              <w:pStyle w:val="Odsekzoznamu"/>
              <w:ind w:left="0"/>
              <w:rPr>
                <w:rFonts w:ascii="Arial" w:hAnsi="Arial" w:cs="Arial"/>
                <w:bCs/>
                <w:sz w:val="20"/>
                <w:szCs w:val="20"/>
              </w:rPr>
            </w:pPr>
          </w:p>
        </w:tc>
      </w:tr>
      <w:tr w:rsidR="00450A99" w:rsidRPr="007B1FC5" w:rsidTr="00450A99">
        <w:trPr>
          <w:cantSplit/>
          <w:trHeight w:val="340"/>
        </w:trPr>
        <w:tc>
          <w:tcPr>
            <w:tcW w:w="1668" w:type="dxa"/>
          </w:tcPr>
          <w:p w:rsidR="00450A99" w:rsidRPr="007B1FC5" w:rsidRDefault="00450A99" w:rsidP="00450A99">
            <w:pPr>
              <w:pStyle w:val="Odsekzoznamu"/>
              <w:ind w:left="0"/>
              <w:rPr>
                <w:rFonts w:ascii="Arial" w:hAnsi="Arial" w:cs="Arial"/>
                <w:b/>
                <w:bCs/>
                <w:sz w:val="20"/>
                <w:szCs w:val="20"/>
              </w:rPr>
            </w:pPr>
            <w:r w:rsidRPr="007B1FC5">
              <w:rPr>
                <w:rFonts w:ascii="Arial" w:hAnsi="Arial" w:cs="Arial"/>
                <w:b/>
                <w:bCs/>
                <w:sz w:val="20"/>
                <w:szCs w:val="20"/>
              </w:rPr>
              <w:t>CL. II</w:t>
            </w:r>
          </w:p>
        </w:tc>
        <w:tc>
          <w:tcPr>
            <w:tcW w:w="3827" w:type="dxa"/>
          </w:tcPr>
          <w:p w:rsidR="00450A99" w:rsidRPr="007B1FC5" w:rsidRDefault="00450A99" w:rsidP="00450A9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sz w:val="20"/>
                <w:szCs w:val="20"/>
              </w:rPr>
            </w:pPr>
          </w:p>
        </w:tc>
        <w:tc>
          <w:tcPr>
            <w:tcW w:w="3969" w:type="dxa"/>
          </w:tcPr>
          <w:p w:rsidR="00450A99" w:rsidRPr="007B1FC5" w:rsidRDefault="00450A99" w:rsidP="00450A99">
            <w:pPr>
              <w:spacing w:after="0" w:line="240" w:lineRule="auto"/>
              <w:jc w:val="both"/>
              <w:rPr>
                <w:rFonts w:ascii="Arial" w:hAnsi="Arial" w:cs="Arial"/>
                <w:bCs/>
                <w:sz w:val="20"/>
                <w:szCs w:val="20"/>
              </w:rPr>
            </w:pPr>
          </w:p>
        </w:tc>
        <w:tc>
          <w:tcPr>
            <w:tcW w:w="4961" w:type="dxa"/>
          </w:tcPr>
          <w:p w:rsidR="00450A99" w:rsidRPr="007B1FC5" w:rsidRDefault="00450A99" w:rsidP="00450A99">
            <w:pPr>
              <w:pStyle w:val="Textkomentra"/>
              <w:rPr>
                <w:rFonts w:ascii="Arial" w:hAnsi="Arial" w:cs="Arial"/>
                <w:bCs/>
              </w:rPr>
            </w:pPr>
          </w:p>
        </w:tc>
        <w:tc>
          <w:tcPr>
            <w:tcW w:w="1701" w:type="dxa"/>
          </w:tcPr>
          <w:p w:rsidR="00450A99" w:rsidRPr="007B1FC5" w:rsidRDefault="00450A99" w:rsidP="00450A99">
            <w:pPr>
              <w:pStyle w:val="Odsekzoznamu"/>
              <w:ind w:left="0"/>
              <w:rPr>
                <w:rFonts w:ascii="Arial" w:hAnsi="Arial" w:cs="Arial"/>
                <w:bCs/>
                <w:sz w:val="20"/>
                <w:szCs w:val="20"/>
              </w:rPr>
            </w:pPr>
          </w:p>
        </w:tc>
      </w:tr>
      <w:tr w:rsidR="00450A99" w:rsidRPr="007B1FC5" w:rsidTr="00450A99">
        <w:trPr>
          <w:cantSplit/>
          <w:trHeight w:val="340"/>
        </w:trPr>
        <w:tc>
          <w:tcPr>
            <w:tcW w:w="1668" w:type="dxa"/>
          </w:tcPr>
          <w:p w:rsidR="00450A99" w:rsidRPr="007B1FC5" w:rsidRDefault="00450A99" w:rsidP="00450A99">
            <w:pPr>
              <w:pStyle w:val="Odsekzoznamu"/>
              <w:ind w:left="0"/>
              <w:rPr>
                <w:rFonts w:ascii="Arial" w:hAnsi="Arial" w:cs="Arial"/>
                <w:b/>
                <w:bCs/>
                <w:sz w:val="20"/>
                <w:szCs w:val="20"/>
              </w:rPr>
            </w:pPr>
            <w:r w:rsidRPr="007B1FC5">
              <w:rPr>
                <w:rFonts w:ascii="Arial" w:hAnsi="Arial" w:cs="Arial"/>
                <w:b/>
                <w:bCs/>
                <w:sz w:val="20"/>
                <w:szCs w:val="20"/>
              </w:rPr>
              <w:lastRenderedPageBreak/>
              <w:t>§ 792a ods. 2 písm. a)</w:t>
            </w:r>
          </w:p>
        </w:tc>
        <w:tc>
          <w:tcPr>
            <w:tcW w:w="3827" w:type="dxa"/>
          </w:tcPr>
          <w:p w:rsidR="00450A99" w:rsidRPr="007B1FC5" w:rsidRDefault="00450A99" w:rsidP="00450A99">
            <w:pPr>
              <w:spacing w:after="0" w:line="240" w:lineRule="auto"/>
              <w:jc w:val="both"/>
              <w:rPr>
                <w:rFonts w:ascii="Arial" w:hAnsi="Arial" w:cs="Arial"/>
                <w:sz w:val="20"/>
                <w:szCs w:val="20"/>
              </w:rPr>
            </w:pPr>
            <w:r w:rsidRPr="007B1FC5">
              <w:rPr>
                <w:rFonts w:ascii="Arial" w:hAnsi="Arial" w:cs="Arial"/>
                <w:sz w:val="20"/>
                <w:szCs w:val="20"/>
              </w:rPr>
              <w:t>a) obsah všetkých poistných plnení v súvislosti s poistnou udalosťou a všetkých možností poistníka (opcií),</w:t>
            </w:r>
          </w:p>
          <w:p w:rsidR="00450A99" w:rsidRPr="007B1FC5" w:rsidRDefault="00450A99" w:rsidP="00450A9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sz w:val="20"/>
                <w:szCs w:val="20"/>
              </w:rPr>
            </w:pPr>
          </w:p>
        </w:tc>
        <w:tc>
          <w:tcPr>
            <w:tcW w:w="3969" w:type="dxa"/>
          </w:tcPr>
          <w:p w:rsidR="00450A99" w:rsidRPr="007B1FC5" w:rsidRDefault="00450A99" w:rsidP="00450A99">
            <w:pPr>
              <w:spacing w:after="0" w:line="240" w:lineRule="auto"/>
              <w:jc w:val="both"/>
              <w:rPr>
                <w:rFonts w:ascii="Arial" w:hAnsi="Arial" w:cs="Arial"/>
                <w:sz w:val="20"/>
                <w:szCs w:val="20"/>
              </w:rPr>
            </w:pPr>
            <w:r w:rsidRPr="007B1FC5">
              <w:rPr>
                <w:rFonts w:ascii="Arial" w:hAnsi="Arial" w:cs="Arial"/>
                <w:sz w:val="20"/>
                <w:szCs w:val="20"/>
              </w:rPr>
              <w:t>a) obsah všetkých poistných plnení v súvislosti s poistnou udalosťou,</w:t>
            </w:r>
          </w:p>
          <w:p w:rsidR="00450A99" w:rsidRPr="007B1FC5" w:rsidRDefault="00450A99" w:rsidP="00450A9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sz w:val="20"/>
                <w:szCs w:val="20"/>
              </w:rPr>
            </w:pPr>
          </w:p>
        </w:tc>
        <w:tc>
          <w:tcPr>
            <w:tcW w:w="4961" w:type="dxa"/>
          </w:tcPr>
          <w:p w:rsidR="00450A99" w:rsidRPr="007B1FC5" w:rsidRDefault="00450A99" w:rsidP="00450A99">
            <w:pPr>
              <w:pStyle w:val="Textkomentra"/>
              <w:rPr>
                <w:rFonts w:ascii="Arial" w:hAnsi="Arial" w:cs="Arial"/>
              </w:rPr>
            </w:pPr>
            <w:r w:rsidRPr="007B1FC5">
              <w:rPr>
                <w:rFonts w:ascii="Arial" w:hAnsi="Arial" w:cs="Arial"/>
              </w:rPr>
              <w:t xml:space="preserve">Navrhovaný text je neurčitý. Nie je zrejmé o akých všetkých “možnostiach“ má poisťovateľ informovať poistníka. Viaže sa to k poistnému plneniu? Alebo aj napr. zániku poistenia? </w:t>
            </w:r>
          </w:p>
          <w:p w:rsidR="00450A99" w:rsidRPr="007B1FC5" w:rsidRDefault="00450A99" w:rsidP="00450A99">
            <w:pPr>
              <w:pStyle w:val="Textkomentra"/>
              <w:rPr>
                <w:rFonts w:ascii="Arial" w:hAnsi="Arial" w:cs="Arial"/>
              </w:rPr>
            </w:pPr>
            <w:r w:rsidRPr="007B1FC5">
              <w:rPr>
                <w:rFonts w:ascii="Arial" w:hAnsi="Arial" w:cs="Arial"/>
              </w:rPr>
              <w:t>Samostatná otázka je použitie pojmu „poistník“.  Je síce správny, avšak Občiansky zákonník tento pojem nepozná a vôbec ho nepoužíva (používa pojem „ten, kto s poisťovateľom uzaviera poistnú zmluvu“).</w:t>
            </w:r>
          </w:p>
          <w:p w:rsidR="00450A99" w:rsidRPr="007B1FC5" w:rsidRDefault="00450A99" w:rsidP="00450A99">
            <w:pPr>
              <w:pStyle w:val="Textkomentra"/>
              <w:rPr>
                <w:rFonts w:ascii="Arial" w:hAnsi="Arial" w:cs="Arial"/>
                <w:bCs/>
              </w:rPr>
            </w:pPr>
          </w:p>
        </w:tc>
        <w:tc>
          <w:tcPr>
            <w:tcW w:w="1701" w:type="dxa"/>
          </w:tcPr>
          <w:p w:rsidR="00450A99" w:rsidRPr="007B1FC5" w:rsidRDefault="00450A99" w:rsidP="00450A99">
            <w:pPr>
              <w:pStyle w:val="Odsekzoznamu"/>
              <w:ind w:left="0"/>
              <w:rPr>
                <w:rFonts w:ascii="Arial" w:hAnsi="Arial" w:cs="Arial"/>
                <w:bCs/>
                <w:sz w:val="20"/>
                <w:szCs w:val="20"/>
              </w:rPr>
            </w:pPr>
          </w:p>
        </w:tc>
      </w:tr>
      <w:tr w:rsidR="00450A99" w:rsidRPr="007B1FC5" w:rsidTr="00450A99">
        <w:trPr>
          <w:cantSplit/>
          <w:trHeight w:val="340"/>
        </w:trPr>
        <w:tc>
          <w:tcPr>
            <w:tcW w:w="1668" w:type="dxa"/>
          </w:tcPr>
          <w:p w:rsidR="00450A99" w:rsidRPr="007B1FC5" w:rsidRDefault="00450A99" w:rsidP="00450A99">
            <w:pPr>
              <w:pStyle w:val="Odsekzoznamu"/>
              <w:ind w:left="0"/>
              <w:rPr>
                <w:rFonts w:ascii="Arial" w:hAnsi="Arial" w:cs="Arial"/>
                <w:b/>
                <w:bCs/>
                <w:sz w:val="20"/>
                <w:szCs w:val="20"/>
              </w:rPr>
            </w:pPr>
            <w:r w:rsidRPr="007B1FC5">
              <w:rPr>
                <w:rFonts w:ascii="Arial" w:hAnsi="Arial" w:cs="Arial"/>
                <w:b/>
                <w:bCs/>
                <w:sz w:val="20"/>
                <w:szCs w:val="20"/>
              </w:rPr>
              <w:lastRenderedPageBreak/>
              <w:t>§ 792a ods. 2 písm. f)</w:t>
            </w:r>
          </w:p>
        </w:tc>
        <w:tc>
          <w:tcPr>
            <w:tcW w:w="3827" w:type="dxa"/>
          </w:tcPr>
          <w:p w:rsidR="00450A99" w:rsidRPr="007B1FC5" w:rsidRDefault="00450A99" w:rsidP="00450A99">
            <w:pPr>
              <w:spacing w:after="0" w:line="240" w:lineRule="auto"/>
              <w:jc w:val="both"/>
              <w:rPr>
                <w:rFonts w:ascii="Arial" w:hAnsi="Arial" w:cs="Arial"/>
                <w:sz w:val="20"/>
                <w:szCs w:val="20"/>
              </w:rPr>
            </w:pPr>
            <w:r w:rsidRPr="007B1FC5">
              <w:rPr>
                <w:rFonts w:ascii="Arial" w:hAnsi="Arial" w:cs="Arial"/>
                <w:sz w:val="20"/>
                <w:szCs w:val="20"/>
              </w:rPr>
              <w:t>f) hodnoty garantovaného odbytného a garantovaného poistného nároku,</w:t>
            </w:r>
          </w:p>
          <w:p w:rsidR="00450A99" w:rsidRPr="007B1FC5" w:rsidRDefault="00450A99" w:rsidP="00450A9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sz w:val="20"/>
                <w:szCs w:val="20"/>
              </w:rPr>
            </w:pPr>
          </w:p>
        </w:tc>
        <w:tc>
          <w:tcPr>
            <w:tcW w:w="3969" w:type="dxa"/>
          </w:tcPr>
          <w:p w:rsidR="00450A99" w:rsidRPr="007B1FC5" w:rsidRDefault="00450A99" w:rsidP="00450A99">
            <w:pPr>
              <w:spacing w:after="0" w:line="240" w:lineRule="auto"/>
              <w:jc w:val="both"/>
              <w:rPr>
                <w:rFonts w:ascii="Arial" w:hAnsi="Arial" w:cs="Arial"/>
                <w:bCs/>
                <w:sz w:val="20"/>
                <w:szCs w:val="20"/>
              </w:rPr>
            </w:pPr>
          </w:p>
        </w:tc>
        <w:tc>
          <w:tcPr>
            <w:tcW w:w="4961" w:type="dxa"/>
          </w:tcPr>
          <w:p w:rsidR="00450A99" w:rsidRPr="007B1FC5" w:rsidRDefault="00450A99" w:rsidP="00450A99">
            <w:pPr>
              <w:pStyle w:val="Textkomentra"/>
              <w:rPr>
                <w:rFonts w:ascii="Arial" w:hAnsi="Arial" w:cs="Arial"/>
                <w:bCs/>
              </w:rPr>
            </w:pPr>
            <w:r w:rsidRPr="007B1FC5">
              <w:rPr>
                <w:rFonts w:ascii="Arial" w:hAnsi="Arial" w:cs="Arial"/>
                <w:bCs/>
              </w:rPr>
              <w:t>Určiť hodnotu (výšku) odbytného (</w:t>
            </w:r>
            <w:proofErr w:type="spellStart"/>
            <w:r w:rsidRPr="007B1FC5">
              <w:rPr>
                <w:rFonts w:ascii="Arial" w:hAnsi="Arial" w:cs="Arial"/>
                <w:bCs/>
              </w:rPr>
              <w:t>odkupnej</w:t>
            </w:r>
            <w:proofErr w:type="spellEnd"/>
            <w:r w:rsidRPr="007B1FC5">
              <w:rPr>
                <w:rFonts w:ascii="Arial" w:hAnsi="Arial" w:cs="Arial"/>
                <w:bCs/>
              </w:rPr>
              <w:t xml:space="preserve"> hodnoty) je veľmi problematické a v niektorých prípadoch nemožné, nakoľko:</w:t>
            </w:r>
          </w:p>
          <w:p w:rsidR="00450A99" w:rsidRPr="007B1FC5" w:rsidRDefault="00450A99" w:rsidP="00450A99">
            <w:pPr>
              <w:pStyle w:val="Textkomentra"/>
              <w:rPr>
                <w:rFonts w:ascii="Arial" w:hAnsi="Arial" w:cs="Arial"/>
                <w:bCs/>
              </w:rPr>
            </w:pPr>
            <w:r w:rsidRPr="007B1FC5">
              <w:rPr>
                <w:rFonts w:ascii="Arial" w:hAnsi="Arial" w:cs="Arial"/>
                <w:bCs/>
              </w:rPr>
              <w:t>a/ odbytné nie je automatickou súčasťou každého poistného produktu a Občiansky zákonník ani nevymedzuje prípady, v ktorých by malo vzniknúť právo na odbytné</w:t>
            </w:r>
          </w:p>
          <w:p w:rsidR="00450A99" w:rsidRPr="007B1FC5" w:rsidRDefault="00450A99" w:rsidP="00450A99">
            <w:pPr>
              <w:pStyle w:val="Textkomentra"/>
              <w:rPr>
                <w:rFonts w:ascii="Arial" w:hAnsi="Arial" w:cs="Arial"/>
                <w:bCs/>
              </w:rPr>
            </w:pPr>
            <w:r w:rsidRPr="007B1FC5">
              <w:rPr>
                <w:rFonts w:ascii="Arial" w:hAnsi="Arial" w:cs="Arial"/>
                <w:bCs/>
              </w:rPr>
              <w:t>b/ výška (hodnota) odbytného sa vypočítava vždy ku konkrétnemu dátumu a dopredu nie je možné určiť, kedy poistná zmluva zanikne a kedy poisťovateľovi vznikne povinnosť vyplatiť odbytné</w:t>
            </w:r>
          </w:p>
          <w:p w:rsidR="00450A99" w:rsidRPr="007B1FC5" w:rsidRDefault="00450A99" w:rsidP="00450A99">
            <w:pPr>
              <w:pStyle w:val="Textkomentra"/>
              <w:rPr>
                <w:rFonts w:ascii="Arial" w:hAnsi="Arial" w:cs="Arial"/>
                <w:bCs/>
              </w:rPr>
            </w:pPr>
            <w:r w:rsidRPr="007B1FC5">
              <w:rPr>
                <w:rFonts w:ascii="Arial" w:hAnsi="Arial" w:cs="Arial"/>
                <w:bCs/>
              </w:rPr>
              <w:t>c/ výška (hodnota) odbytného sa nedá vôbec stanoviť v prípadoch investičného životného poistenia, v rámci ktorého sa výška odbytného odvíja od aktuálnej trhovej hodnoty aktív, do ktorých boli prostriedky investované.</w:t>
            </w:r>
          </w:p>
          <w:p w:rsidR="00450A99" w:rsidRPr="007B1FC5" w:rsidRDefault="00450A99" w:rsidP="00450A99">
            <w:pPr>
              <w:pStyle w:val="Textkomentra"/>
              <w:rPr>
                <w:rFonts w:ascii="Arial" w:hAnsi="Arial" w:cs="Arial"/>
              </w:rPr>
            </w:pPr>
            <w:r w:rsidRPr="007B1FC5">
              <w:rPr>
                <w:rFonts w:ascii="Arial" w:hAnsi="Arial" w:cs="Arial"/>
                <w:bCs/>
              </w:rPr>
              <w:t>Sme toho názoru, že poisťovateľ by mal informovať klienta iba o spôsobe (opisné určenie) stanovenia odbytného, a to len pri tých produktoch, kde sa odbytné vypláca.</w:t>
            </w:r>
            <w:r w:rsidRPr="007B1FC5">
              <w:rPr>
                <w:rFonts w:ascii="Arial" w:hAnsi="Arial" w:cs="Arial"/>
              </w:rPr>
              <w:t xml:space="preserve"> </w:t>
            </w:r>
          </w:p>
          <w:p w:rsidR="00450A99" w:rsidRPr="007B1FC5" w:rsidRDefault="00450A99" w:rsidP="00450A99">
            <w:pPr>
              <w:pStyle w:val="Textkomentra"/>
              <w:rPr>
                <w:rFonts w:ascii="Arial" w:hAnsi="Arial" w:cs="Arial"/>
                <w:bCs/>
              </w:rPr>
            </w:pPr>
            <w:r w:rsidRPr="007B1FC5">
              <w:rPr>
                <w:rFonts w:ascii="Arial" w:hAnsi="Arial" w:cs="Arial"/>
              </w:rPr>
              <w:t>Pojem garantovaný poistný nárok zákon nepozná. Myslí sa tým súhrn nárokov, ktoré definuje § 816 OZ? Ak nie, navrhujeme zjednotiť s § 788 ods. 2 písm. a), kde sa používa spojenie „zaručená (t.j. garantovaná) poistná suma“</w:t>
            </w:r>
          </w:p>
        </w:tc>
        <w:tc>
          <w:tcPr>
            <w:tcW w:w="1701" w:type="dxa"/>
          </w:tcPr>
          <w:p w:rsidR="00450A99" w:rsidRPr="007B1FC5" w:rsidRDefault="00450A99" w:rsidP="00450A99">
            <w:pPr>
              <w:pStyle w:val="Odsekzoznamu"/>
              <w:ind w:left="0"/>
              <w:rPr>
                <w:rFonts w:ascii="Arial" w:hAnsi="Arial" w:cs="Arial"/>
                <w:bCs/>
                <w:sz w:val="20"/>
                <w:szCs w:val="20"/>
              </w:rPr>
            </w:pPr>
          </w:p>
        </w:tc>
      </w:tr>
      <w:tr w:rsidR="00450A99" w:rsidRPr="007B1FC5" w:rsidTr="00450A99">
        <w:trPr>
          <w:cantSplit/>
          <w:trHeight w:val="340"/>
        </w:trPr>
        <w:tc>
          <w:tcPr>
            <w:tcW w:w="1668" w:type="dxa"/>
          </w:tcPr>
          <w:p w:rsidR="00450A99" w:rsidRPr="007B1FC5" w:rsidRDefault="00450A99" w:rsidP="00450A99">
            <w:pPr>
              <w:pStyle w:val="Odsekzoznamu"/>
              <w:ind w:left="0"/>
              <w:rPr>
                <w:rFonts w:ascii="Arial" w:hAnsi="Arial" w:cs="Arial"/>
                <w:b/>
                <w:bCs/>
                <w:sz w:val="20"/>
                <w:szCs w:val="20"/>
              </w:rPr>
            </w:pPr>
            <w:r w:rsidRPr="007B1FC5">
              <w:rPr>
                <w:rFonts w:ascii="Arial" w:hAnsi="Arial" w:cs="Arial"/>
                <w:b/>
                <w:bCs/>
                <w:sz w:val="20"/>
                <w:szCs w:val="20"/>
              </w:rPr>
              <w:t xml:space="preserve">§ 792a ods. 6 </w:t>
            </w:r>
          </w:p>
        </w:tc>
        <w:tc>
          <w:tcPr>
            <w:tcW w:w="3827" w:type="dxa"/>
          </w:tcPr>
          <w:p w:rsidR="00450A99" w:rsidRPr="007B1FC5" w:rsidRDefault="00450A99" w:rsidP="00450A99">
            <w:pPr>
              <w:spacing w:after="0" w:line="240" w:lineRule="auto"/>
              <w:jc w:val="both"/>
              <w:rPr>
                <w:rFonts w:ascii="Arial" w:hAnsi="Arial" w:cs="Arial"/>
                <w:sz w:val="20"/>
                <w:szCs w:val="20"/>
              </w:rPr>
            </w:pPr>
            <w:r w:rsidRPr="007B1FC5">
              <w:rPr>
                <w:rFonts w:ascii="Arial" w:hAnsi="Arial" w:cs="Arial"/>
                <w:sz w:val="20"/>
                <w:szCs w:val="20"/>
              </w:rPr>
              <w:t xml:space="preserve"> (6) Ak poistná zmluva oprávňuje poisteného získať podiel na výnosoch, musí poisťovateľ každoročne písomne informovať poistníka o stave jeho nárokov vyplývajúcich z poistnej zmluvy vrátane podielu na výnosoch ako aj </w:t>
            </w:r>
            <w:r w:rsidRPr="007B1FC5" w:rsidDel="00694CD8">
              <w:rPr>
                <w:rFonts w:ascii="Arial" w:hAnsi="Arial" w:cs="Arial"/>
                <w:sz w:val="20"/>
                <w:szCs w:val="20"/>
              </w:rPr>
              <w:t xml:space="preserve"> </w:t>
            </w:r>
            <w:r w:rsidRPr="007B1FC5">
              <w:rPr>
                <w:rFonts w:ascii="Arial" w:hAnsi="Arial" w:cs="Arial"/>
                <w:sz w:val="20"/>
                <w:szCs w:val="20"/>
              </w:rPr>
              <w:t>o rozdieloch medzi skutočným stavom a pôvodnou kalkuláciou.</w:t>
            </w:r>
          </w:p>
          <w:p w:rsidR="00450A99" w:rsidRPr="007B1FC5" w:rsidRDefault="00450A99" w:rsidP="00450A99">
            <w:pPr>
              <w:spacing w:after="0" w:line="240" w:lineRule="auto"/>
              <w:jc w:val="both"/>
              <w:rPr>
                <w:rFonts w:ascii="Arial" w:hAnsi="Arial" w:cs="Arial"/>
                <w:sz w:val="20"/>
                <w:szCs w:val="20"/>
              </w:rPr>
            </w:pPr>
          </w:p>
          <w:p w:rsidR="00450A99" w:rsidRPr="007B1FC5" w:rsidRDefault="00450A99" w:rsidP="00450A9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sz w:val="20"/>
                <w:szCs w:val="20"/>
              </w:rPr>
            </w:pPr>
          </w:p>
        </w:tc>
        <w:tc>
          <w:tcPr>
            <w:tcW w:w="3969" w:type="dxa"/>
          </w:tcPr>
          <w:p w:rsidR="00450A99" w:rsidRPr="007B1FC5" w:rsidRDefault="00450A99" w:rsidP="00450A99">
            <w:pPr>
              <w:spacing w:after="0" w:line="240" w:lineRule="auto"/>
              <w:jc w:val="both"/>
              <w:rPr>
                <w:rFonts w:ascii="Arial" w:hAnsi="Arial" w:cs="Arial"/>
                <w:bCs/>
                <w:sz w:val="20"/>
                <w:szCs w:val="20"/>
              </w:rPr>
            </w:pPr>
          </w:p>
        </w:tc>
        <w:tc>
          <w:tcPr>
            <w:tcW w:w="4961" w:type="dxa"/>
          </w:tcPr>
          <w:p w:rsidR="00450A99" w:rsidRPr="007B1FC5" w:rsidRDefault="00450A99" w:rsidP="00450A99">
            <w:pPr>
              <w:pStyle w:val="Textkomentra"/>
              <w:rPr>
                <w:rFonts w:ascii="Arial" w:hAnsi="Arial" w:cs="Arial"/>
                <w:bCs/>
              </w:rPr>
            </w:pPr>
            <w:r w:rsidRPr="007B1FC5">
              <w:rPr>
                <w:rFonts w:ascii="Arial" w:hAnsi="Arial" w:cs="Arial"/>
              </w:rPr>
              <w:t>V ods. 5 sa uvádza, že vzorová kalkulácia je len modelový výpočet a nie je to pre klienta záväzné. Z akého dôvodu potom poisťovateľ má povinnosť každoročne informovať klienta aj o rozdieloch medzi skutočným stavom a vzorovou kalkuláciou, ktorá nie je záväzná?. Navyše vzorová kalkulácia má obsahovať 3 alternatívy – znamená to, že ten rozdiel musí mať tiež tri rôzne hodnoty?</w:t>
            </w:r>
          </w:p>
        </w:tc>
        <w:tc>
          <w:tcPr>
            <w:tcW w:w="1701" w:type="dxa"/>
          </w:tcPr>
          <w:p w:rsidR="00450A99" w:rsidRPr="007B1FC5" w:rsidRDefault="00450A99" w:rsidP="00450A99">
            <w:pPr>
              <w:pStyle w:val="Odsekzoznamu"/>
              <w:ind w:left="0"/>
              <w:rPr>
                <w:rFonts w:ascii="Arial" w:hAnsi="Arial" w:cs="Arial"/>
                <w:bCs/>
                <w:sz w:val="20"/>
                <w:szCs w:val="20"/>
              </w:rPr>
            </w:pPr>
          </w:p>
        </w:tc>
      </w:tr>
      <w:tr w:rsidR="00450A99" w:rsidRPr="007B1FC5" w:rsidTr="00450A99">
        <w:trPr>
          <w:cantSplit/>
          <w:trHeight w:val="340"/>
        </w:trPr>
        <w:tc>
          <w:tcPr>
            <w:tcW w:w="1668" w:type="dxa"/>
          </w:tcPr>
          <w:p w:rsidR="00450A99" w:rsidRPr="007B1FC5" w:rsidRDefault="00450A99" w:rsidP="00450A99">
            <w:pPr>
              <w:pStyle w:val="Odsekzoznamu"/>
              <w:ind w:left="0"/>
              <w:rPr>
                <w:rFonts w:ascii="Arial" w:hAnsi="Arial" w:cs="Arial"/>
                <w:b/>
                <w:bCs/>
                <w:sz w:val="20"/>
                <w:szCs w:val="20"/>
              </w:rPr>
            </w:pPr>
            <w:r w:rsidRPr="007B1FC5">
              <w:rPr>
                <w:rFonts w:ascii="Arial" w:hAnsi="Arial" w:cs="Arial"/>
                <w:b/>
                <w:bCs/>
                <w:sz w:val="20"/>
                <w:szCs w:val="20"/>
              </w:rPr>
              <w:lastRenderedPageBreak/>
              <w:t>Čl. III.</w:t>
            </w:r>
          </w:p>
        </w:tc>
        <w:tc>
          <w:tcPr>
            <w:tcW w:w="3827" w:type="dxa"/>
          </w:tcPr>
          <w:p w:rsidR="00450A99" w:rsidRPr="007B1FC5" w:rsidRDefault="00450A99" w:rsidP="00450A9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sz w:val="20"/>
                <w:szCs w:val="20"/>
              </w:rPr>
            </w:pPr>
          </w:p>
        </w:tc>
        <w:tc>
          <w:tcPr>
            <w:tcW w:w="3969" w:type="dxa"/>
          </w:tcPr>
          <w:p w:rsidR="00450A99" w:rsidRPr="007B1FC5" w:rsidRDefault="00450A99" w:rsidP="00450A99">
            <w:pPr>
              <w:spacing w:after="0" w:line="240" w:lineRule="auto"/>
              <w:jc w:val="both"/>
              <w:rPr>
                <w:rFonts w:ascii="Arial" w:hAnsi="Arial" w:cs="Arial"/>
                <w:bCs/>
                <w:sz w:val="20"/>
                <w:szCs w:val="20"/>
              </w:rPr>
            </w:pPr>
          </w:p>
        </w:tc>
        <w:tc>
          <w:tcPr>
            <w:tcW w:w="4961" w:type="dxa"/>
          </w:tcPr>
          <w:p w:rsidR="00450A99" w:rsidRPr="007B1FC5" w:rsidRDefault="00450A99" w:rsidP="00450A99">
            <w:pPr>
              <w:pStyle w:val="Textkomentra"/>
              <w:rPr>
                <w:rFonts w:ascii="Arial" w:hAnsi="Arial" w:cs="Arial"/>
                <w:bCs/>
              </w:rPr>
            </w:pPr>
          </w:p>
        </w:tc>
        <w:tc>
          <w:tcPr>
            <w:tcW w:w="1701" w:type="dxa"/>
          </w:tcPr>
          <w:p w:rsidR="00450A99" w:rsidRPr="007B1FC5" w:rsidRDefault="00450A99" w:rsidP="00450A99">
            <w:pPr>
              <w:pStyle w:val="Odsekzoznamu"/>
              <w:ind w:left="0"/>
              <w:rPr>
                <w:rFonts w:ascii="Arial" w:hAnsi="Arial" w:cs="Arial"/>
                <w:bCs/>
                <w:sz w:val="20"/>
                <w:szCs w:val="20"/>
              </w:rPr>
            </w:pPr>
          </w:p>
        </w:tc>
      </w:tr>
      <w:tr w:rsidR="00450A99" w:rsidRPr="007B1FC5" w:rsidTr="00450A99">
        <w:trPr>
          <w:cantSplit/>
          <w:trHeight w:val="340"/>
        </w:trPr>
        <w:tc>
          <w:tcPr>
            <w:tcW w:w="1668" w:type="dxa"/>
          </w:tcPr>
          <w:p w:rsidR="00450A99" w:rsidRPr="007B1FC5" w:rsidRDefault="00450A99" w:rsidP="00450A99">
            <w:pPr>
              <w:pStyle w:val="Odsekzoznamu"/>
              <w:ind w:left="0"/>
              <w:rPr>
                <w:rFonts w:ascii="Arial" w:hAnsi="Arial" w:cs="Arial"/>
                <w:b/>
                <w:bCs/>
                <w:sz w:val="20"/>
                <w:szCs w:val="20"/>
              </w:rPr>
            </w:pPr>
          </w:p>
          <w:p w:rsidR="00450A99" w:rsidRPr="007B1FC5" w:rsidRDefault="00450A99" w:rsidP="00450A99">
            <w:pPr>
              <w:pStyle w:val="Odsekzoznamu"/>
              <w:ind w:left="0"/>
              <w:rPr>
                <w:rFonts w:ascii="Arial" w:hAnsi="Arial" w:cs="Arial"/>
                <w:b/>
                <w:bCs/>
                <w:sz w:val="20"/>
                <w:szCs w:val="20"/>
              </w:rPr>
            </w:pPr>
            <w:r w:rsidRPr="007B1FC5">
              <w:rPr>
                <w:rFonts w:ascii="Arial" w:hAnsi="Arial" w:cs="Arial"/>
                <w:b/>
                <w:bCs/>
                <w:sz w:val="20"/>
                <w:szCs w:val="20"/>
              </w:rPr>
              <w:t>§ 8 ods. 3</w:t>
            </w:r>
          </w:p>
        </w:tc>
        <w:tc>
          <w:tcPr>
            <w:tcW w:w="3827" w:type="dxa"/>
          </w:tcPr>
          <w:p w:rsidR="00450A99" w:rsidRPr="007B1FC5" w:rsidRDefault="00450A99" w:rsidP="00450A99">
            <w:pPr>
              <w:autoSpaceDE w:val="0"/>
              <w:autoSpaceDN w:val="0"/>
              <w:adjustRightInd w:val="0"/>
              <w:spacing w:after="0" w:line="240" w:lineRule="auto"/>
              <w:jc w:val="both"/>
              <w:rPr>
                <w:rFonts w:ascii="Arial" w:hAnsi="Arial" w:cs="Arial"/>
                <w:i/>
                <w:color w:val="000000"/>
                <w:sz w:val="20"/>
                <w:szCs w:val="20"/>
              </w:rPr>
            </w:pPr>
            <w:r w:rsidRPr="007B1FC5">
              <w:rPr>
                <w:rFonts w:ascii="Arial" w:hAnsi="Arial" w:cs="Arial"/>
                <w:i/>
                <w:color w:val="000000"/>
                <w:sz w:val="20"/>
                <w:szCs w:val="20"/>
              </w:rPr>
              <w:t>(3) Pri stanovení výšky poistného pri poistení zodpovednosti podľa tohto zákona poisťovateľ zohľadňuje celkový predchádzajúci škodový priebeh poistenia zodpovednosti, a to zľavou na poistnom v prípade priebehu poistenia zodpovednosti bez škody alebo prirážkou k poistnému v prípade výplaty poistného plnenia z poistenia zodpovednosti.</w:t>
            </w:r>
          </w:p>
          <w:p w:rsidR="00450A99" w:rsidRPr="007B1FC5" w:rsidRDefault="00450A99" w:rsidP="00450A9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sz w:val="20"/>
                <w:szCs w:val="20"/>
              </w:rPr>
            </w:pPr>
          </w:p>
        </w:tc>
        <w:tc>
          <w:tcPr>
            <w:tcW w:w="3969" w:type="dxa"/>
          </w:tcPr>
          <w:p w:rsidR="00450A99" w:rsidRPr="007B1FC5" w:rsidRDefault="00450A99" w:rsidP="00450A99">
            <w:pPr>
              <w:spacing w:after="0" w:line="240" w:lineRule="auto"/>
              <w:jc w:val="both"/>
              <w:rPr>
                <w:rFonts w:ascii="Arial" w:hAnsi="Arial" w:cs="Arial"/>
                <w:bCs/>
                <w:sz w:val="20"/>
                <w:szCs w:val="20"/>
              </w:rPr>
            </w:pPr>
            <w:r w:rsidRPr="007B1FC5">
              <w:rPr>
                <w:rFonts w:ascii="Arial" w:hAnsi="Arial" w:cs="Arial"/>
                <w:i/>
                <w:color w:val="000000"/>
                <w:sz w:val="20"/>
                <w:szCs w:val="20"/>
              </w:rPr>
              <w:t>(3) Pri stanovení výšky poistného pri poistení zodpovednosti podľa tohto zákona  je poisťovateľ povinný zohľadniť celkový predchádzajúci škodový priebeh poistenia zodpovednosti, a to zľavou na poistnom v prípade priebehu poistenia zodpovednosti bez škody alebo prirážkou k poistnému v prípade výplaty poistného plnenia z poistenia zodpovednosti.“.</w:t>
            </w:r>
          </w:p>
        </w:tc>
        <w:tc>
          <w:tcPr>
            <w:tcW w:w="4961" w:type="dxa"/>
          </w:tcPr>
          <w:p w:rsidR="00450A99" w:rsidRPr="007B1FC5" w:rsidRDefault="00450A99" w:rsidP="00450A99">
            <w:pPr>
              <w:spacing w:line="240" w:lineRule="auto"/>
              <w:jc w:val="both"/>
              <w:rPr>
                <w:rFonts w:ascii="Arial" w:hAnsi="Arial" w:cs="Arial"/>
                <w:sz w:val="20"/>
                <w:szCs w:val="20"/>
              </w:rPr>
            </w:pPr>
            <w:r w:rsidRPr="007B1FC5">
              <w:rPr>
                <w:rFonts w:ascii="Arial" w:hAnsi="Arial" w:cs="Arial"/>
                <w:sz w:val="20"/>
                <w:szCs w:val="20"/>
              </w:rPr>
              <w:t>Navrhujeme stanoviť úpravu poistného v závislosti od škodového priebehu poistenia  ako jednoznačnú povinnosť každého PZP poisťovateľa.</w:t>
            </w:r>
          </w:p>
          <w:p w:rsidR="00450A99" w:rsidRPr="007B1FC5" w:rsidRDefault="00450A99" w:rsidP="00450A99">
            <w:pPr>
              <w:spacing w:line="240" w:lineRule="auto"/>
              <w:jc w:val="both"/>
              <w:rPr>
                <w:rFonts w:ascii="Arial" w:hAnsi="Arial" w:cs="Arial"/>
                <w:sz w:val="20"/>
                <w:szCs w:val="20"/>
              </w:rPr>
            </w:pPr>
            <w:r w:rsidRPr="007B1FC5">
              <w:rPr>
                <w:rFonts w:ascii="Arial" w:hAnsi="Arial" w:cs="Arial"/>
                <w:sz w:val="20"/>
                <w:szCs w:val="20"/>
              </w:rPr>
              <w:t xml:space="preserve">Zároveň v súlade so znením dôvodovej  správy navrhujeme návrh doplniť o ďalší odsek, v zmysle ktorého by podrobnosti o zohľadňovaní škodového priebehu pri stanovovaní poistného ustanovil všeobecne záväzný právny predpis. Tento predpis stanoví  </w:t>
            </w:r>
            <w:r w:rsidRPr="007B1FC5">
              <w:rPr>
                <w:rFonts w:ascii="Arial" w:hAnsi="Arial" w:cs="Arial"/>
                <w:b/>
                <w:sz w:val="20"/>
                <w:szCs w:val="20"/>
              </w:rPr>
              <w:t>jednotné pravidlá pre systém</w:t>
            </w:r>
            <w:r w:rsidRPr="007B1FC5">
              <w:rPr>
                <w:rFonts w:ascii="Arial" w:hAnsi="Arial" w:cs="Arial"/>
                <w:b/>
                <w:sz w:val="20"/>
                <w:szCs w:val="20"/>
              </w:rPr>
              <w:br/>
            </w:r>
            <w:proofErr w:type="spellStart"/>
            <w:r w:rsidRPr="007B1FC5">
              <w:rPr>
                <w:rFonts w:ascii="Arial" w:hAnsi="Arial" w:cs="Arial"/>
                <w:b/>
                <w:sz w:val="20"/>
                <w:szCs w:val="20"/>
              </w:rPr>
              <w:t>bonus-malus</w:t>
            </w:r>
            <w:proofErr w:type="spellEnd"/>
            <w:r w:rsidRPr="007B1FC5">
              <w:rPr>
                <w:rFonts w:ascii="Arial" w:hAnsi="Arial" w:cs="Arial"/>
                <w:sz w:val="20"/>
                <w:szCs w:val="20"/>
              </w:rPr>
              <w:t>, t.j.</w:t>
            </w:r>
            <w:r w:rsidRPr="007B1FC5">
              <w:rPr>
                <w:rFonts w:ascii="Arial" w:hAnsi="Arial" w:cs="Arial"/>
                <w:b/>
                <w:sz w:val="20"/>
                <w:szCs w:val="20"/>
              </w:rPr>
              <w:t xml:space="preserve">  </w:t>
            </w:r>
            <w:r w:rsidRPr="007B1FC5">
              <w:rPr>
                <w:rFonts w:ascii="Arial" w:hAnsi="Arial" w:cs="Arial"/>
                <w:sz w:val="20"/>
                <w:szCs w:val="20"/>
              </w:rPr>
              <w:t>pre poskytovanie  zliav (bonusu) a prirážok (</w:t>
            </w:r>
            <w:proofErr w:type="spellStart"/>
            <w:r w:rsidRPr="007B1FC5">
              <w:rPr>
                <w:rFonts w:ascii="Arial" w:hAnsi="Arial" w:cs="Arial"/>
                <w:sz w:val="20"/>
                <w:szCs w:val="20"/>
              </w:rPr>
              <w:t>malusu</w:t>
            </w:r>
            <w:proofErr w:type="spellEnd"/>
            <w:r w:rsidRPr="007B1FC5">
              <w:rPr>
                <w:rFonts w:ascii="Arial" w:hAnsi="Arial" w:cs="Arial"/>
                <w:sz w:val="20"/>
                <w:szCs w:val="20"/>
              </w:rPr>
              <w:t xml:space="preserve">), ich výšky ako aj k nim zodpovedajúce dĺžky doby škodových priebehov </w:t>
            </w:r>
            <w:r w:rsidRPr="007B1FC5">
              <w:rPr>
                <w:rFonts w:ascii="Arial" w:hAnsi="Arial" w:cs="Arial"/>
                <w:b/>
                <w:sz w:val="20"/>
                <w:szCs w:val="20"/>
              </w:rPr>
              <w:t>pre všetkých poisťovateľov.</w:t>
            </w:r>
            <w:r w:rsidRPr="007B1FC5">
              <w:rPr>
                <w:rFonts w:ascii="Arial" w:hAnsi="Arial" w:cs="Arial"/>
                <w:sz w:val="20"/>
                <w:szCs w:val="20"/>
              </w:rPr>
              <w:t xml:space="preserve"> Len takýmto spôsobom jednotných pravidiel pre systém </w:t>
            </w:r>
            <w:proofErr w:type="spellStart"/>
            <w:r w:rsidRPr="007B1FC5">
              <w:rPr>
                <w:rFonts w:ascii="Arial" w:hAnsi="Arial" w:cs="Arial"/>
                <w:sz w:val="20"/>
                <w:szCs w:val="20"/>
              </w:rPr>
              <w:t>bonus-malus</w:t>
            </w:r>
            <w:proofErr w:type="spellEnd"/>
            <w:r w:rsidRPr="007B1FC5">
              <w:rPr>
                <w:rFonts w:ascii="Arial" w:hAnsi="Arial" w:cs="Arial"/>
                <w:sz w:val="20"/>
                <w:szCs w:val="20"/>
              </w:rPr>
              <w:t xml:space="preserve"> a zároveň ich dodržiavaním všetkými PZP poisťovateľmi bude možné zabezpečiť efektívne plnenie úlohy systému </w:t>
            </w:r>
            <w:proofErr w:type="spellStart"/>
            <w:r w:rsidRPr="007B1FC5">
              <w:rPr>
                <w:rFonts w:ascii="Arial" w:hAnsi="Arial" w:cs="Arial"/>
                <w:sz w:val="20"/>
                <w:szCs w:val="20"/>
              </w:rPr>
              <w:t>bonus-malus</w:t>
            </w:r>
            <w:proofErr w:type="spellEnd"/>
            <w:r w:rsidRPr="007B1FC5">
              <w:rPr>
                <w:rFonts w:ascii="Arial" w:hAnsi="Arial" w:cs="Arial"/>
                <w:sz w:val="20"/>
                <w:szCs w:val="20"/>
              </w:rPr>
              <w:t xml:space="preserve">  uvedené navrhovateľom v dôvodovej správe.     </w:t>
            </w:r>
          </w:p>
          <w:p w:rsidR="00450A99" w:rsidRPr="007B1FC5" w:rsidRDefault="00450A99" w:rsidP="00450A99">
            <w:pPr>
              <w:pStyle w:val="Textkomentra"/>
              <w:rPr>
                <w:rFonts w:ascii="Arial" w:hAnsi="Arial" w:cs="Arial"/>
                <w:bCs/>
              </w:rPr>
            </w:pPr>
          </w:p>
        </w:tc>
        <w:tc>
          <w:tcPr>
            <w:tcW w:w="1701" w:type="dxa"/>
          </w:tcPr>
          <w:p w:rsidR="00450A99" w:rsidRPr="007B1FC5" w:rsidRDefault="00450A99" w:rsidP="00450A99">
            <w:pPr>
              <w:pStyle w:val="Odsekzoznamu"/>
              <w:ind w:left="0"/>
              <w:rPr>
                <w:rFonts w:ascii="Arial" w:hAnsi="Arial" w:cs="Arial"/>
                <w:bCs/>
                <w:sz w:val="20"/>
                <w:szCs w:val="20"/>
              </w:rPr>
            </w:pPr>
          </w:p>
        </w:tc>
      </w:tr>
      <w:tr w:rsidR="00450A99" w:rsidRPr="007B1FC5" w:rsidTr="00450A99">
        <w:trPr>
          <w:cantSplit/>
          <w:trHeight w:val="340"/>
        </w:trPr>
        <w:tc>
          <w:tcPr>
            <w:tcW w:w="1668" w:type="dxa"/>
          </w:tcPr>
          <w:p w:rsidR="00450A99" w:rsidRPr="007B1FC5" w:rsidRDefault="00450A99" w:rsidP="00450A99">
            <w:pPr>
              <w:pStyle w:val="Odsekzoznamu"/>
              <w:ind w:left="0"/>
              <w:rPr>
                <w:rFonts w:ascii="Arial" w:hAnsi="Arial" w:cs="Arial"/>
                <w:b/>
                <w:bCs/>
                <w:sz w:val="20"/>
                <w:szCs w:val="20"/>
              </w:rPr>
            </w:pPr>
            <w:r w:rsidRPr="007B1FC5">
              <w:rPr>
                <w:rFonts w:ascii="Arial" w:hAnsi="Arial" w:cs="Arial"/>
                <w:b/>
                <w:bCs/>
                <w:sz w:val="20"/>
                <w:szCs w:val="20"/>
              </w:rPr>
              <w:lastRenderedPageBreak/>
              <w:t>§ 9 ods. 5</w:t>
            </w:r>
          </w:p>
        </w:tc>
        <w:tc>
          <w:tcPr>
            <w:tcW w:w="3827" w:type="dxa"/>
          </w:tcPr>
          <w:p w:rsidR="00450A99" w:rsidRPr="007B1FC5" w:rsidRDefault="00450A99" w:rsidP="00450A9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sz w:val="20"/>
                <w:szCs w:val="20"/>
              </w:rPr>
            </w:pPr>
          </w:p>
        </w:tc>
        <w:tc>
          <w:tcPr>
            <w:tcW w:w="3969" w:type="dxa"/>
          </w:tcPr>
          <w:p w:rsidR="00450A99" w:rsidRPr="007B1FC5" w:rsidRDefault="00450A99" w:rsidP="00450A99">
            <w:pPr>
              <w:spacing w:after="0" w:line="240" w:lineRule="auto"/>
              <w:jc w:val="both"/>
              <w:rPr>
                <w:rFonts w:ascii="Arial" w:hAnsi="Arial" w:cs="Arial"/>
                <w:bCs/>
                <w:sz w:val="20"/>
                <w:szCs w:val="20"/>
              </w:rPr>
            </w:pPr>
          </w:p>
        </w:tc>
        <w:tc>
          <w:tcPr>
            <w:tcW w:w="4961" w:type="dxa"/>
          </w:tcPr>
          <w:p w:rsidR="00450A99" w:rsidRPr="007B1FC5" w:rsidRDefault="00450A99" w:rsidP="00450A99">
            <w:pPr>
              <w:autoSpaceDE w:val="0"/>
              <w:autoSpaceDN w:val="0"/>
              <w:adjustRightInd w:val="0"/>
              <w:spacing w:before="100" w:after="100" w:line="240" w:lineRule="auto"/>
              <w:jc w:val="both"/>
              <w:rPr>
                <w:rFonts w:ascii="Arial" w:hAnsi="Arial" w:cs="Arial"/>
                <w:sz w:val="20"/>
                <w:szCs w:val="20"/>
              </w:rPr>
            </w:pPr>
            <w:r w:rsidRPr="007B1FC5">
              <w:rPr>
                <w:rFonts w:ascii="Arial" w:hAnsi="Arial" w:cs="Arial"/>
                <w:sz w:val="20"/>
                <w:szCs w:val="20"/>
              </w:rPr>
              <w:t>Pôvodný § 9 ods. 5 navrhujeme ponechať. V zmysle ustanovenia § 11 ods. 14 je poisťovateľ  povinný poistníkovi písomne oznámiť najneskôr desať týždňov pred uplynutím poistného obdobia  výšku poistného na nasledujúce poistné obdobie,  dátum skončenia poistného obdobia  ako aj termín, do ktorého je možné podať výpoveď príslušnej poistnej zmluvy. Poistník je týmto dostatočne informovaný o podmienkach poistenia na ďalšie poistné obdobie.</w:t>
            </w:r>
          </w:p>
          <w:p w:rsidR="00450A99" w:rsidRPr="007B1FC5" w:rsidRDefault="00450A99" w:rsidP="00450A99">
            <w:pPr>
              <w:autoSpaceDE w:val="0"/>
              <w:autoSpaceDN w:val="0"/>
              <w:adjustRightInd w:val="0"/>
              <w:spacing w:before="100" w:after="100" w:line="240" w:lineRule="auto"/>
              <w:jc w:val="both"/>
              <w:rPr>
                <w:rFonts w:ascii="Arial" w:hAnsi="Arial" w:cs="Arial"/>
                <w:sz w:val="20"/>
                <w:szCs w:val="20"/>
              </w:rPr>
            </w:pPr>
            <w:r w:rsidRPr="007B1FC5">
              <w:rPr>
                <w:rFonts w:ascii="Arial" w:hAnsi="Arial" w:cs="Arial"/>
                <w:sz w:val="20"/>
                <w:szCs w:val="20"/>
              </w:rPr>
              <w:t xml:space="preserve">Sme toho názoru, že uvedená povinnosť je za dobu jej platnosti už verejnosti dostatočne známa. Zrušením uvedeného odseku by bola poistníkom poskytnutá ďalšia možnosť ukončenia zmluvného vzťahu s doterajším poisťovateľom z dôvodu neplatenia poistného, čo by viedlo k opätovnej, neodôvodnenej migrácii poistníkov medzi jednotlivými poisťovateľmi.   </w:t>
            </w:r>
          </w:p>
          <w:p w:rsidR="00450A99" w:rsidRPr="007B1FC5" w:rsidRDefault="00450A99" w:rsidP="00450A99">
            <w:pPr>
              <w:autoSpaceDE w:val="0"/>
              <w:autoSpaceDN w:val="0"/>
              <w:adjustRightInd w:val="0"/>
              <w:spacing w:after="0" w:line="240" w:lineRule="auto"/>
              <w:jc w:val="both"/>
              <w:rPr>
                <w:rFonts w:ascii="Arial" w:hAnsi="Arial" w:cs="Arial"/>
                <w:sz w:val="20"/>
                <w:szCs w:val="20"/>
              </w:rPr>
            </w:pPr>
            <w:r w:rsidRPr="007B1FC5">
              <w:rPr>
                <w:rFonts w:ascii="Arial" w:hAnsi="Arial" w:cs="Arial"/>
                <w:sz w:val="20"/>
                <w:szCs w:val="20"/>
              </w:rPr>
              <w:t xml:space="preserve">Vzhľadom na vyskytnuté prípady z praxe navrhujeme uvedené ustanovenie upraviť tak, aby povinnosť uzavrieť poistnú zmluvu na zostávajúcu časť poistného obdobia s doterajším poisťovateľom platila len pre povinnú osobu, pre ktorej neplatenie zaniklo poistenie zodpovednosti.    </w:t>
            </w:r>
          </w:p>
          <w:p w:rsidR="00450A99" w:rsidRPr="007B1FC5" w:rsidRDefault="00450A99" w:rsidP="00450A99">
            <w:pPr>
              <w:pStyle w:val="Textkomentra"/>
              <w:rPr>
                <w:rFonts w:ascii="Arial" w:hAnsi="Arial" w:cs="Arial"/>
                <w:bCs/>
              </w:rPr>
            </w:pPr>
          </w:p>
        </w:tc>
        <w:tc>
          <w:tcPr>
            <w:tcW w:w="1701" w:type="dxa"/>
          </w:tcPr>
          <w:p w:rsidR="00450A99" w:rsidRPr="007B1FC5" w:rsidRDefault="00450A99" w:rsidP="00450A99">
            <w:pPr>
              <w:pStyle w:val="Odsekzoznamu"/>
              <w:ind w:left="0"/>
              <w:rPr>
                <w:rFonts w:ascii="Arial" w:hAnsi="Arial" w:cs="Arial"/>
                <w:bCs/>
                <w:sz w:val="20"/>
                <w:szCs w:val="20"/>
              </w:rPr>
            </w:pPr>
          </w:p>
        </w:tc>
      </w:tr>
      <w:tr w:rsidR="00450A99" w:rsidRPr="007B1FC5" w:rsidTr="00450A99">
        <w:trPr>
          <w:cantSplit/>
          <w:trHeight w:val="340"/>
        </w:trPr>
        <w:tc>
          <w:tcPr>
            <w:tcW w:w="1668" w:type="dxa"/>
          </w:tcPr>
          <w:p w:rsidR="00450A99" w:rsidRPr="007B1FC5" w:rsidRDefault="00450A99" w:rsidP="00450A99">
            <w:pPr>
              <w:pStyle w:val="Odsekzoznamu"/>
              <w:ind w:left="0"/>
              <w:rPr>
                <w:rFonts w:ascii="Arial" w:hAnsi="Arial" w:cs="Arial"/>
                <w:b/>
                <w:bCs/>
                <w:sz w:val="20"/>
                <w:szCs w:val="20"/>
              </w:rPr>
            </w:pPr>
            <w:r w:rsidRPr="007B1FC5">
              <w:rPr>
                <w:rFonts w:ascii="Arial" w:hAnsi="Arial" w:cs="Arial"/>
                <w:b/>
                <w:bCs/>
                <w:sz w:val="20"/>
                <w:szCs w:val="20"/>
              </w:rPr>
              <w:t>§ 11 ods. 11</w:t>
            </w:r>
          </w:p>
        </w:tc>
        <w:tc>
          <w:tcPr>
            <w:tcW w:w="3827" w:type="dxa"/>
          </w:tcPr>
          <w:p w:rsidR="00450A99" w:rsidRPr="007B1FC5" w:rsidRDefault="00450A99" w:rsidP="00450A9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sz w:val="20"/>
                <w:szCs w:val="20"/>
              </w:rPr>
            </w:pPr>
            <w:r w:rsidRPr="007B1FC5">
              <w:rPr>
                <w:rFonts w:ascii="Arial" w:hAnsi="Arial" w:cs="Arial"/>
                <w:iCs/>
                <w:sz w:val="20"/>
                <w:szCs w:val="20"/>
                <w:lang w:eastAsia="sk-SK"/>
              </w:rPr>
              <w:t>(11) Ak zanikne poistenie zodpovednosti pred koncom poistného obdobia, za ktoré bolo alebo malo byť zaplatené poistné, má poisťovateľ nárok na pomernú časť poistného ku dňu, keď poistenie zodpovednosti zaniklo. Zostávajúcu časť poistného je poisťovateľ povinný poistníkovi vrátiť, ak suma presiahne</w:t>
            </w:r>
            <w:r w:rsidRPr="007B1FC5">
              <w:rPr>
                <w:rFonts w:ascii="Arial" w:hAnsi="Arial" w:cs="Arial"/>
                <w:b/>
                <w:bCs/>
                <w:iCs/>
                <w:sz w:val="20"/>
                <w:szCs w:val="20"/>
                <w:lang w:eastAsia="sk-SK"/>
              </w:rPr>
              <w:t xml:space="preserve"> 50 Sk</w:t>
            </w:r>
            <w:r w:rsidRPr="007B1FC5">
              <w:rPr>
                <w:rFonts w:ascii="Arial" w:hAnsi="Arial" w:cs="Arial"/>
                <w:iCs/>
                <w:sz w:val="20"/>
                <w:szCs w:val="20"/>
                <w:lang w:eastAsia="sk-SK"/>
              </w:rPr>
              <w:t>.</w:t>
            </w:r>
          </w:p>
        </w:tc>
        <w:tc>
          <w:tcPr>
            <w:tcW w:w="3969" w:type="dxa"/>
          </w:tcPr>
          <w:p w:rsidR="00450A99" w:rsidRPr="007B1FC5" w:rsidRDefault="00450A99" w:rsidP="00450A99">
            <w:pPr>
              <w:spacing w:after="0" w:line="240" w:lineRule="auto"/>
              <w:jc w:val="both"/>
              <w:rPr>
                <w:rFonts w:ascii="Arial" w:hAnsi="Arial" w:cs="Arial"/>
                <w:bCs/>
                <w:sz w:val="20"/>
                <w:szCs w:val="20"/>
              </w:rPr>
            </w:pPr>
          </w:p>
        </w:tc>
        <w:tc>
          <w:tcPr>
            <w:tcW w:w="4961" w:type="dxa"/>
          </w:tcPr>
          <w:p w:rsidR="00450A99" w:rsidRPr="007B1FC5" w:rsidRDefault="00450A99" w:rsidP="00450A99">
            <w:pPr>
              <w:pStyle w:val="Textkomentra"/>
              <w:rPr>
                <w:rFonts w:ascii="Arial" w:hAnsi="Arial" w:cs="Arial"/>
                <w:bCs/>
              </w:rPr>
            </w:pPr>
            <w:r w:rsidRPr="007B1FC5">
              <w:rPr>
                <w:rFonts w:ascii="Arial" w:hAnsi="Arial" w:cs="Arial"/>
                <w:bCs/>
              </w:rPr>
              <w:t>Považujeme za potrebné upraviť použitú menu v citovanom zákone a vhodne upraviť výšku sumy.</w:t>
            </w:r>
          </w:p>
        </w:tc>
        <w:tc>
          <w:tcPr>
            <w:tcW w:w="1701" w:type="dxa"/>
          </w:tcPr>
          <w:p w:rsidR="00450A99" w:rsidRPr="007B1FC5" w:rsidRDefault="00450A99" w:rsidP="00450A99">
            <w:pPr>
              <w:pStyle w:val="Odsekzoznamu"/>
              <w:ind w:left="0"/>
              <w:rPr>
                <w:rFonts w:ascii="Arial" w:hAnsi="Arial" w:cs="Arial"/>
                <w:bCs/>
                <w:sz w:val="20"/>
                <w:szCs w:val="20"/>
              </w:rPr>
            </w:pPr>
          </w:p>
        </w:tc>
      </w:tr>
      <w:tr w:rsidR="00450A99" w:rsidRPr="007B1FC5" w:rsidTr="00450A99">
        <w:trPr>
          <w:cantSplit/>
          <w:trHeight w:val="340"/>
        </w:trPr>
        <w:tc>
          <w:tcPr>
            <w:tcW w:w="1668" w:type="dxa"/>
          </w:tcPr>
          <w:p w:rsidR="00450A99" w:rsidRPr="007B1FC5" w:rsidRDefault="00450A99" w:rsidP="00450A99">
            <w:pPr>
              <w:pStyle w:val="Odsekzoznamu"/>
              <w:ind w:left="0"/>
              <w:rPr>
                <w:rFonts w:ascii="Arial" w:hAnsi="Arial" w:cs="Arial"/>
                <w:b/>
                <w:bCs/>
                <w:sz w:val="20"/>
                <w:szCs w:val="20"/>
              </w:rPr>
            </w:pPr>
          </w:p>
        </w:tc>
        <w:tc>
          <w:tcPr>
            <w:tcW w:w="3827" w:type="dxa"/>
          </w:tcPr>
          <w:p w:rsidR="00450A99" w:rsidRPr="007B1FC5" w:rsidRDefault="00450A99" w:rsidP="00450A9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sz w:val="20"/>
                <w:szCs w:val="20"/>
              </w:rPr>
            </w:pPr>
          </w:p>
        </w:tc>
        <w:tc>
          <w:tcPr>
            <w:tcW w:w="3969" w:type="dxa"/>
          </w:tcPr>
          <w:p w:rsidR="00450A99" w:rsidRPr="007B1FC5" w:rsidRDefault="00450A99" w:rsidP="00450A99">
            <w:pPr>
              <w:spacing w:after="0" w:line="240" w:lineRule="auto"/>
              <w:jc w:val="both"/>
              <w:rPr>
                <w:rFonts w:ascii="Arial" w:hAnsi="Arial" w:cs="Arial"/>
                <w:bCs/>
                <w:sz w:val="20"/>
                <w:szCs w:val="20"/>
              </w:rPr>
            </w:pPr>
          </w:p>
        </w:tc>
        <w:tc>
          <w:tcPr>
            <w:tcW w:w="4961" w:type="dxa"/>
          </w:tcPr>
          <w:p w:rsidR="00450A99" w:rsidRPr="007B1FC5" w:rsidRDefault="00450A99" w:rsidP="00450A99">
            <w:pPr>
              <w:pStyle w:val="Textkomentra"/>
              <w:rPr>
                <w:rFonts w:ascii="Arial" w:hAnsi="Arial" w:cs="Arial"/>
              </w:rPr>
            </w:pPr>
          </w:p>
        </w:tc>
        <w:tc>
          <w:tcPr>
            <w:tcW w:w="1701" w:type="dxa"/>
          </w:tcPr>
          <w:p w:rsidR="00450A99" w:rsidRPr="007B1FC5" w:rsidRDefault="00450A99" w:rsidP="00450A99">
            <w:pPr>
              <w:pStyle w:val="Odsekzoznamu"/>
              <w:ind w:left="0"/>
              <w:rPr>
                <w:rFonts w:ascii="Arial" w:hAnsi="Arial" w:cs="Arial"/>
                <w:bCs/>
                <w:sz w:val="20"/>
                <w:szCs w:val="20"/>
              </w:rPr>
            </w:pPr>
          </w:p>
        </w:tc>
      </w:tr>
    </w:tbl>
    <w:p w:rsidR="0083381F" w:rsidRPr="007B1FC5" w:rsidRDefault="0083381F" w:rsidP="00BF31C6">
      <w:pPr>
        <w:spacing w:after="0"/>
        <w:rPr>
          <w:rFonts w:ascii="Arial" w:hAnsi="Arial" w:cs="Arial"/>
          <w:bCs/>
          <w:sz w:val="20"/>
          <w:szCs w:val="20"/>
        </w:rPr>
      </w:pPr>
    </w:p>
    <w:sectPr w:rsidR="0083381F" w:rsidRPr="007B1FC5" w:rsidSect="000D094C">
      <w:pgSz w:w="16838" w:h="11906" w:orient="landscape"/>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4BDA" w:rsidRDefault="00E94BDA" w:rsidP="00DC01E3">
      <w:pPr>
        <w:spacing w:after="0" w:line="240" w:lineRule="auto"/>
      </w:pPr>
      <w:r>
        <w:separator/>
      </w:r>
    </w:p>
  </w:endnote>
  <w:endnote w:type="continuationSeparator" w:id="0">
    <w:p w:rsidR="00E94BDA" w:rsidRDefault="00E94BDA" w:rsidP="00DC01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4BDA" w:rsidRDefault="00E94BDA" w:rsidP="00DC01E3">
      <w:pPr>
        <w:spacing w:after="0" w:line="240" w:lineRule="auto"/>
      </w:pPr>
      <w:r>
        <w:separator/>
      </w:r>
    </w:p>
  </w:footnote>
  <w:footnote w:type="continuationSeparator" w:id="0">
    <w:p w:rsidR="00E94BDA" w:rsidRDefault="00E94BDA" w:rsidP="00DC01E3">
      <w:pPr>
        <w:spacing w:after="0" w:line="240" w:lineRule="auto"/>
      </w:pPr>
      <w:r>
        <w:continuationSeparator/>
      </w:r>
    </w:p>
  </w:footnote>
  <w:footnote w:id="1">
    <w:p w:rsidR="00450A99" w:rsidRDefault="00450A99" w:rsidP="00DC01E3">
      <w:pPr>
        <w:spacing w:after="0" w:line="240" w:lineRule="auto"/>
      </w:pPr>
    </w:p>
  </w:footnote>
  <w:footnote w:id="2">
    <w:p w:rsidR="00450A99" w:rsidRDefault="00450A99" w:rsidP="00DC01E3">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57739"/>
    <w:multiLevelType w:val="hybridMultilevel"/>
    <w:tmpl w:val="048240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4ED241D"/>
    <w:multiLevelType w:val="hybridMultilevel"/>
    <w:tmpl w:val="39C004E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AD52E12"/>
    <w:multiLevelType w:val="hybridMultilevel"/>
    <w:tmpl w:val="8042E23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nsid w:val="0CF26256"/>
    <w:multiLevelType w:val="hybridMultilevel"/>
    <w:tmpl w:val="AE101D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FF55C28"/>
    <w:multiLevelType w:val="hybridMultilevel"/>
    <w:tmpl w:val="82B490CC"/>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112D259B"/>
    <w:multiLevelType w:val="hybridMultilevel"/>
    <w:tmpl w:val="AE963CDA"/>
    <w:lvl w:ilvl="0" w:tplc="0409001B">
      <w:start w:val="1"/>
      <w:numFmt w:val="lowerRoman"/>
      <w:lvlText w:val="%1."/>
      <w:lvlJc w:val="right"/>
      <w:pPr>
        <w:ind w:left="1776" w:hanging="360"/>
      </w:pPr>
      <w:rPr>
        <w:rFonts w:cs="Times New Roman"/>
      </w:rPr>
    </w:lvl>
    <w:lvl w:ilvl="1" w:tplc="04090019" w:tentative="1">
      <w:start w:val="1"/>
      <w:numFmt w:val="lowerLetter"/>
      <w:lvlText w:val="%2."/>
      <w:lvlJc w:val="left"/>
      <w:pPr>
        <w:ind w:left="2496" w:hanging="360"/>
      </w:pPr>
      <w:rPr>
        <w:rFonts w:cs="Times New Roman"/>
      </w:rPr>
    </w:lvl>
    <w:lvl w:ilvl="2" w:tplc="0409001B" w:tentative="1">
      <w:start w:val="1"/>
      <w:numFmt w:val="lowerRoman"/>
      <w:lvlText w:val="%3."/>
      <w:lvlJc w:val="right"/>
      <w:pPr>
        <w:ind w:left="3216" w:hanging="180"/>
      </w:pPr>
      <w:rPr>
        <w:rFonts w:cs="Times New Roman"/>
      </w:rPr>
    </w:lvl>
    <w:lvl w:ilvl="3" w:tplc="0409000F" w:tentative="1">
      <w:start w:val="1"/>
      <w:numFmt w:val="decimal"/>
      <w:lvlText w:val="%4."/>
      <w:lvlJc w:val="left"/>
      <w:pPr>
        <w:ind w:left="3936" w:hanging="360"/>
      </w:pPr>
      <w:rPr>
        <w:rFonts w:cs="Times New Roman"/>
      </w:rPr>
    </w:lvl>
    <w:lvl w:ilvl="4" w:tplc="04090019" w:tentative="1">
      <w:start w:val="1"/>
      <w:numFmt w:val="lowerLetter"/>
      <w:lvlText w:val="%5."/>
      <w:lvlJc w:val="left"/>
      <w:pPr>
        <w:ind w:left="4656" w:hanging="360"/>
      </w:pPr>
      <w:rPr>
        <w:rFonts w:cs="Times New Roman"/>
      </w:rPr>
    </w:lvl>
    <w:lvl w:ilvl="5" w:tplc="0409001B" w:tentative="1">
      <w:start w:val="1"/>
      <w:numFmt w:val="lowerRoman"/>
      <w:lvlText w:val="%6."/>
      <w:lvlJc w:val="right"/>
      <w:pPr>
        <w:ind w:left="5376" w:hanging="180"/>
      </w:pPr>
      <w:rPr>
        <w:rFonts w:cs="Times New Roman"/>
      </w:rPr>
    </w:lvl>
    <w:lvl w:ilvl="6" w:tplc="0409000F" w:tentative="1">
      <w:start w:val="1"/>
      <w:numFmt w:val="decimal"/>
      <w:lvlText w:val="%7."/>
      <w:lvlJc w:val="left"/>
      <w:pPr>
        <w:ind w:left="6096" w:hanging="360"/>
      </w:pPr>
      <w:rPr>
        <w:rFonts w:cs="Times New Roman"/>
      </w:rPr>
    </w:lvl>
    <w:lvl w:ilvl="7" w:tplc="04090019" w:tentative="1">
      <w:start w:val="1"/>
      <w:numFmt w:val="lowerLetter"/>
      <w:lvlText w:val="%8."/>
      <w:lvlJc w:val="left"/>
      <w:pPr>
        <w:ind w:left="6816" w:hanging="360"/>
      </w:pPr>
      <w:rPr>
        <w:rFonts w:cs="Times New Roman"/>
      </w:rPr>
    </w:lvl>
    <w:lvl w:ilvl="8" w:tplc="0409001B" w:tentative="1">
      <w:start w:val="1"/>
      <w:numFmt w:val="lowerRoman"/>
      <w:lvlText w:val="%9."/>
      <w:lvlJc w:val="right"/>
      <w:pPr>
        <w:ind w:left="7536" w:hanging="180"/>
      </w:pPr>
      <w:rPr>
        <w:rFonts w:cs="Times New Roman"/>
      </w:rPr>
    </w:lvl>
  </w:abstractNum>
  <w:abstractNum w:abstractNumId="6">
    <w:nsid w:val="1E1B36A8"/>
    <w:multiLevelType w:val="hybridMultilevel"/>
    <w:tmpl w:val="FBC8DB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48C169C"/>
    <w:multiLevelType w:val="hybridMultilevel"/>
    <w:tmpl w:val="A1F23994"/>
    <w:lvl w:ilvl="0" w:tplc="024EDCC2">
      <w:start w:val="2"/>
      <w:numFmt w:val="bullet"/>
      <w:lvlText w:val="-"/>
      <w:lvlJc w:val="left"/>
      <w:pPr>
        <w:ind w:left="720" w:hanging="360"/>
      </w:pPr>
      <w:rPr>
        <w:rFonts w:ascii="Arial Narrow" w:eastAsia="Calibri" w:hAnsi="Arial Narrow"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35A706A1"/>
    <w:multiLevelType w:val="hybridMultilevel"/>
    <w:tmpl w:val="FAD0AF74"/>
    <w:lvl w:ilvl="0" w:tplc="B05075E2">
      <w:start w:val="14"/>
      <w:numFmt w:val="bullet"/>
      <w:lvlText w:val="-"/>
      <w:lvlJc w:val="left"/>
      <w:pPr>
        <w:ind w:left="720" w:hanging="360"/>
      </w:pPr>
      <w:rPr>
        <w:rFonts w:ascii="Arial Narrow" w:eastAsia="Times New Roman" w:hAnsi="Arial Narrow" w:cs="Times New Roman" w:hint="default"/>
        <w:sz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3A8E0A07"/>
    <w:multiLevelType w:val="hybridMultilevel"/>
    <w:tmpl w:val="08A84F2C"/>
    <w:lvl w:ilvl="0" w:tplc="E944886C">
      <w:start w:val="2"/>
      <w:numFmt w:val="bullet"/>
      <w:lvlText w:val="-"/>
      <w:lvlJc w:val="left"/>
      <w:pPr>
        <w:ind w:left="720" w:hanging="360"/>
      </w:pPr>
      <w:rPr>
        <w:rFonts w:ascii="Arial Narrow" w:eastAsia="Calibri" w:hAnsi="Arial Narrow"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464B6C00"/>
    <w:multiLevelType w:val="hybridMultilevel"/>
    <w:tmpl w:val="19BCB1AE"/>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nsid w:val="46E750EF"/>
    <w:multiLevelType w:val="hybridMultilevel"/>
    <w:tmpl w:val="F9F00F2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nsid w:val="48535AEA"/>
    <w:multiLevelType w:val="hybridMultilevel"/>
    <w:tmpl w:val="261AFD8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D74135D"/>
    <w:multiLevelType w:val="hybridMultilevel"/>
    <w:tmpl w:val="0032D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E072A02"/>
    <w:multiLevelType w:val="hybridMultilevel"/>
    <w:tmpl w:val="5FD4DE6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nsid w:val="4EB12C4E"/>
    <w:multiLevelType w:val="hybridMultilevel"/>
    <w:tmpl w:val="F9F00F2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nsid w:val="608404C6"/>
    <w:multiLevelType w:val="hybridMultilevel"/>
    <w:tmpl w:val="BAC23F2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620D51E6"/>
    <w:multiLevelType w:val="hybridMultilevel"/>
    <w:tmpl w:val="415A9244"/>
    <w:lvl w:ilvl="0" w:tplc="0409001B">
      <w:start w:val="1"/>
      <w:numFmt w:val="lowerRoman"/>
      <w:lvlText w:val="%1."/>
      <w:lvlJc w:val="righ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nsid w:val="66405F25"/>
    <w:multiLevelType w:val="multilevel"/>
    <w:tmpl w:val="336048BA"/>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6AD942B7"/>
    <w:multiLevelType w:val="hybridMultilevel"/>
    <w:tmpl w:val="39C004E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6B130C92"/>
    <w:multiLevelType w:val="hybridMultilevel"/>
    <w:tmpl w:val="E72E6B08"/>
    <w:lvl w:ilvl="0" w:tplc="A2422990">
      <w:start w:val="2"/>
      <w:numFmt w:val="bullet"/>
      <w:lvlText w:val="-"/>
      <w:lvlJc w:val="left"/>
      <w:pPr>
        <w:ind w:left="720" w:hanging="360"/>
      </w:pPr>
      <w:rPr>
        <w:rFonts w:ascii="Arial Narrow" w:eastAsia="Calibri" w:hAnsi="Arial Narrow" w:cs="Tahoma" w:hint="default"/>
        <w:color w:val="FF0000"/>
        <w:sz w:val="19"/>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71D25D8B"/>
    <w:multiLevelType w:val="hybridMultilevel"/>
    <w:tmpl w:val="5FD4DE6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74912CC6"/>
    <w:multiLevelType w:val="hybridMultilevel"/>
    <w:tmpl w:val="0D3CF71A"/>
    <w:lvl w:ilvl="0" w:tplc="998284B8">
      <w:numFmt w:val="bullet"/>
      <w:lvlText w:val="-"/>
      <w:lvlJc w:val="left"/>
      <w:pPr>
        <w:tabs>
          <w:tab w:val="num" w:pos="720"/>
        </w:tabs>
        <w:ind w:left="720" w:hanging="360"/>
      </w:pPr>
      <w:rPr>
        <w:rFonts w:ascii="Calibri" w:eastAsia="Calibri" w:hAnsi="Calibri"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nsid w:val="78D4294C"/>
    <w:multiLevelType w:val="hybridMultilevel"/>
    <w:tmpl w:val="FB9AD67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7B4F61B7"/>
    <w:multiLevelType w:val="hybridMultilevel"/>
    <w:tmpl w:val="DDB892DE"/>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nsid w:val="7D1A1CC9"/>
    <w:multiLevelType w:val="hybridMultilevel"/>
    <w:tmpl w:val="F1AE458E"/>
    <w:lvl w:ilvl="0" w:tplc="04090019">
      <w:start w:val="1"/>
      <w:numFmt w:val="lowerLetter"/>
      <w:lvlText w:val="%1."/>
      <w:lvlJc w:val="left"/>
      <w:pPr>
        <w:ind w:left="720" w:hanging="360"/>
      </w:pPr>
      <w:rPr>
        <w:rFonts w:cs="Times New Roman"/>
      </w:rPr>
    </w:lvl>
    <w:lvl w:ilvl="1" w:tplc="0409001B">
      <w:start w:val="1"/>
      <w:numFmt w:val="lowerRoman"/>
      <w:lvlText w:val="%2."/>
      <w:lvlJc w:val="righ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EE150C3"/>
    <w:multiLevelType w:val="hybridMultilevel"/>
    <w:tmpl w:val="336048BA"/>
    <w:lvl w:ilvl="0" w:tplc="3946AC0C">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5"/>
  </w:num>
  <w:num w:numId="4">
    <w:abstractNumId w:val="2"/>
  </w:num>
  <w:num w:numId="5">
    <w:abstractNumId w:val="14"/>
  </w:num>
  <w:num w:numId="6">
    <w:abstractNumId w:val="2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3"/>
  </w:num>
  <w:num w:numId="10">
    <w:abstractNumId w:val="1"/>
  </w:num>
  <w:num w:numId="11">
    <w:abstractNumId w:val="17"/>
  </w:num>
  <w:num w:numId="12">
    <w:abstractNumId w:val="5"/>
  </w:num>
  <w:num w:numId="13">
    <w:abstractNumId w:val="25"/>
  </w:num>
  <w:num w:numId="14">
    <w:abstractNumId w:val="19"/>
  </w:num>
  <w:num w:numId="15">
    <w:abstractNumId w:val="4"/>
  </w:num>
  <w:num w:numId="16">
    <w:abstractNumId w:val="6"/>
  </w:num>
  <w:num w:numId="17">
    <w:abstractNumId w:val="13"/>
  </w:num>
  <w:num w:numId="18">
    <w:abstractNumId w:val="22"/>
  </w:num>
  <w:num w:numId="19">
    <w:abstractNumId w:val="26"/>
  </w:num>
  <w:num w:numId="20">
    <w:abstractNumId w:val="18"/>
  </w:num>
  <w:num w:numId="21">
    <w:abstractNumId w:val="10"/>
  </w:num>
  <w:num w:numId="22">
    <w:abstractNumId w:val="20"/>
  </w:num>
  <w:num w:numId="23">
    <w:abstractNumId w:val="7"/>
  </w:num>
  <w:num w:numId="24">
    <w:abstractNumId w:val="9"/>
  </w:num>
  <w:num w:numId="25">
    <w:abstractNumId w:val="23"/>
  </w:num>
  <w:num w:numId="26">
    <w:abstractNumId w:val="24"/>
  </w:num>
  <w:num w:numId="27">
    <w:abstractNumId w:val="8"/>
  </w:num>
  <w:num w:numId="28">
    <w:abstractNumId w:val="0"/>
  </w:num>
  <w:num w:numId="2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D43556"/>
    <w:rsid w:val="00007150"/>
    <w:rsid w:val="00016F2C"/>
    <w:rsid w:val="00022C20"/>
    <w:rsid w:val="000230CA"/>
    <w:rsid w:val="00024085"/>
    <w:rsid w:val="000315C9"/>
    <w:rsid w:val="00037433"/>
    <w:rsid w:val="00041F04"/>
    <w:rsid w:val="00043132"/>
    <w:rsid w:val="00046ED4"/>
    <w:rsid w:val="0005188C"/>
    <w:rsid w:val="0005191C"/>
    <w:rsid w:val="0005518B"/>
    <w:rsid w:val="00057701"/>
    <w:rsid w:val="00057720"/>
    <w:rsid w:val="0007552E"/>
    <w:rsid w:val="00076FBB"/>
    <w:rsid w:val="0008513F"/>
    <w:rsid w:val="0009460D"/>
    <w:rsid w:val="000961D6"/>
    <w:rsid w:val="000A18FA"/>
    <w:rsid w:val="000A2C41"/>
    <w:rsid w:val="000A7C2D"/>
    <w:rsid w:val="000B18A9"/>
    <w:rsid w:val="000B4F86"/>
    <w:rsid w:val="000B7D4C"/>
    <w:rsid w:val="000D094C"/>
    <w:rsid w:val="000D0C15"/>
    <w:rsid w:val="000D6C05"/>
    <w:rsid w:val="000E5088"/>
    <w:rsid w:val="000E6FB9"/>
    <w:rsid w:val="00114821"/>
    <w:rsid w:val="00116393"/>
    <w:rsid w:val="00116C4F"/>
    <w:rsid w:val="001359C9"/>
    <w:rsid w:val="00137F96"/>
    <w:rsid w:val="00141CEA"/>
    <w:rsid w:val="0015144A"/>
    <w:rsid w:val="0015424D"/>
    <w:rsid w:val="001553A8"/>
    <w:rsid w:val="001732F8"/>
    <w:rsid w:val="00177A6F"/>
    <w:rsid w:val="00185CF7"/>
    <w:rsid w:val="001A71CA"/>
    <w:rsid w:val="001B0760"/>
    <w:rsid w:val="001B2851"/>
    <w:rsid w:val="001C19AB"/>
    <w:rsid w:val="001D6226"/>
    <w:rsid w:val="001F0DE3"/>
    <w:rsid w:val="001F102F"/>
    <w:rsid w:val="00200763"/>
    <w:rsid w:val="00206282"/>
    <w:rsid w:val="002062E2"/>
    <w:rsid w:val="002073A2"/>
    <w:rsid w:val="00223708"/>
    <w:rsid w:val="002306A5"/>
    <w:rsid w:val="00234567"/>
    <w:rsid w:val="00235E89"/>
    <w:rsid w:val="0025483E"/>
    <w:rsid w:val="00257D4D"/>
    <w:rsid w:val="00270319"/>
    <w:rsid w:val="0027409B"/>
    <w:rsid w:val="0028251B"/>
    <w:rsid w:val="00295FA9"/>
    <w:rsid w:val="002A317B"/>
    <w:rsid w:val="002A43E6"/>
    <w:rsid w:val="002A7A5E"/>
    <w:rsid w:val="002B7D86"/>
    <w:rsid w:val="002F4F46"/>
    <w:rsid w:val="003008F3"/>
    <w:rsid w:val="003011D9"/>
    <w:rsid w:val="003017ED"/>
    <w:rsid w:val="00302984"/>
    <w:rsid w:val="00324161"/>
    <w:rsid w:val="00326731"/>
    <w:rsid w:val="0033533B"/>
    <w:rsid w:val="00336737"/>
    <w:rsid w:val="00336F34"/>
    <w:rsid w:val="00343D71"/>
    <w:rsid w:val="00347BFC"/>
    <w:rsid w:val="00370153"/>
    <w:rsid w:val="0037356A"/>
    <w:rsid w:val="0038465B"/>
    <w:rsid w:val="003865BF"/>
    <w:rsid w:val="00386612"/>
    <w:rsid w:val="003871FD"/>
    <w:rsid w:val="003A3338"/>
    <w:rsid w:val="003A4C73"/>
    <w:rsid w:val="003B3306"/>
    <w:rsid w:val="003B50F5"/>
    <w:rsid w:val="003C48B6"/>
    <w:rsid w:val="003C65E6"/>
    <w:rsid w:val="003C6670"/>
    <w:rsid w:val="003C6C6E"/>
    <w:rsid w:val="003C6DB1"/>
    <w:rsid w:val="003D1D40"/>
    <w:rsid w:val="003F00CB"/>
    <w:rsid w:val="003F3962"/>
    <w:rsid w:val="004104C8"/>
    <w:rsid w:val="00410C02"/>
    <w:rsid w:val="00410D3A"/>
    <w:rsid w:val="004204DB"/>
    <w:rsid w:val="00422936"/>
    <w:rsid w:val="004310DD"/>
    <w:rsid w:val="0043630D"/>
    <w:rsid w:val="0043691F"/>
    <w:rsid w:val="00440A7A"/>
    <w:rsid w:val="004413CD"/>
    <w:rsid w:val="00443B40"/>
    <w:rsid w:val="00446142"/>
    <w:rsid w:val="0044639D"/>
    <w:rsid w:val="00446DBF"/>
    <w:rsid w:val="00450A99"/>
    <w:rsid w:val="004515AF"/>
    <w:rsid w:val="00455243"/>
    <w:rsid w:val="00463238"/>
    <w:rsid w:val="00464F7B"/>
    <w:rsid w:val="004763F8"/>
    <w:rsid w:val="00477778"/>
    <w:rsid w:val="00485CA3"/>
    <w:rsid w:val="00492CCD"/>
    <w:rsid w:val="004936E1"/>
    <w:rsid w:val="004A12F9"/>
    <w:rsid w:val="004A1799"/>
    <w:rsid w:val="004A6067"/>
    <w:rsid w:val="004B5531"/>
    <w:rsid w:val="004D556B"/>
    <w:rsid w:val="004D737D"/>
    <w:rsid w:val="004E61CA"/>
    <w:rsid w:val="00501CC9"/>
    <w:rsid w:val="00506D06"/>
    <w:rsid w:val="00510643"/>
    <w:rsid w:val="00510A3A"/>
    <w:rsid w:val="005123D4"/>
    <w:rsid w:val="00516EBF"/>
    <w:rsid w:val="0053127D"/>
    <w:rsid w:val="00533348"/>
    <w:rsid w:val="00533CA2"/>
    <w:rsid w:val="005378ED"/>
    <w:rsid w:val="00540BE9"/>
    <w:rsid w:val="00542CFA"/>
    <w:rsid w:val="00544D1B"/>
    <w:rsid w:val="00546209"/>
    <w:rsid w:val="00554B5A"/>
    <w:rsid w:val="00564ED8"/>
    <w:rsid w:val="00566E42"/>
    <w:rsid w:val="00570190"/>
    <w:rsid w:val="0057264B"/>
    <w:rsid w:val="0057576F"/>
    <w:rsid w:val="00577496"/>
    <w:rsid w:val="00582980"/>
    <w:rsid w:val="00595ACF"/>
    <w:rsid w:val="005A388A"/>
    <w:rsid w:val="005C4D9A"/>
    <w:rsid w:val="005C7CB2"/>
    <w:rsid w:val="005D0EF3"/>
    <w:rsid w:val="005D5333"/>
    <w:rsid w:val="005F47DE"/>
    <w:rsid w:val="00613349"/>
    <w:rsid w:val="00616545"/>
    <w:rsid w:val="00617CB0"/>
    <w:rsid w:val="00621F23"/>
    <w:rsid w:val="00626318"/>
    <w:rsid w:val="00632DFE"/>
    <w:rsid w:val="006355E0"/>
    <w:rsid w:val="00636332"/>
    <w:rsid w:val="00640A99"/>
    <w:rsid w:val="006434EA"/>
    <w:rsid w:val="00656E16"/>
    <w:rsid w:val="00660634"/>
    <w:rsid w:val="00666A9A"/>
    <w:rsid w:val="00674760"/>
    <w:rsid w:val="00696047"/>
    <w:rsid w:val="00696593"/>
    <w:rsid w:val="006A362F"/>
    <w:rsid w:val="006B2C63"/>
    <w:rsid w:val="006B6815"/>
    <w:rsid w:val="006B7BB1"/>
    <w:rsid w:val="006C0204"/>
    <w:rsid w:val="006D0701"/>
    <w:rsid w:val="006D099D"/>
    <w:rsid w:val="006D6BCA"/>
    <w:rsid w:val="006E01F5"/>
    <w:rsid w:val="006E1228"/>
    <w:rsid w:val="006E3FAD"/>
    <w:rsid w:val="006F2BEB"/>
    <w:rsid w:val="007025E1"/>
    <w:rsid w:val="007027B9"/>
    <w:rsid w:val="0070496D"/>
    <w:rsid w:val="00711BD7"/>
    <w:rsid w:val="00712A84"/>
    <w:rsid w:val="0071797C"/>
    <w:rsid w:val="007229FA"/>
    <w:rsid w:val="00722C66"/>
    <w:rsid w:val="007235E1"/>
    <w:rsid w:val="00727E97"/>
    <w:rsid w:val="007322CC"/>
    <w:rsid w:val="00732943"/>
    <w:rsid w:val="00732AA8"/>
    <w:rsid w:val="00733A63"/>
    <w:rsid w:val="00743033"/>
    <w:rsid w:val="007462F8"/>
    <w:rsid w:val="00762085"/>
    <w:rsid w:val="00767857"/>
    <w:rsid w:val="00773D88"/>
    <w:rsid w:val="007747BC"/>
    <w:rsid w:val="00777435"/>
    <w:rsid w:val="00781568"/>
    <w:rsid w:val="00781E68"/>
    <w:rsid w:val="0078492A"/>
    <w:rsid w:val="007901DC"/>
    <w:rsid w:val="00792375"/>
    <w:rsid w:val="00795975"/>
    <w:rsid w:val="007A1D55"/>
    <w:rsid w:val="007B1FC5"/>
    <w:rsid w:val="007B395A"/>
    <w:rsid w:val="007B7A2D"/>
    <w:rsid w:val="007C5B68"/>
    <w:rsid w:val="007D2415"/>
    <w:rsid w:val="007E39FB"/>
    <w:rsid w:val="007F16F0"/>
    <w:rsid w:val="007F2C27"/>
    <w:rsid w:val="007F3304"/>
    <w:rsid w:val="007F3F8E"/>
    <w:rsid w:val="007F56E0"/>
    <w:rsid w:val="00810B2B"/>
    <w:rsid w:val="00812E3E"/>
    <w:rsid w:val="00813541"/>
    <w:rsid w:val="00817F23"/>
    <w:rsid w:val="00827CB7"/>
    <w:rsid w:val="0083381F"/>
    <w:rsid w:val="00841001"/>
    <w:rsid w:val="00846798"/>
    <w:rsid w:val="0085634F"/>
    <w:rsid w:val="0086240A"/>
    <w:rsid w:val="00865C03"/>
    <w:rsid w:val="00871465"/>
    <w:rsid w:val="00886151"/>
    <w:rsid w:val="00891E5B"/>
    <w:rsid w:val="0089208B"/>
    <w:rsid w:val="0089634C"/>
    <w:rsid w:val="00897326"/>
    <w:rsid w:val="008A3C20"/>
    <w:rsid w:val="008A53BE"/>
    <w:rsid w:val="008B012D"/>
    <w:rsid w:val="008B25CF"/>
    <w:rsid w:val="008B3926"/>
    <w:rsid w:val="008B56B9"/>
    <w:rsid w:val="008B62FB"/>
    <w:rsid w:val="008C16F7"/>
    <w:rsid w:val="008D1056"/>
    <w:rsid w:val="008E3FEE"/>
    <w:rsid w:val="008E7413"/>
    <w:rsid w:val="008F0029"/>
    <w:rsid w:val="008F18FB"/>
    <w:rsid w:val="009044C6"/>
    <w:rsid w:val="009072F4"/>
    <w:rsid w:val="00915F9B"/>
    <w:rsid w:val="00921658"/>
    <w:rsid w:val="00925CA4"/>
    <w:rsid w:val="00941A35"/>
    <w:rsid w:val="0094576D"/>
    <w:rsid w:val="00952F2E"/>
    <w:rsid w:val="009602EB"/>
    <w:rsid w:val="00965FDD"/>
    <w:rsid w:val="00967243"/>
    <w:rsid w:val="0098741A"/>
    <w:rsid w:val="00994888"/>
    <w:rsid w:val="009B1C0A"/>
    <w:rsid w:val="009C0746"/>
    <w:rsid w:val="009C0C93"/>
    <w:rsid w:val="009D0A6B"/>
    <w:rsid w:val="009D2095"/>
    <w:rsid w:val="009D3E84"/>
    <w:rsid w:val="009E6CAD"/>
    <w:rsid w:val="009F2B3B"/>
    <w:rsid w:val="009F64E9"/>
    <w:rsid w:val="009F75BB"/>
    <w:rsid w:val="009F7C1C"/>
    <w:rsid w:val="00A07F9D"/>
    <w:rsid w:val="00A2229B"/>
    <w:rsid w:val="00A249D0"/>
    <w:rsid w:val="00A24AD1"/>
    <w:rsid w:val="00A27811"/>
    <w:rsid w:val="00A37AA6"/>
    <w:rsid w:val="00A40FD2"/>
    <w:rsid w:val="00A47F0F"/>
    <w:rsid w:val="00A53AFB"/>
    <w:rsid w:val="00A540D1"/>
    <w:rsid w:val="00A55E8C"/>
    <w:rsid w:val="00A62509"/>
    <w:rsid w:val="00A659D8"/>
    <w:rsid w:val="00A771A5"/>
    <w:rsid w:val="00A859A5"/>
    <w:rsid w:val="00A876C1"/>
    <w:rsid w:val="00A93043"/>
    <w:rsid w:val="00AA000E"/>
    <w:rsid w:val="00AA4D6B"/>
    <w:rsid w:val="00AC4673"/>
    <w:rsid w:val="00AD5041"/>
    <w:rsid w:val="00AE2E7C"/>
    <w:rsid w:val="00AE5185"/>
    <w:rsid w:val="00AF06F1"/>
    <w:rsid w:val="00AF27D9"/>
    <w:rsid w:val="00AF5040"/>
    <w:rsid w:val="00AF6C09"/>
    <w:rsid w:val="00AF7879"/>
    <w:rsid w:val="00B04B5C"/>
    <w:rsid w:val="00B13639"/>
    <w:rsid w:val="00B1650E"/>
    <w:rsid w:val="00B21080"/>
    <w:rsid w:val="00B22090"/>
    <w:rsid w:val="00B3010A"/>
    <w:rsid w:val="00B42978"/>
    <w:rsid w:val="00B45B03"/>
    <w:rsid w:val="00B45F59"/>
    <w:rsid w:val="00B46022"/>
    <w:rsid w:val="00B4797D"/>
    <w:rsid w:val="00B5069E"/>
    <w:rsid w:val="00B63AD6"/>
    <w:rsid w:val="00B64D8C"/>
    <w:rsid w:val="00B70208"/>
    <w:rsid w:val="00B8048E"/>
    <w:rsid w:val="00B86EBA"/>
    <w:rsid w:val="00B92C13"/>
    <w:rsid w:val="00BA6B19"/>
    <w:rsid w:val="00BB56DA"/>
    <w:rsid w:val="00BC62BE"/>
    <w:rsid w:val="00BC7D18"/>
    <w:rsid w:val="00BD6623"/>
    <w:rsid w:val="00BE6429"/>
    <w:rsid w:val="00BF31C6"/>
    <w:rsid w:val="00C11250"/>
    <w:rsid w:val="00C23205"/>
    <w:rsid w:val="00C27847"/>
    <w:rsid w:val="00C43A4C"/>
    <w:rsid w:val="00C4737B"/>
    <w:rsid w:val="00C52C99"/>
    <w:rsid w:val="00C571BB"/>
    <w:rsid w:val="00C61D57"/>
    <w:rsid w:val="00C677B1"/>
    <w:rsid w:val="00C706B9"/>
    <w:rsid w:val="00C97CCD"/>
    <w:rsid w:val="00CA29BA"/>
    <w:rsid w:val="00CA5AFF"/>
    <w:rsid w:val="00CB6881"/>
    <w:rsid w:val="00CC16B5"/>
    <w:rsid w:val="00CC173E"/>
    <w:rsid w:val="00CC1F26"/>
    <w:rsid w:val="00CC3A19"/>
    <w:rsid w:val="00CD28D2"/>
    <w:rsid w:val="00CD6892"/>
    <w:rsid w:val="00CE43A4"/>
    <w:rsid w:val="00CE6BF2"/>
    <w:rsid w:val="00D1014F"/>
    <w:rsid w:val="00D15D5E"/>
    <w:rsid w:val="00D17296"/>
    <w:rsid w:val="00D247F5"/>
    <w:rsid w:val="00D301F5"/>
    <w:rsid w:val="00D3493F"/>
    <w:rsid w:val="00D375CE"/>
    <w:rsid w:val="00D4160A"/>
    <w:rsid w:val="00D434FC"/>
    <w:rsid w:val="00D43556"/>
    <w:rsid w:val="00D4716F"/>
    <w:rsid w:val="00D63917"/>
    <w:rsid w:val="00D63B68"/>
    <w:rsid w:val="00D70D03"/>
    <w:rsid w:val="00D72645"/>
    <w:rsid w:val="00D7284B"/>
    <w:rsid w:val="00D755B4"/>
    <w:rsid w:val="00D858A4"/>
    <w:rsid w:val="00D93019"/>
    <w:rsid w:val="00D931AB"/>
    <w:rsid w:val="00D9665D"/>
    <w:rsid w:val="00DA3EEF"/>
    <w:rsid w:val="00DA4638"/>
    <w:rsid w:val="00DA6003"/>
    <w:rsid w:val="00DB2F18"/>
    <w:rsid w:val="00DC01E3"/>
    <w:rsid w:val="00DD0C77"/>
    <w:rsid w:val="00DD1F91"/>
    <w:rsid w:val="00DD2136"/>
    <w:rsid w:val="00DD3352"/>
    <w:rsid w:val="00DD42ED"/>
    <w:rsid w:val="00DE3018"/>
    <w:rsid w:val="00DF5529"/>
    <w:rsid w:val="00E10445"/>
    <w:rsid w:val="00E10AE5"/>
    <w:rsid w:val="00E1311A"/>
    <w:rsid w:val="00E13725"/>
    <w:rsid w:val="00E32075"/>
    <w:rsid w:val="00E43E2E"/>
    <w:rsid w:val="00E447F6"/>
    <w:rsid w:val="00E5570A"/>
    <w:rsid w:val="00E6041A"/>
    <w:rsid w:val="00E65D85"/>
    <w:rsid w:val="00E93150"/>
    <w:rsid w:val="00E94BDA"/>
    <w:rsid w:val="00EA6A37"/>
    <w:rsid w:val="00EB14D5"/>
    <w:rsid w:val="00EB150C"/>
    <w:rsid w:val="00EB3D21"/>
    <w:rsid w:val="00EB62D3"/>
    <w:rsid w:val="00EC29D2"/>
    <w:rsid w:val="00EE178F"/>
    <w:rsid w:val="00EE575B"/>
    <w:rsid w:val="00EE7F51"/>
    <w:rsid w:val="00F03E0E"/>
    <w:rsid w:val="00F04044"/>
    <w:rsid w:val="00F0522D"/>
    <w:rsid w:val="00F071CF"/>
    <w:rsid w:val="00F52017"/>
    <w:rsid w:val="00F53797"/>
    <w:rsid w:val="00F63237"/>
    <w:rsid w:val="00F6467B"/>
    <w:rsid w:val="00F648C7"/>
    <w:rsid w:val="00F65E23"/>
    <w:rsid w:val="00F72384"/>
    <w:rsid w:val="00F7314F"/>
    <w:rsid w:val="00F8050F"/>
    <w:rsid w:val="00F80FD6"/>
    <w:rsid w:val="00F84A8D"/>
    <w:rsid w:val="00F96199"/>
    <w:rsid w:val="00F96303"/>
    <w:rsid w:val="00F973CE"/>
    <w:rsid w:val="00FA129B"/>
    <w:rsid w:val="00FB13CD"/>
    <w:rsid w:val="00FB1ECA"/>
    <w:rsid w:val="00FB3764"/>
    <w:rsid w:val="00FB485B"/>
    <w:rsid w:val="00FC6144"/>
    <w:rsid w:val="00FE00C9"/>
    <w:rsid w:val="00FE5E05"/>
    <w:rsid w:val="00FF0F16"/>
    <w:rsid w:val="00FF47D6"/>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92C13"/>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D43556"/>
    <w:pPr>
      <w:spacing w:after="0" w:line="240" w:lineRule="auto"/>
      <w:ind w:left="720"/>
    </w:pPr>
    <w:rPr>
      <w:rFonts w:cs="Calibri"/>
      <w:lang w:bidi="si-LK"/>
    </w:rPr>
  </w:style>
  <w:style w:type="table" w:styleId="Mriekatabuky">
    <w:name w:val="Table Grid"/>
    <w:basedOn w:val="Normlnatabuka"/>
    <w:uiPriority w:val="99"/>
    <w:rsid w:val="007849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y"/>
    <w:link w:val="TextbublinyChar"/>
    <w:uiPriority w:val="99"/>
    <w:semiHidden/>
    <w:rsid w:val="007C5B68"/>
    <w:rPr>
      <w:rFonts w:ascii="Tahoma" w:hAnsi="Tahoma" w:cs="Tahoma"/>
      <w:sz w:val="16"/>
      <w:szCs w:val="16"/>
    </w:rPr>
  </w:style>
  <w:style w:type="character" w:customStyle="1" w:styleId="TextbublinyChar">
    <w:name w:val="Text bubliny Char"/>
    <w:link w:val="Textbubliny"/>
    <w:uiPriority w:val="99"/>
    <w:semiHidden/>
    <w:locked/>
    <w:rsid w:val="009C0C93"/>
    <w:rPr>
      <w:rFonts w:ascii="Times New Roman" w:hAnsi="Times New Roman" w:cs="Times New Roman"/>
      <w:sz w:val="2"/>
      <w:lang w:eastAsia="en-US"/>
    </w:rPr>
  </w:style>
  <w:style w:type="paragraph" w:styleId="Textkomentra">
    <w:name w:val="annotation text"/>
    <w:basedOn w:val="Normlny"/>
    <w:link w:val="TextkomentraChar"/>
    <w:uiPriority w:val="99"/>
    <w:semiHidden/>
    <w:rsid w:val="0094576D"/>
    <w:rPr>
      <w:rFonts w:eastAsia="Times New Roman"/>
      <w:sz w:val="20"/>
      <w:szCs w:val="20"/>
    </w:rPr>
  </w:style>
  <w:style w:type="paragraph" w:customStyle="1" w:styleId="Default">
    <w:name w:val="Default"/>
    <w:rsid w:val="007229FA"/>
    <w:pPr>
      <w:autoSpaceDE w:val="0"/>
      <w:autoSpaceDN w:val="0"/>
      <w:adjustRightInd w:val="0"/>
    </w:pPr>
    <w:rPr>
      <w:rFonts w:ascii="EUAlbertina" w:hAnsi="EUAlbertina" w:cs="EUAlbertina"/>
      <w:color w:val="000000"/>
      <w:sz w:val="24"/>
      <w:szCs w:val="24"/>
      <w:lang w:eastAsia="zh-CN"/>
    </w:rPr>
  </w:style>
  <w:style w:type="character" w:styleId="Odkaznakomentr">
    <w:name w:val="annotation reference"/>
    <w:uiPriority w:val="99"/>
    <w:semiHidden/>
    <w:rsid w:val="007229FA"/>
    <w:rPr>
      <w:sz w:val="16"/>
      <w:szCs w:val="16"/>
    </w:rPr>
  </w:style>
  <w:style w:type="paragraph" w:styleId="Hlavika">
    <w:name w:val="header"/>
    <w:basedOn w:val="Normlny"/>
    <w:link w:val="HlavikaChar"/>
    <w:uiPriority w:val="99"/>
    <w:semiHidden/>
    <w:unhideWhenUsed/>
    <w:rsid w:val="001732F8"/>
    <w:pPr>
      <w:tabs>
        <w:tab w:val="center" w:pos="4536"/>
        <w:tab w:val="right" w:pos="9072"/>
      </w:tabs>
    </w:pPr>
  </w:style>
  <w:style w:type="character" w:customStyle="1" w:styleId="HlavikaChar">
    <w:name w:val="Hlavička Char"/>
    <w:link w:val="Hlavika"/>
    <w:uiPriority w:val="99"/>
    <w:semiHidden/>
    <w:rsid w:val="001732F8"/>
    <w:rPr>
      <w:sz w:val="22"/>
      <w:szCs w:val="22"/>
      <w:lang w:eastAsia="en-US"/>
    </w:rPr>
  </w:style>
  <w:style w:type="paragraph" w:styleId="Predmetkomentra">
    <w:name w:val="annotation subject"/>
    <w:basedOn w:val="Textkomentra"/>
    <w:next w:val="Textkomentra"/>
    <w:link w:val="PredmetkomentraChar"/>
    <w:uiPriority w:val="99"/>
    <w:semiHidden/>
    <w:unhideWhenUsed/>
    <w:rsid w:val="008E3FEE"/>
    <w:rPr>
      <w:rFonts w:eastAsia="Calibri"/>
      <w:b/>
      <w:bCs/>
    </w:rPr>
  </w:style>
  <w:style w:type="character" w:customStyle="1" w:styleId="TextkomentraChar">
    <w:name w:val="Text komentára Char"/>
    <w:link w:val="Textkomentra"/>
    <w:uiPriority w:val="99"/>
    <w:semiHidden/>
    <w:rsid w:val="008E3FEE"/>
    <w:rPr>
      <w:rFonts w:eastAsia="Times New Roman"/>
      <w:lang w:eastAsia="en-US"/>
    </w:rPr>
  </w:style>
  <w:style w:type="character" w:customStyle="1" w:styleId="PredmetkomentraChar">
    <w:name w:val="Predmet komentára Char"/>
    <w:basedOn w:val="TextkomentraChar"/>
    <w:link w:val="Predmetkomentra"/>
    <w:rsid w:val="008E3FEE"/>
    <w:rPr>
      <w:rFonts w:eastAsia="Times New Roman"/>
      <w:lang w:eastAsia="en-US"/>
    </w:rPr>
  </w:style>
  <w:style w:type="paragraph" w:customStyle="1" w:styleId="NumPar1">
    <w:name w:val="NumPar 1"/>
    <w:basedOn w:val="Normlny"/>
    <w:next w:val="Normlny"/>
    <w:rsid w:val="007F3304"/>
    <w:pPr>
      <w:spacing w:before="120" w:after="120" w:line="240" w:lineRule="auto"/>
      <w:jc w:val="both"/>
    </w:pPr>
    <w:rPr>
      <w:rFonts w:ascii="Times New Roman" w:eastAsia="Times New Roman" w:hAnsi="Times New Roman"/>
      <w:sz w:val="24"/>
      <w:szCs w:val="24"/>
      <w:lang w:val="en-GB" w:eastAsia="de-DE"/>
    </w:rPr>
  </w:style>
  <w:style w:type="paragraph" w:customStyle="1" w:styleId="Odsekzoznamu1">
    <w:name w:val="Odsek zoznamu1"/>
    <w:basedOn w:val="Normlny"/>
    <w:qFormat/>
    <w:rsid w:val="00057701"/>
    <w:pPr>
      <w:spacing w:after="0" w:line="240" w:lineRule="auto"/>
      <w:ind w:left="720"/>
    </w:pPr>
    <w:rPr>
      <w:rFonts w:cs="Calibri"/>
      <w:lang w:bidi="si-LK"/>
    </w:rPr>
  </w:style>
  <w:style w:type="paragraph" w:customStyle="1" w:styleId="Normlnywebov8">
    <w:name w:val="Normálny (webový)8"/>
    <w:basedOn w:val="Normlny"/>
    <w:rsid w:val="00443B40"/>
    <w:pPr>
      <w:spacing w:before="75" w:after="75" w:line="240" w:lineRule="auto"/>
      <w:ind w:left="225" w:right="225"/>
    </w:pPr>
    <w:rPr>
      <w:rFonts w:ascii="Times New Roman" w:eastAsia="Times New Roman" w:hAnsi="Times New Roman"/>
      <w:lang w:eastAsia="sk-SK"/>
    </w:rPr>
  </w:style>
  <w:style w:type="paragraph" w:customStyle="1" w:styleId="Odsekzoznamu2">
    <w:name w:val="Odsek zoznamu2"/>
    <w:basedOn w:val="Normlny"/>
    <w:uiPriority w:val="99"/>
    <w:qFormat/>
    <w:rsid w:val="00FB1ECA"/>
    <w:pPr>
      <w:spacing w:after="0" w:line="240" w:lineRule="auto"/>
      <w:ind w:left="720"/>
    </w:pPr>
    <w:rPr>
      <w:rFonts w:cs="Calibri"/>
      <w:lang w:bidi="si-LK"/>
    </w:rPr>
  </w:style>
  <w:style w:type="character" w:styleId="Odkaznapoznmkupodiarou">
    <w:name w:val="footnote reference"/>
    <w:aliases w:val="16 Point,Superscript 6 Point,Footnote Reference Number,Footnote Reference_LVL6,Footnote Reference_LVL61,Footnote Reference_LVL62,Footnote Reference_LVL63,Footnote Reference_LVL64,Footnote call,BVI fnr,SUPERS"/>
    <w:basedOn w:val="Predvolenpsmoodseku"/>
    <w:uiPriority w:val="99"/>
    <w:rsid w:val="00DC01E3"/>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C1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3556"/>
    <w:pPr>
      <w:spacing w:after="0" w:line="240" w:lineRule="auto"/>
      <w:ind w:left="720"/>
    </w:pPr>
    <w:rPr>
      <w:rFonts w:cs="Calibri"/>
      <w:lang w:bidi="si-LK"/>
    </w:rPr>
  </w:style>
  <w:style w:type="table" w:styleId="TableGrid">
    <w:name w:val="Table Grid"/>
    <w:basedOn w:val="TableNormal"/>
    <w:uiPriority w:val="99"/>
    <w:rsid w:val="00784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7C5B68"/>
    <w:rPr>
      <w:rFonts w:ascii="Tahoma" w:hAnsi="Tahoma" w:cs="Tahoma"/>
      <w:sz w:val="16"/>
      <w:szCs w:val="16"/>
    </w:rPr>
  </w:style>
  <w:style w:type="character" w:customStyle="1" w:styleId="BalloonTextChar">
    <w:name w:val="Balloon Text Char"/>
    <w:link w:val="BalloonText"/>
    <w:uiPriority w:val="99"/>
    <w:semiHidden/>
    <w:locked/>
    <w:rsid w:val="009C0C93"/>
    <w:rPr>
      <w:rFonts w:ascii="Times New Roman" w:hAnsi="Times New Roman" w:cs="Times New Roman"/>
      <w:sz w:val="2"/>
      <w:lang w:eastAsia="en-US"/>
    </w:rPr>
  </w:style>
  <w:style w:type="paragraph" w:styleId="CommentText">
    <w:name w:val="annotation text"/>
    <w:basedOn w:val="Normal"/>
    <w:link w:val="CommentTextChar"/>
    <w:uiPriority w:val="99"/>
    <w:semiHidden/>
    <w:rsid w:val="0094576D"/>
    <w:rPr>
      <w:rFonts w:eastAsia="Times New Roman"/>
      <w:sz w:val="20"/>
      <w:szCs w:val="20"/>
    </w:rPr>
  </w:style>
  <w:style w:type="paragraph" w:customStyle="1" w:styleId="Default">
    <w:name w:val="Default"/>
    <w:rsid w:val="007229FA"/>
    <w:pPr>
      <w:autoSpaceDE w:val="0"/>
      <w:autoSpaceDN w:val="0"/>
      <w:adjustRightInd w:val="0"/>
    </w:pPr>
    <w:rPr>
      <w:rFonts w:ascii="EUAlbertina" w:hAnsi="EUAlbertina" w:cs="EUAlbertina"/>
      <w:color w:val="000000"/>
      <w:sz w:val="24"/>
      <w:szCs w:val="24"/>
      <w:lang w:eastAsia="zh-CN"/>
    </w:rPr>
  </w:style>
  <w:style w:type="character" w:styleId="CommentReference">
    <w:name w:val="annotation reference"/>
    <w:uiPriority w:val="99"/>
    <w:semiHidden/>
    <w:rsid w:val="007229FA"/>
    <w:rPr>
      <w:sz w:val="16"/>
      <w:szCs w:val="16"/>
    </w:rPr>
  </w:style>
  <w:style w:type="paragraph" w:styleId="Header">
    <w:name w:val="header"/>
    <w:basedOn w:val="Normal"/>
    <w:link w:val="HeaderChar"/>
    <w:uiPriority w:val="99"/>
    <w:semiHidden/>
    <w:unhideWhenUsed/>
    <w:rsid w:val="001732F8"/>
    <w:pPr>
      <w:tabs>
        <w:tab w:val="center" w:pos="4536"/>
        <w:tab w:val="right" w:pos="9072"/>
      </w:tabs>
    </w:pPr>
  </w:style>
  <w:style w:type="character" w:customStyle="1" w:styleId="HeaderChar">
    <w:name w:val="Header Char"/>
    <w:link w:val="Header"/>
    <w:uiPriority w:val="99"/>
    <w:semiHidden/>
    <w:rsid w:val="001732F8"/>
    <w:rPr>
      <w:sz w:val="22"/>
      <w:szCs w:val="22"/>
      <w:lang w:eastAsia="en-US"/>
    </w:rPr>
  </w:style>
  <w:style w:type="paragraph" w:styleId="CommentSubject">
    <w:name w:val="annotation subject"/>
    <w:basedOn w:val="CommentText"/>
    <w:next w:val="CommentText"/>
    <w:link w:val="CommentSubjectChar"/>
    <w:uiPriority w:val="99"/>
    <w:semiHidden/>
    <w:unhideWhenUsed/>
    <w:rsid w:val="008E3FEE"/>
    <w:rPr>
      <w:rFonts w:eastAsia="Calibri"/>
      <w:b/>
      <w:bCs/>
    </w:rPr>
  </w:style>
  <w:style w:type="character" w:customStyle="1" w:styleId="CommentTextChar">
    <w:name w:val="Comment Text Char"/>
    <w:link w:val="CommentText"/>
    <w:uiPriority w:val="99"/>
    <w:semiHidden/>
    <w:rsid w:val="008E3FEE"/>
    <w:rPr>
      <w:rFonts w:eastAsia="Times New Roman"/>
      <w:lang w:eastAsia="en-US"/>
    </w:rPr>
  </w:style>
  <w:style w:type="character" w:customStyle="1" w:styleId="CommentSubjectChar">
    <w:name w:val="Comment Subject Char"/>
    <w:basedOn w:val="CommentTextChar"/>
    <w:link w:val="CommentSubject"/>
    <w:rsid w:val="008E3FEE"/>
    <w:rPr>
      <w:rFonts w:eastAsia="Times New Roman"/>
      <w:lang w:eastAsia="en-US"/>
    </w:rPr>
  </w:style>
  <w:style w:type="paragraph" w:customStyle="1" w:styleId="NumPar1">
    <w:name w:val="NumPar 1"/>
    <w:basedOn w:val="Normal"/>
    <w:next w:val="Normal"/>
    <w:rsid w:val="007F3304"/>
    <w:pPr>
      <w:spacing w:before="120" w:after="120" w:line="240" w:lineRule="auto"/>
      <w:jc w:val="both"/>
    </w:pPr>
    <w:rPr>
      <w:rFonts w:ascii="Times New Roman" w:eastAsia="Times New Roman" w:hAnsi="Times New Roman"/>
      <w:sz w:val="24"/>
      <w:szCs w:val="24"/>
      <w:lang w:val="en-GB" w:eastAsia="de-DE"/>
    </w:rPr>
  </w:style>
  <w:style w:type="paragraph" w:customStyle="1" w:styleId="Odsekzoznamu1">
    <w:name w:val="Odsek zoznamu1"/>
    <w:basedOn w:val="Normal"/>
    <w:qFormat/>
    <w:rsid w:val="00057701"/>
    <w:pPr>
      <w:spacing w:after="0" w:line="240" w:lineRule="auto"/>
      <w:ind w:left="720"/>
    </w:pPr>
    <w:rPr>
      <w:rFonts w:cs="Calibri"/>
      <w:lang w:bidi="si-LK"/>
    </w:rPr>
  </w:style>
  <w:style w:type="paragraph" w:customStyle="1" w:styleId="Normlnywebov8">
    <w:name w:val="Normálny (webový)8"/>
    <w:basedOn w:val="Normal"/>
    <w:rsid w:val="00443B40"/>
    <w:pPr>
      <w:spacing w:before="75" w:after="75" w:line="240" w:lineRule="auto"/>
      <w:ind w:left="225" w:right="225"/>
    </w:pPr>
    <w:rPr>
      <w:rFonts w:ascii="Times New Roman" w:eastAsia="Times New Roman" w:hAnsi="Times New Roman"/>
      <w:lang w:eastAsia="sk-SK"/>
    </w:rPr>
  </w:style>
  <w:style w:type="paragraph" w:customStyle="1" w:styleId="Odsekzoznamu">
    <w:name w:val="Odsek zoznamu"/>
    <w:basedOn w:val="Normal"/>
    <w:uiPriority w:val="99"/>
    <w:qFormat/>
    <w:rsid w:val="00FB1ECA"/>
    <w:pPr>
      <w:spacing w:after="0" w:line="240" w:lineRule="auto"/>
      <w:ind w:left="720"/>
    </w:pPr>
    <w:rPr>
      <w:rFonts w:cs="Calibri"/>
      <w:lang w:bidi="si-LK"/>
    </w:rPr>
  </w:style>
  <w:style w:type="character" w:styleId="FootnoteReference">
    <w:name w:val="footnote reference"/>
    <w:aliases w:val="16 Point,Superscript 6 Point,Footnote Reference Number,Footnote Reference_LVL6,Footnote Reference_LVL61,Footnote Reference_LVL62,Footnote Reference_LVL63,Footnote Reference_LVL64,Footnote call,BVI fnr,SUPERS"/>
    <w:basedOn w:val="DefaultParagraphFont"/>
    <w:uiPriority w:val="99"/>
    <w:rsid w:val="00DC01E3"/>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53818016">
      <w:bodyDiv w:val="1"/>
      <w:marLeft w:val="0"/>
      <w:marRight w:val="0"/>
      <w:marTop w:val="0"/>
      <w:marBottom w:val="0"/>
      <w:divBdr>
        <w:top w:val="none" w:sz="0" w:space="0" w:color="auto"/>
        <w:left w:val="none" w:sz="0" w:space="0" w:color="auto"/>
        <w:bottom w:val="none" w:sz="0" w:space="0" w:color="auto"/>
        <w:right w:val="none" w:sz="0" w:space="0" w:color="auto"/>
      </w:divBdr>
    </w:div>
    <w:div w:id="155614726">
      <w:marLeft w:val="0"/>
      <w:marRight w:val="0"/>
      <w:marTop w:val="0"/>
      <w:marBottom w:val="0"/>
      <w:divBdr>
        <w:top w:val="none" w:sz="0" w:space="0" w:color="auto"/>
        <w:left w:val="none" w:sz="0" w:space="0" w:color="auto"/>
        <w:bottom w:val="none" w:sz="0" w:space="0" w:color="auto"/>
        <w:right w:val="none" w:sz="0" w:space="0" w:color="auto"/>
      </w:divBdr>
    </w:div>
    <w:div w:id="155614727">
      <w:marLeft w:val="0"/>
      <w:marRight w:val="0"/>
      <w:marTop w:val="0"/>
      <w:marBottom w:val="0"/>
      <w:divBdr>
        <w:top w:val="none" w:sz="0" w:space="0" w:color="auto"/>
        <w:left w:val="none" w:sz="0" w:space="0" w:color="auto"/>
        <w:bottom w:val="none" w:sz="0" w:space="0" w:color="auto"/>
        <w:right w:val="none" w:sz="0" w:space="0" w:color="auto"/>
      </w:divBdr>
    </w:div>
    <w:div w:id="261884931">
      <w:bodyDiv w:val="1"/>
      <w:marLeft w:val="0"/>
      <w:marRight w:val="0"/>
      <w:marTop w:val="0"/>
      <w:marBottom w:val="0"/>
      <w:divBdr>
        <w:top w:val="none" w:sz="0" w:space="0" w:color="auto"/>
        <w:left w:val="none" w:sz="0" w:space="0" w:color="auto"/>
        <w:bottom w:val="none" w:sz="0" w:space="0" w:color="auto"/>
        <w:right w:val="none" w:sz="0" w:space="0" w:color="auto"/>
      </w:divBdr>
    </w:div>
    <w:div w:id="297690978">
      <w:bodyDiv w:val="1"/>
      <w:marLeft w:val="0"/>
      <w:marRight w:val="0"/>
      <w:marTop w:val="0"/>
      <w:marBottom w:val="0"/>
      <w:divBdr>
        <w:top w:val="none" w:sz="0" w:space="0" w:color="auto"/>
        <w:left w:val="none" w:sz="0" w:space="0" w:color="auto"/>
        <w:bottom w:val="none" w:sz="0" w:space="0" w:color="auto"/>
        <w:right w:val="none" w:sz="0" w:space="0" w:color="auto"/>
      </w:divBdr>
    </w:div>
    <w:div w:id="394283363">
      <w:bodyDiv w:val="1"/>
      <w:marLeft w:val="0"/>
      <w:marRight w:val="0"/>
      <w:marTop w:val="0"/>
      <w:marBottom w:val="0"/>
      <w:divBdr>
        <w:top w:val="none" w:sz="0" w:space="0" w:color="auto"/>
        <w:left w:val="none" w:sz="0" w:space="0" w:color="auto"/>
        <w:bottom w:val="none" w:sz="0" w:space="0" w:color="auto"/>
        <w:right w:val="none" w:sz="0" w:space="0" w:color="auto"/>
      </w:divBdr>
    </w:div>
    <w:div w:id="466170346">
      <w:bodyDiv w:val="1"/>
      <w:marLeft w:val="0"/>
      <w:marRight w:val="0"/>
      <w:marTop w:val="0"/>
      <w:marBottom w:val="0"/>
      <w:divBdr>
        <w:top w:val="none" w:sz="0" w:space="0" w:color="auto"/>
        <w:left w:val="none" w:sz="0" w:space="0" w:color="auto"/>
        <w:bottom w:val="none" w:sz="0" w:space="0" w:color="auto"/>
        <w:right w:val="none" w:sz="0" w:space="0" w:color="auto"/>
      </w:divBdr>
    </w:div>
    <w:div w:id="750926102">
      <w:bodyDiv w:val="1"/>
      <w:marLeft w:val="0"/>
      <w:marRight w:val="0"/>
      <w:marTop w:val="0"/>
      <w:marBottom w:val="0"/>
      <w:divBdr>
        <w:top w:val="none" w:sz="0" w:space="0" w:color="auto"/>
        <w:left w:val="none" w:sz="0" w:space="0" w:color="auto"/>
        <w:bottom w:val="none" w:sz="0" w:space="0" w:color="auto"/>
        <w:right w:val="none" w:sz="0" w:space="0" w:color="auto"/>
      </w:divBdr>
    </w:div>
    <w:div w:id="758798304">
      <w:bodyDiv w:val="1"/>
      <w:marLeft w:val="0"/>
      <w:marRight w:val="0"/>
      <w:marTop w:val="0"/>
      <w:marBottom w:val="0"/>
      <w:divBdr>
        <w:top w:val="none" w:sz="0" w:space="0" w:color="auto"/>
        <w:left w:val="none" w:sz="0" w:space="0" w:color="auto"/>
        <w:bottom w:val="none" w:sz="0" w:space="0" w:color="auto"/>
        <w:right w:val="none" w:sz="0" w:space="0" w:color="auto"/>
      </w:divBdr>
    </w:div>
    <w:div w:id="894198272">
      <w:bodyDiv w:val="1"/>
      <w:marLeft w:val="0"/>
      <w:marRight w:val="0"/>
      <w:marTop w:val="0"/>
      <w:marBottom w:val="0"/>
      <w:divBdr>
        <w:top w:val="none" w:sz="0" w:space="0" w:color="auto"/>
        <w:left w:val="none" w:sz="0" w:space="0" w:color="auto"/>
        <w:bottom w:val="none" w:sz="0" w:space="0" w:color="auto"/>
        <w:right w:val="none" w:sz="0" w:space="0" w:color="auto"/>
      </w:divBdr>
    </w:div>
    <w:div w:id="1014186843">
      <w:bodyDiv w:val="1"/>
      <w:marLeft w:val="0"/>
      <w:marRight w:val="0"/>
      <w:marTop w:val="0"/>
      <w:marBottom w:val="0"/>
      <w:divBdr>
        <w:top w:val="none" w:sz="0" w:space="0" w:color="auto"/>
        <w:left w:val="none" w:sz="0" w:space="0" w:color="auto"/>
        <w:bottom w:val="none" w:sz="0" w:space="0" w:color="auto"/>
        <w:right w:val="none" w:sz="0" w:space="0" w:color="auto"/>
      </w:divBdr>
    </w:div>
    <w:div w:id="1059210234">
      <w:bodyDiv w:val="1"/>
      <w:marLeft w:val="0"/>
      <w:marRight w:val="0"/>
      <w:marTop w:val="0"/>
      <w:marBottom w:val="0"/>
      <w:divBdr>
        <w:top w:val="none" w:sz="0" w:space="0" w:color="auto"/>
        <w:left w:val="none" w:sz="0" w:space="0" w:color="auto"/>
        <w:bottom w:val="none" w:sz="0" w:space="0" w:color="auto"/>
        <w:right w:val="none" w:sz="0" w:space="0" w:color="auto"/>
      </w:divBdr>
    </w:div>
    <w:div w:id="1079254286">
      <w:bodyDiv w:val="1"/>
      <w:marLeft w:val="0"/>
      <w:marRight w:val="0"/>
      <w:marTop w:val="0"/>
      <w:marBottom w:val="0"/>
      <w:divBdr>
        <w:top w:val="none" w:sz="0" w:space="0" w:color="auto"/>
        <w:left w:val="none" w:sz="0" w:space="0" w:color="auto"/>
        <w:bottom w:val="none" w:sz="0" w:space="0" w:color="auto"/>
        <w:right w:val="none" w:sz="0" w:space="0" w:color="auto"/>
      </w:divBdr>
    </w:div>
    <w:div w:id="1094784369">
      <w:bodyDiv w:val="1"/>
      <w:marLeft w:val="0"/>
      <w:marRight w:val="0"/>
      <w:marTop w:val="0"/>
      <w:marBottom w:val="0"/>
      <w:divBdr>
        <w:top w:val="none" w:sz="0" w:space="0" w:color="auto"/>
        <w:left w:val="none" w:sz="0" w:space="0" w:color="auto"/>
        <w:bottom w:val="none" w:sz="0" w:space="0" w:color="auto"/>
        <w:right w:val="none" w:sz="0" w:space="0" w:color="auto"/>
      </w:divBdr>
    </w:div>
    <w:div w:id="1102844151">
      <w:bodyDiv w:val="1"/>
      <w:marLeft w:val="0"/>
      <w:marRight w:val="0"/>
      <w:marTop w:val="0"/>
      <w:marBottom w:val="0"/>
      <w:divBdr>
        <w:top w:val="none" w:sz="0" w:space="0" w:color="auto"/>
        <w:left w:val="none" w:sz="0" w:space="0" w:color="auto"/>
        <w:bottom w:val="none" w:sz="0" w:space="0" w:color="auto"/>
        <w:right w:val="none" w:sz="0" w:space="0" w:color="auto"/>
      </w:divBdr>
    </w:div>
    <w:div w:id="1161001572">
      <w:bodyDiv w:val="1"/>
      <w:marLeft w:val="0"/>
      <w:marRight w:val="0"/>
      <w:marTop w:val="0"/>
      <w:marBottom w:val="0"/>
      <w:divBdr>
        <w:top w:val="none" w:sz="0" w:space="0" w:color="auto"/>
        <w:left w:val="none" w:sz="0" w:space="0" w:color="auto"/>
        <w:bottom w:val="none" w:sz="0" w:space="0" w:color="auto"/>
        <w:right w:val="none" w:sz="0" w:space="0" w:color="auto"/>
      </w:divBdr>
    </w:div>
    <w:div w:id="1274164801">
      <w:bodyDiv w:val="1"/>
      <w:marLeft w:val="0"/>
      <w:marRight w:val="0"/>
      <w:marTop w:val="0"/>
      <w:marBottom w:val="0"/>
      <w:divBdr>
        <w:top w:val="none" w:sz="0" w:space="0" w:color="auto"/>
        <w:left w:val="none" w:sz="0" w:space="0" w:color="auto"/>
        <w:bottom w:val="none" w:sz="0" w:space="0" w:color="auto"/>
        <w:right w:val="none" w:sz="0" w:space="0" w:color="auto"/>
      </w:divBdr>
    </w:div>
    <w:div w:id="1299335176">
      <w:bodyDiv w:val="1"/>
      <w:marLeft w:val="0"/>
      <w:marRight w:val="0"/>
      <w:marTop w:val="0"/>
      <w:marBottom w:val="0"/>
      <w:divBdr>
        <w:top w:val="none" w:sz="0" w:space="0" w:color="auto"/>
        <w:left w:val="none" w:sz="0" w:space="0" w:color="auto"/>
        <w:bottom w:val="none" w:sz="0" w:space="0" w:color="auto"/>
        <w:right w:val="none" w:sz="0" w:space="0" w:color="auto"/>
      </w:divBdr>
    </w:div>
    <w:div w:id="1619335631">
      <w:bodyDiv w:val="1"/>
      <w:marLeft w:val="0"/>
      <w:marRight w:val="0"/>
      <w:marTop w:val="0"/>
      <w:marBottom w:val="0"/>
      <w:divBdr>
        <w:top w:val="none" w:sz="0" w:space="0" w:color="auto"/>
        <w:left w:val="none" w:sz="0" w:space="0" w:color="auto"/>
        <w:bottom w:val="none" w:sz="0" w:space="0" w:color="auto"/>
        <w:right w:val="none" w:sz="0" w:space="0" w:color="auto"/>
      </w:divBdr>
    </w:div>
    <w:div w:id="1657874416">
      <w:bodyDiv w:val="1"/>
      <w:marLeft w:val="0"/>
      <w:marRight w:val="0"/>
      <w:marTop w:val="0"/>
      <w:marBottom w:val="0"/>
      <w:divBdr>
        <w:top w:val="none" w:sz="0" w:space="0" w:color="auto"/>
        <w:left w:val="none" w:sz="0" w:space="0" w:color="auto"/>
        <w:bottom w:val="none" w:sz="0" w:space="0" w:color="auto"/>
        <w:right w:val="none" w:sz="0" w:space="0" w:color="auto"/>
      </w:divBdr>
    </w:div>
    <w:div w:id="1671057796">
      <w:bodyDiv w:val="1"/>
      <w:marLeft w:val="0"/>
      <w:marRight w:val="0"/>
      <w:marTop w:val="0"/>
      <w:marBottom w:val="0"/>
      <w:divBdr>
        <w:top w:val="none" w:sz="0" w:space="0" w:color="auto"/>
        <w:left w:val="none" w:sz="0" w:space="0" w:color="auto"/>
        <w:bottom w:val="none" w:sz="0" w:space="0" w:color="auto"/>
        <w:right w:val="none" w:sz="0" w:space="0" w:color="auto"/>
      </w:divBdr>
    </w:div>
    <w:div w:id="1689210160">
      <w:bodyDiv w:val="1"/>
      <w:marLeft w:val="0"/>
      <w:marRight w:val="0"/>
      <w:marTop w:val="0"/>
      <w:marBottom w:val="0"/>
      <w:divBdr>
        <w:top w:val="none" w:sz="0" w:space="0" w:color="auto"/>
        <w:left w:val="none" w:sz="0" w:space="0" w:color="auto"/>
        <w:bottom w:val="none" w:sz="0" w:space="0" w:color="auto"/>
        <w:right w:val="none" w:sz="0" w:space="0" w:color="auto"/>
      </w:divBdr>
    </w:div>
    <w:div w:id="1824007994">
      <w:bodyDiv w:val="1"/>
      <w:marLeft w:val="0"/>
      <w:marRight w:val="0"/>
      <w:marTop w:val="0"/>
      <w:marBottom w:val="0"/>
      <w:divBdr>
        <w:top w:val="none" w:sz="0" w:space="0" w:color="auto"/>
        <w:left w:val="none" w:sz="0" w:space="0" w:color="auto"/>
        <w:bottom w:val="none" w:sz="0" w:space="0" w:color="auto"/>
        <w:right w:val="none" w:sz="0" w:space="0" w:color="auto"/>
      </w:divBdr>
    </w:div>
    <w:div w:id="1846938027">
      <w:bodyDiv w:val="1"/>
      <w:marLeft w:val="0"/>
      <w:marRight w:val="0"/>
      <w:marTop w:val="0"/>
      <w:marBottom w:val="0"/>
      <w:divBdr>
        <w:top w:val="none" w:sz="0" w:space="0" w:color="auto"/>
        <w:left w:val="none" w:sz="0" w:space="0" w:color="auto"/>
        <w:bottom w:val="none" w:sz="0" w:space="0" w:color="auto"/>
        <w:right w:val="none" w:sz="0" w:space="0" w:color="auto"/>
      </w:divBdr>
    </w:div>
    <w:div w:id="1984313706">
      <w:bodyDiv w:val="1"/>
      <w:marLeft w:val="0"/>
      <w:marRight w:val="0"/>
      <w:marTop w:val="0"/>
      <w:marBottom w:val="0"/>
      <w:divBdr>
        <w:top w:val="none" w:sz="0" w:space="0" w:color="auto"/>
        <w:left w:val="none" w:sz="0" w:space="0" w:color="auto"/>
        <w:bottom w:val="none" w:sz="0" w:space="0" w:color="auto"/>
        <w:right w:val="none" w:sz="0" w:space="0" w:color="auto"/>
      </w:divBdr>
    </w:div>
    <w:div w:id="206190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27608-8580-4BD2-BF07-772D93B93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3259</Words>
  <Characters>18581</Characters>
  <Application>Microsoft Office Word</Application>
  <DocSecurity>0</DocSecurity>
  <Lines>154</Lines>
  <Paragraphs>43</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SLASPO, sekcia pre risk mamažment</vt:lpstr>
      <vt:lpstr>SLASPO, sekcia pre risk mamažment</vt:lpstr>
    </vt:vector>
  </TitlesOfParts>
  <Company>HP</Company>
  <LinksUpToDate>false</LinksUpToDate>
  <CharactersWithSpaces>21797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SLASPO, sekcia pre risk mamažment</dc:title>
  <dc:creator>Matko Emil</dc:creator>
  <cp:lastModifiedBy>lehotska</cp:lastModifiedBy>
  <cp:revision>2</cp:revision>
  <cp:lastPrinted>2014-09-04T09:15:00Z</cp:lastPrinted>
  <dcterms:created xsi:type="dcterms:W3CDTF">2014-09-16T13:36:00Z</dcterms:created>
  <dcterms:modified xsi:type="dcterms:W3CDTF">2014-09-16T13:36:00Z</dcterms:modified>
</cp:coreProperties>
</file>