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A14" w:rsidRDefault="00886A14">
      <w:pPr>
        <w:spacing w:after="0" w:line="240" w:lineRule="auto"/>
        <w:rPr>
          <w:rFonts w:ascii="Arial" w:hAnsi="Arial" w:cs="Arial"/>
          <w:b/>
          <w:bCs/>
        </w:rPr>
      </w:pPr>
      <w:r>
        <w:t xml:space="preserve">Konkrétne ide úpravu zverejňovaných údajov </w:t>
      </w:r>
      <w:r>
        <w:rPr>
          <w:u w:val="single"/>
        </w:rPr>
        <w:t>v registri týkajúcich sa samostatného finančného agenta a jeho  podriadených finančných agentov, t.j. navrhujeme, aby bolo možné v registri vyhľadať informáciu, akých podriadených fin. agentov má (mal) registrovaných samostatný fin. agent, resp. pre ktorého samostatného fin. agenta je (bol) podriadený fin agent registrovaný</w:t>
      </w:r>
      <w:r>
        <w:t xml:space="preserve">. Ako ideálny sa javí stav, kedy by bolo možné v registri NBS vyhľadávať informáciu o podriadených fin. agentoch </w:t>
      </w:r>
      <w:r>
        <w:rPr>
          <w:u w:val="single"/>
        </w:rPr>
        <w:t>(i) podľa mena samostatného finančného agenta a taktiež aj (ii) podľa mena podriadeného finančného agenta</w:t>
      </w:r>
      <w:r>
        <w:rPr>
          <w:rFonts w:ascii="Arial" w:hAnsi="Arial" w:cs="Arial"/>
        </w:rPr>
        <w:t>.</w:t>
      </w:r>
      <w:r>
        <w:t xml:space="preserve"> </w:t>
      </w:r>
      <w:r>
        <w:br/>
      </w:r>
      <w:r>
        <w:br/>
        <w:t xml:space="preserve">Dôvodom navrhovanej požiadavky je skutočnosť, že zmluvný vzťah pre výkon finančného sprostredkovania má poisťovňa uzatvorený so samostatným fin. agentom, pričom o jeho podriadených fin. agentoch nemá žiadne vierohodné informácie. Úprava zmluvnej povinnosti samost. agenta poskytovať uvedené informácie poisťovni sa neraz javí ako nedostačujúca, nakoľko je závislá od konania, resp. vôle samostatného agenta...   </w:t>
      </w:r>
      <w:r>
        <w:br/>
      </w:r>
      <w:r>
        <w:br/>
        <w:t xml:space="preserve">V rámci praktického fungovania poisťovne, má navrhovaná zmena zákona pre poisťovňu význam najmä: </w:t>
      </w:r>
      <w:r>
        <w:br/>
        <w:t xml:space="preserve">1) pri zakladaní zmluvného vzťahu so samostatným fin. agentom, kedy má pre poisťovňu v rámci preverovania všetkých relevantných informácii význam informácia, či samostatný agent má vôbec registrovaných podriadených fin. agentov, ak áno koho.... dôvodom je najmä skutočnosť, že nie je vylúčené zistenie, že konkrétna osoba (podriadený fin. agent) pôsobila v minulosti pre poisťovňu alebo iný subjekt, ktorý bol napr. predmetom šetrenia zo strany poisťovne, resp. OČTK ... resp. je voči nemu vedené iné konanie na návrh ASP ....atď ... v dôsledku čoho by bolo v končenom dôsledku pre poisťovňu neprijateľné aby uvedená osoba v pozícii podriadeného agenta sprostredkúvala jej produkty...resp. uvedené môže poisťovni pomôcť pri rozhodovaní, či má vôbec záujem s takýmto samostatným fin. agentom zahájiť akúkoľvek spoluprácu...   </w:t>
      </w:r>
      <w:r>
        <w:br/>
        <w:t>2) pri akomkoľvek následnom preverovaní všetkých konkrétnych podozrení na porušenie povinností, postupov, resp. podvodne uzatváraných PZ, pričom na základe dnes zverejňovaných údajov v registri NBS nie je možné vierohodne zistiť, pre ktorého samostatného fin. agenta pracuje príslušná osoba ako podriadený fin. agent, ktorá jednala s konkrétnym klientom; a napr. táto osoba koná s klientom spôsobom nezlučiteľným s pravidlami fin. sprostredkovania, pričom na základe absencie v identifikácii osoby samost. fin. agenta pre ktorého koná, je podstatne sťažený postup poisťovne voči samostatnému fin. agentovi, ktorý za neho zodpovedá....</w:t>
      </w:r>
      <w:r>
        <w:rPr>
          <w:b/>
          <w:bCs/>
        </w:rPr>
        <w:t>ALLIANZ</w:t>
      </w:r>
    </w:p>
    <w:p w:rsidR="00886A14" w:rsidRDefault="00886A14">
      <w:pPr>
        <w:autoSpaceDE w:val="0"/>
        <w:autoSpaceDN w:val="0"/>
        <w:adjustRightInd w:val="0"/>
        <w:spacing w:after="0" w:line="240" w:lineRule="auto"/>
        <w:jc w:val="both"/>
        <w:rPr>
          <w:b/>
          <w:bCs/>
          <w:color w:val="FF0000"/>
          <w:u w:val="single"/>
        </w:rPr>
      </w:pPr>
    </w:p>
    <w:p w:rsidR="00886A14" w:rsidRDefault="00886A14">
      <w:pPr>
        <w:autoSpaceDE w:val="0"/>
        <w:autoSpaceDN w:val="0"/>
        <w:adjustRightInd w:val="0"/>
        <w:spacing w:after="0" w:line="240" w:lineRule="auto"/>
        <w:jc w:val="both"/>
        <w:rPr>
          <w:b/>
          <w:bCs/>
          <w:color w:val="FF0000"/>
          <w:u w:val="single"/>
        </w:rPr>
      </w:pPr>
      <w:r>
        <w:rPr>
          <w:b/>
          <w:bCs/>
          <w:color w:val="FF0000"/>
          <w:u w:val="single"/>
        </w:rPr>
        <w:t>Doplnená otázka ALLIANZ:</w:t>
      </w:r>
    </w:p>
    <w:p w:rsidR="00886A14" w:rsidRDefault="00886A14">
      <w:pPr>
        <w:autoSpaceDE w:val="0"/>
        <w:autoSpaceDN w:val="0"/>
        <w:adjustRightInd w:val="0"/>
        <w:spacing w:after="0" w:line="240" w:lineRule="auto"/>
        <w:jc w:val="both"/>
        <w:rPr>
          <w:color w:val="FF0000"/>
        </w:rPr>
      </w:pPr>
      <w:r>
        <w:rPr>
          <w:color w:val="FF0000"/>
        </w:rPr>
        <w:t xml:space="preserve">Ide o otázku </w:t>
      </w:r>
      <w:r>
        <w:rPr>
          <w:b/>
          <w:bCs/>
          <w:color w:val="FF0000"/>
        </w:rPr>
        <w:t>dôveryhodnosti vo vzťahu k viazanému fiannčnému agentovi - PO.</w:t>
      </w:r>
      <w:r>
        <w:rPr>
          <w:color w:val="FF0000"/>
        </w:rPr>
        <w:t xml:space="preserve"> </w:t>
      </w:r>
    </w:p>
    <w:p w:rsidR="00886A14" w:rsidRDefault="00886A14">
      <w:pPr>
        <w:autoSpaceDE w:val="0"/>
        <w:autoSpaceDN w:val="0"/>
        <w:adjustRightInd w:val="0"/>
        <w:spacing w:after="0" w:line="240" w:lineRule="auto"/>
        <w:jc w:val="both"/>
        <w:rPr>
          <w:color w:val="FF0000"/>
        </w:rPr>
      </w:pPr>
      <w:r>
        <w:rPr>
          <w:color w:val="FF0000"/>
        </w:rPr>
        <w:t xml:space="preserve">V zmysle  § 23, ods. 2  cit. zákona viazaný finančný agent, ktorý je </w:t>
      </w:r>
      <w:r>
        <w:rPr>
          <w:color w:val="FF0000"/>
          <w:u w:val="single"/>
        </w:rPr>
        <w:t>fyzickou osobou</w:t>
      </w:r>
      <w:r>
        <w:rPr>
          <w:color w:val="FF0000"/>
        </w:rPr>
        <w:t xml:space="preserve"> ...každý zamestnaenc VFA, musí byť dôveryhodný.</w:t>
      </w:r>
    </w:p>
    <w:p w:rsidR="00886A14" w:rsidRDefault="00886A14">
      <w:pPr>
        <w:autoSpaceDE w:val="0"/>
        <w:autoSpaceDN w:val="0"/>
        <w:adjustRightInd w:val="0"/>
        <w:spacing w:after="0" w:line="240" w:lineRule="auto"/>
        <w:jc w:val="both"/>
        <w:rPr>
          <w:color w:val="FF0000"/>
        </w:rPr>
      </w:pPr>
    </w:p>
    <w:p w:rsidR="00886A14" w:rsidRDefault="00886A14">
      <w:pPr>
        <w:autoSpaceDE w:val="0"/>
        <w:autoSpaceDN w:val="0"/>
        <w:adjustRightInd w:val="0"/>
        <w:spacing w:after="0" w:line="240" w:lineRule="auto"/>
        <w:jc w:val="both"/>
        <w:rPr>
          <w:color w:val="FF0000"/>
          <w:u w:val="single"/>
        </w:rPr>
      </w:pPr>
      <w:r>
        <w:rPr>
          <w:color w:val="FF0000"/>
        </w:rPr>
        <w:t xml:space="preserve">Avšak žiadne ustanovenie v zmysle § 23 cit. zákona explicitne neupravuje, ktorá konkrétna osoba v rámci VFA - PO musí splňať podmienku dôveryhodnosti, tak ako sa to napr. uvádza v rámci podmienky odbornej spôsobilosti v § 21 ods 4, v zmysle ktorého viazaný finančný agent, ktorý je FO, </w:t>
      </w:r>
      <w:r>
        <w:rPr>
          <w:color w:val="FF0000"/>
          <w:u w:val="single"/>
        </w:rPr>
        <w:t xml:space="preserve">štatutárny orgán alebo aspoň jeden člen štatutárneho orgánu VFA, ktorý je PO musí splňať podmienky pre základný stupeň odbornej spôsobilosti. </w:t>
      </w:r>
    </w:p>
    <w:p w:rsidR="00886A14" w:rsidRDefault="00886A14">
      <w:pPr>
        <w:autoSpaceDE w:val="0"/>
        <w:autoSpaceDN w:val="0"/>
        <w:adjustRightInd w:val="0"/>
        <w:spacing w:after="0" w:line="240" w:lineRule="auto"/>
        <w:jc w:val="both"/>
        <w:rPr>
          <w:color w:val="FF0000"/>
          <w:u w:val="single"/>
        </w:rPr>
      </w:pPr>
    </w:p>
    <w:p w:rsidR="00886A14" w:rsidRDefault="00886A14">
      <w:pPr>
        <w:autoSpaceDE w:val="0"/>
        <w:autoSpaceDN w:val="0"/>
        <w:adjustRightInd w:val="0"/>
        <w:spacing w:after="0" w:line="240" w:lineRule="auto"/>
        <w:jc w:val="both"/>
        <w:rPr>
          <w:color w:val="FF0000"/>
        </w:rPr>
      </w:pPr>
      <w:r>
        <w:rPr>
          <w:color w:val="FF0000"/>
        </w:rPr>
        <w:t xml:space="preserve">Argumentom na našu pripomienku sa môže javiť ustanovenie § 23 ods. 4, v zmysle ktorého </w:t>
      </w:r>
      <w:r>
        <w:rPr>
          <w:color w:val="FF0000"/>
          <w:u w:val="single"/>
        </w:rPr>
        <w:t>na spôsob preukazovania dôveryhodnosti</w:t>
      </w:r>
      <w:r>
        <w:rPr>
          <w:color w:val="FF0000"/>
        </w:rPr>
        <w:t xml:space="preserve"> viazaného fin. agenta..... zamestnanca FA alebo FP sa vzťahuje § 18 rovnako. V zmysle § 18, ods. 2 cit. zákona sa upravuje, kto za žiadateľa - právnickú osobu na povolenie samostatného fin. agenta musí splnať podmienku dôveryhodnosti. Avšak vychádzajúc z opatrenia NBS č. 3/2010 (viď link), ktoré upravuje spôsob preukazovania splnenia podmienok na udelenie povolenia na vykonávanie činnosti samostatného finančného agenta a na udelenie povolenia na vykonávanie činnosti finančného poradcu podľa § 18 ods. 2 cit. zákona, sa pod pojmom </w:t>
      </w:r>
      <w:r>
        <w:rPr>
          <w:color w:val="FF0000"/>
          <w:u w:val="single"/>
        </w:rPr>
        <w:t>"spôsob preukazovania</w:t>
      </w:r>
      <w:r>
        <w:rPr>
          <w:color w:val="FF0000"/>
        </w:rPr>
        <w:t xml:space="preserve">" rozumie akými konkrétnymi dokladmi sa preukazuje dôveryhodnosť určených osôb, a nie, ktorá konkrétna osoba v rámci PO musí splňať podmienku dôveryhodnosti.   </w:t>
      </w:r>
    </w:p>
    <w:p w:rsidR="00886A14" w:rsidRDefault="00886A14">
      <w:pPr>
        <w:autoSpaceDE w:val="0"/>
        <w:autoSpaceDN w:val="0"/>
        <w:adjustRightInd w:val="0"/>
        <w:spacing w:after="0" w:line="240" w:lineRule="auto"/>
        <w:jc w:val="both"/>
        <w:rPr>
          <w:color w:val="FF0000"/>
        </w:rPr>
      </w:pPr>
    </w:p>
    <w:p w:rsidR="00886A14" w:rsidRDefault="00886A14">
      <w:pPr>
        <w:pStyle w:val="Zkladntext"/>
        <w:rPr>
          <w:color w:val="FF0000"/>
        </w:rPr>
      </w:pPr>
      <w:r>
        <w:rPr>
          <w:color w:val="FF0000"/>
        </w:rPr>
        <w:t>http://www.nbs.sk/_img/Documents/_Legislativa/_Vestnik/OPAT1_2010.pdf</w:t>
      </w:r>
      <w:r>
        <w:rPr>
          <w:color w:val="FF0000"/>
        </w:rPr>
        <w:br/>
      </w:r>
    </w:p>
    <w:p w:rsidR="00886A14" w:rsidRDefault="00886A14">
      <w:pPr>
        <w:autoSpaceDE w:val="0"/>
        <w:autoSpaceDN w:val="0"/>
        <w:adjustRightInd w:val="0"/>
        <w:spacing w:after="0" w:line="240" w:lineRule="auto"/>
        <w:jc w:val="both"/>
        <w:rPr>
          <w:color w:val="FF0000"/>
          <w:u w:val="single"/>
        </w:rPr>
      </w:pPr>
      <w:r>
        <w:rPr>
          <w:color w:val="FF0000"/>
          <w:u w:val="single"/>
        </w:rPr>
        <w:t xml:space="preserve">Záver: </w:t>
      </w:r>
    </w:p>
    <w:p w:rsidR="00886A14" w:rsidRDefault="00886A14">
      <w:pPr>
        <w:autoSpaceDE w:val="0"/>
        <w:autoSpaceDN w:val="0"/>
        <w:adjustRightInd w:val="0"/>
        <w:spacing w:after="0" w:line="240" w:lineRule="auto"/>
        <w:rPr>
          <w:color w:val="FF0000"/>
        </w:rPr>
      </w:pPr>
      <w:r>
        <w:rPr>
          <w:color w:val="FF0000"/>
        </w:rPr>
        <w:t xml:space="preserve">Z titulu právnej istoty v preukazovaní podmienky dôveryhodnosti zo strany viazaného fin. agenta - PO, navrhujeme do ustanovenia § 23 explicitne uviesť (doplniť), ktorá konkrétna osoba viazaného finančného agenta - PO musí splniť podmienku dôveryhodnosti (tak ako je to nespochybniteľne uvedené napr. v § 21 ods. 4). </w:t>
      </w:r>
      <w:r>
        <w:rPr>
          <w:color w:val="FF0000"/>
        </w:rPr>
        <w:br/>
        <w:t xml:space="preserve"> </w:t>
      </w:r>
    </w:p>
    <w:p w:rsidR="00886A14" w:rsidRDefault="00886A14">
      <w:pPr>
        <w:spacing w:after="0" w:line="240" w:lineRule="auto"/>
        <w:rPr>
          <w:rFonts w:ascii="Arial" w:hAnsi="Arial" w:cs="Arial"/>
        </w:rPr>
      </w:pPr>
    </w:p>
    <w:p w:rsidR="00886A14" w:rsidRDefault="00886A14">
      <w:pPr>
        <w:pStyle w:val="Odsekzoznamu"/>
        <w:numPr>
          <w:ilvl w:val="0"/>
          <w:numId w:val="5"/>
        </w:numPr>
        <w:ind w:left="0" w:hanging="284"/>
        <w:rPr>
          <w:color w:val="1F497D"/>
        </w:rPr>
      </w:pPr>
      <w:r>
        <w:rPr>
          <w:color w:val="1F497D"/>
        </w:rPr>
        <w:t xml:space="preserve">rozšíriť verejný register NBS o info, pod kým PFA pracuje, teda údaj o SFA pri každom PFA a zaroven uvadzat udaje o PFA datumu narodenia a bydliska, spolu s historiu kde vykonalavl FS predtym. </w:t>
      </w:r>
    </w:p>
    <w:p w:rsidR="00886A14" w:rsidRDefault="00886A14">
      <w:pPr>
        <w:pStyle w:val="Odsekzoznamu"/>
        <w:numPr>
          <w:ilvl w:val="0"/>
          <w:numId w:val="5"/>
        </w:numPr>
        <w:ind w:left="0" w:hanging="284"/>
        <w:rPr>
          <w:color w:val="1F497D"/>
        </w:rPr>
      </w:pPr>
      <w:r>
        <w:rPr>
          <w:color w:val="1F497D"/>
        </w:rPr>
        <w:t>umoznit podriadenym financnym agentom (podla vzoru viazanych financnych agentov) moznost mat uzatvorenu v tom istom case zmluvu s viacerymi  samostatnymi financnymi agentami pre rozdielne sektory. To znamena, ze ak ma PFA zmluvu s SFA1 pre sektor poistenie alebo zaistenie, pre sektor kapitaloveho trhu moze mat pisomnu zmluvu s SFA2. V sucasnosti plati, ze ak ma PFA zmluvu so SFA1 napriklad len pre sektor poistenie alebo zaistenie, nemoze mat uzatvorenu ziadnu pisomnu zmluvu (a to pre ziadny sektor) s SFA2.</w:t>
      </w:r>
    </w:p>
    <w:p w:rsidR="00886A14" w:rsidRDefault="00886A14">
      <w:pPr>
        <w:spacing w:after="0" w:line="240" w:lineRule="auto"/>
        <w:rPr>
          <w:rFonts w:ascii="Times New Roman" w:hAnsi="Times New Roman" w:cs="Times New Roman"/>
          <w:color w:val="1F497D"/>
        </w:rPr>
      </w:pPr>
      <w:r>
        <w:rPr>
          <w:color w:val="1F497D"/>
        </w:rPr>
        <w:t>Prvy navrh by nam velmi pomohol pri cisteni portfolia od sprostredkovateov, ktori robia podvodne zmluvy najma v IZP.</w:t>
      </w:r>
    </w:p>
    <w:p w:rsidR="00886A14" w:rsidRDefault="00886A14">
      <w:pPr>
        <w:spacing w:after="0" w:line="240" w:lineRule="auto"/>
        <w:rPr>
          <w:rFonts w:ascii="Times New Roman" w:hAnsi="Times New Roman" w:cs="Times New Roman"/>
          <w:color w:val="1F497D"/>
        </w:rPr>
      </w:pPr>
      <w:r>
        <w:rPr>
          <w:color w:val="1F497D"/>
        </w:rPr>
        <w:t>Druhy navrh je podla nas logicky a v sucasnosti nam robi problemy pri sprostredkovani poistenia</w:t>
      </w:r>
      <w:r>
        <w:rPr>
          <w:rFonts w:ascii="Times New Roman" w:hAnsi="Times New Roman" w:cs="Times New Roman"/>
          <w:color w:val="1F497D"/>
        </w:rPr>
        <w:t>.</w:t>
      </w:r>
      <w:r>
        <w:rPr>
          <w:b/>
          <w:bCs/>
          <w:color w:val="1F497D"/>
        </w:rPr>
        <w:t xml:space="preserve"> AXA</w:t>
      </w:r>
    </w:p>
    <w:p w:rsidR="00886A14" w:rsidRDefault="00886A14">
      <w:pPr>
        <w:spacing w:after="0" w:line="240" w:lineRule="auto"/>
        <w:rPr>
          <w:rFonts w:ascii="Times New Roman" w:hAnsi="Times New Roman" w:cs="Times New Roman"/>
          <w:color w:val="1F497D"/>
        </w:rPr>
      </w:pPr>
    </w:p>
    <w:p w:rsidR="00886A14" w:rsidRDefault="00886A14">
      <w:pPr>
        <w:pStyle w:val="Odsekzoznamu"/>
        <w:numPr>
          <w:ilvl w:val="0"/>
          <w:numId w:val="2"/>
        </w:numPr>
        <w:ind w:left="0" w:hanging="284"/>
      </w:pPr>
      <w:r>
        <w:t xml:space="preserve">1.Terminy na realizaciu zapisu, zrusenia a zmenu zapisu v registri zo strany NBS su nevyhovojuco vyriesene. Ked teraz je termin napr. na zapis do 10 dni, my nevieme, kedy bude VFA skutocne zapisany alebo kedy bude skutocne zapis zruseny. Pomohlo by nam, keby bola moznost poziadat o zapis/zrusenie/zmenu aj ku konkretnemu dnu a NBS by k tomu dnu aj v registri zapis/zrusenie/zmenu skutocne zrealizovala. Alebo skratit terminy na zapis/zrusenie/zmenu na 5/2/2 dni (vid navrh). </w:t>
      </w:r>
      <w:r>
        <w:br/>
      </w:r>
      <w:r>
        <w:br/>
        <w:t xml:space="preserve">2. Teraz NBS infomuje o zrealizovanych zapisoch/zmenach/zruseniach iba uverejnenim na stranke registra. Pomohlo by nam, keby nam informaciu o zrealizovani zapisu/zmeny/zrusenia aj oznamili na nasu adresu (e-mailovu). </w:t>
      </w:r>
      <w:r>
        <w:br/>
        <w:t>Register FA – rozšíriť informácie o možnosť zistiť, pod ktorého SFA patrí PFA.</w:t>
      </w:r>
    </w:p>
    <w:p w:rsidR="00886A14" w:rsidRDefault="00886A14">
      <w:pPr>
        <w:ind w:hanging="142"/>
        <w:rPr>
          <w:rFonts w:ascii="Arial" w:hAnsi="Arial" w:cs="Arial"/>
        </w:rPr>
      </w:pPr>
    </w:p>
    <w:p w:rsidR="00886A14" w:rsidRDefault="00886A14">
      <w:pPr>
        <w:spacing w:after="0" w:line="240" w:lineRule="auto"/>
        <w:ind w:left="142" w:hanging="142"/>
        <w:rPr>
          <w:b/>
          <w:bCs/>
        </w:rPr>
      </w:pPr>
      <w:r>
        <w:rPr>
          <w:b/>
          <w:bCs/>
        </w:rPr>
        <w:t>Návrh zmien a úprav zákona 186/2009 Z.z. za UNIQA poisťovňu, a.s.</w:t>
      </w:r>
    </w:p>
    <w:p w:rsidR="00886A14" w:rsidRDefault="00886A14">
      <w:pPr>
        <w:spacing w:after="0" w:line="240" w:lineRule="auto"/>
        <w:ind w:left="142" w:hanging="142"/>
        <w:rPr>
          <w:rFonts w:ascii="Arial" w:hAnsi="Arial" w:cs="Arial"/>
        </w:rPr>
      </w:pPr>
    </w:p>
    <w:p w:rsidR="00886A14" w:rsidRDefault="00886A14">
      <w:pPr>
        <w:spacing w:after="0" w:line="240" w:lineRule="auto"/>
        <w:ind w:left="142" w:hanging="142"/>
      </w:pPr>
      <w:r>
        <w:t>1.  § 14 ods. 5 znie:</w:t>
      </w:r>
    </w:p>
    <w:p w:rsidR="00886A14" w:rsidRDefault="00886A14">
      <w:pPr>
        <w:spacing w:after="0" w:line="240" w:lineRule="auto"/>
        <w:ind w:left="142" w:hanging="142"/>
      </w:pPr>
      <w:r>
        <w:t xml:space="preserve">(5) Ak je návrh na zápis úplný a poplatok za návrh na zápis bol riadne a včas uhradený, Národná banka Slovenska do piatich kalendárnych dní od prijatia úplného návrhu na zápis </w:t>
      </w:r>
    </w:p>
    <w:p w:rsidR="00886A14" w:rsidRDefault="00886A14">
      <w:pPr>
        <w:spacing w:after="0" w:line="240" w:lineRule="auto"/>
        <w:ind w:left="142" w:hanging="142"/>
      </w:pPr>
      <w:r>
        <w:t xml:space="preserve"> a) zapíše viazaného finančného agenta, podriadeného finančného agenta alebo viazaného investičného agenta do príslušného zoznamu v príslušnom podregistri podľa § 13 a priradí mu registračné číslo, </w:t>
      </w:r>
    </w:p>
    <w:p w:rsidR="00886A14" w:rsidRDefault="00886A14">
      <w:pPr>
        <w:spacing w:after="0" w:line="240" w:lineRule="auto"/>
        <w:ind w:left="142" w:hanging="142"/>
      </w:pPr>
      <w:r>
        <w:t xml:space="preserve"> b) informuje navrhovateľa elektronicky prostredníctvom e-mailovej správy  o zápise viazaného finančného agenta, podriadeného finančného agenta alebo viazaného investičného agenta do príslušného zoznamu v príslušnom podregistri podľa § 13 a o pridelenom registračnom čísle. </w:t>
      </w:r>
    </w:p>
    <w:p w:rsidR="00886A14" w:rsidRDefault="00886A14">
      <w:pPr>
        <w:spacing w:after="0" w:line="240" w:lineRule="auto"/>
        <w:ind w:left="142" w:hanging="142"/>
      </w:pPr>
    </w:p>
    <w:p w:rsidR="00886A14" w:rsidRDefault="00886A14">
      <w:pPr>
        <w:spacing w:after="0" w:line="240" w:lineRule="auto"/>
        <w:ind w:left="142" w:hanging="142"/>
      </w:pPr>
      <w:r>
        <w:t>2. § 15 ods. 4 znie:</w:t>
      </w:r>
    </w:p>
    <w:p w:rsidR="00886A14" w:rsidRDefault="00886A14">
      <w:pPr>
        <w:spacing w:after="0" w:line="240" w:lineRule="auto"/>
        <w:ind w:left="142" w:hanging="142"/>
      </w:pPr>
      <w:r>
        <w:t xml:space="preserve">(4) Ak je návrh na zmenu zápisu úplný a poplatok za návrh na zmenu zápisu bol riadne a včas uhradený, Národná banka Slovenska do dvoch kalendárnych dní od prijatia úplného návrhu na zmenu zápisu vyznačí zmenu v zápise a o zmene zápisu informuje navrhovateľa elektronicky prostredníctvom e-mailovej správy. </w:t>
      </w:r>
    </w:p>
    <w:p w:rsidR="00886A14" w:rsidRDefault="00886A14">
      <w:pPr>
        <w:spacing w:after="0" w:line="240" w:lineRule="auto"/>
        <w:ind w:left="142" w:hanging="142"/>
      </w:pPr>
    </w:p>
    <w:p w:rsidR="00886A14" w:rsidRDefault="00886A14">
      <w:pPr>
        <w:spacing w:after="0" w:line="240" w:lineRule="auto"/>
        <w:ind w:left="142" w:hanging="142"/>
      </w:pPr>
      <w:r>
        <w:t>3. § 16 ods. 6 znie:</w:t>
      </w:r>
    </w:p>
    <w:p w:rsidR="00886A14" w:rsidRDefault="00886A14">
      <w:pPr>
        <w:spacing w:after="0" w:line="240" w:lineRule="auto"/>
        <w:ind w:left="142" w:hanging="142"/>
      </w:pPr>
      <w:r>
        <w:t>(6) Ak sa Národná banka Slovenska dozvedela o dôvodoch zrušenia zápisu podľa odseku 2 písm. a) až d) a písm. f) až h) a odseku 4 alebo navrhovateľ podal úplný návrh na zrušenie zápisu podľa odseku 2 písm. e) a odseku 3 a riadne a včas uhradil poplatok za návrh na zrušenie zápisu, Národná banka Slovenska do dvoch</w:t>
      </w:r>
      <w:r>
        <w:rPr>
          <w:color w:val="FF0000"/>
        </w:rPr>
        <w:t xml:space="preserve"> </w:t>
      </w:r>
      <w:r>
        <w:t xml:space="preserve">kalendárnych dní odo dňa, v ktorom sa dozvedela o týchto dôvodoch zrušenia zápisu, alebo do dvoch kalendárnych dní od prijatia úplného návrhu na zrušenie zápisu </w:t>
      </w:r>
    </w:p>
    <w:p w:rsidR="00886A14" w:rsidRDefault="00886A14">
      <w:pPr>
        <w:spacing w:after="0" w:line="240" w:lineRule="auto"/>
        <w:ind w:left="142" w:hanging="142"/>
      </w:pPr>
      <w:r>
        <w:t xml:space="preserve"> a) zruší zápis viazaného finančného agenta, podriadeného finančného agenta alebo viazaného investičného agenta do príslušného zoznamu v príslušnom podregistri podľa § 13, </w:t>
      </w:r>
    </w:p>
    <w:p w:rsidR="00886A14" w:rsidRDefault="00886A14">
      <w:pPr>
        <w:spacing w:after="0" w:line="240" w:lineRule="auto"/>
        <w:ind w:left="142" w:hanging="142"/>
        <w:rPr>
          <w:rFonts w:ascii="Arial" w:hAnsi="Arial" w:cs="Arial"/>
        </w:rPr>
      </w:pPr>
      <w:r>
        <w:t xml:space="preserve"> b) informuje navrhovateľa elektronicky prostredníctvom e-mailovej správy o zrušení zápisu viazaného finančného agenta, podriadeného finančného agenta alebo viazaného investičného agenta do príslušného zoznamu v príslušnom podregistri podľa § 13. </w:t>
      </w:r>
      <w:r>
        <w:rPr>
          <w:b/>
          <w:bCs/>
          <w:u w:val="single"/>
        </w:rPr>
        <w:t>UNIQA</w:t>
      </w:r>
    </w:p>
    <w:p w:rsidR="00886A14" w:rsidRDefault="00886A14">
      <w:pPr>
        <w:pStyle w:val="Odsekzoznamu"/>
        <w:ind w:left="0"/>
      </w:pPr>
    </w:p>
    <w:p w:rsidR="00886A14" w:rsidRDefault="00886A14">
      <w:pPr>
        <w:pStyle w:val="Odsekzoznamu"/>
        <w:ind w:left="0" w:hanging="426"/>
        <w:rPr>
          <w:color w:val="365F91"/>
        </w:rPr>
      </w:pPr>
      <w:r>
        <w:rPr>
          <w:color w:val="365F91"/>
        </w:rPr>
        <w:t>1.</w:t>
      </w:r>
      <w:r>
        <w:t xml:space="preserve">     </w:t>
      </w:r>
      <w:r>
        <w:rPr>
          <w:b/>
          <w:bCs/>
          <w:color w:val="365F91"/>
        </w:rPr>
        <w:t>Výmena informácií o sprostredkovateľoch medzi poisťovňami</w:t>
      </w:r>
      <w:r>
        <w:rPr>
          <w:color w:val="365F91"/>
        </w:rPr>
        <w:t xml:space="preserve"> – niečo obdobné, ako je upravené v § 40 ods. 4 zákona o poisťovníctve. Prípadne doplniť ZoFSaFP aj o vedenie nejakého „registra“. Môže sa to zdôvodniť rizikom podvodu, nekalého konania, ochrany záujmov poisťovne a spotrebiteľa. </w:t>
      </w:r>
    </w:p>
    <w:p w:rsidR="00886A14" w:rsidRDefault="00886A14">
      <w:pPr>
        <w:pStyle w:val="Zkladntext2"/>
        <w:rPr>
          <w:rFonts w:ascii="Calibri" w:hAnsi="Calibri" w:cs="Calibri"/>
          <w:b/>
          <w:bCs/>
          <w:color w:val="FF0000"/>
          <w:sz w:val="22"/>
          <w:szCs w:val="22"/>
        </w:rPr>
      </w:pPr>
      <w:r>
        <w:rPr>
          <w:rFonts w:ascii="Calibri" w:hAnsi="Calibri" w:cs="Calibri"/>
          <w:b/>
          <w:bCs/>
          <w:color w:val="FF0000"/>
          <w:sz w:val="22"/>
          <w:szCs w:val="22"/>
        </w:rPr>
        <w:t>ALLIANZ: nie je zrejmé akých informácii, v akom rozsahu na akom právnom základe atď...dávame do pozornosti problematiku ochrany osobných údajov....</w:t>
      </w:r>
    </w:p>
    <w:p w:rsidR="00886A14" w:rsidRDefault="00886A14">
      <w:pPr>
        <w:spacing w:after="0" w:line="240" w:lineRule="auto"/>
        <w:rPr>
          <w:rFonts w:ascii="Arial" w:hAnsi="Arial" w:cs="Arial"/>
          <w:b/>
          <w:bCs/>
          <w:color w:val="FF6600"/>
        </w:rPr>
      </w:pPr>
    </w:p>
    <w:p w:rsidR="00886A14" w:rsidRDefault="00886A14">
      <w:pPr>
        <w:pStyle w:val="Odsekzoznamu"/>
        <w:numPr>
          <w:ilvl w:val="0"/>
          <w:numId w:val="2"/>
        </w:numPr>
        <w:ind w:left="0"/>
        <w:rPr>
          <w:color w:val="365F91"/>
        </w:rPr>
      </w:pPr>
      <w:r>
        <w:rPr>
          <w:color w:val="365F91"/>
        </w:rPr>
        <w:t>Dôveryhodnosť – bolo by vhodné, kedy existoval nejaký medzi stupeň t. j. nebola by upravená len strata dôveryhodnosti (napr. právoplatným odsúdením za trestný čin), ale aj nejaké dočasné pozastavenie činnosti na základe podozrenia, vyšetrovania nekalej činnosti. Vzhľadom na dĺžku trestných konaní je strata dôveryhodnosti, tak ako ju upravuje zákon, prakticky nepoužiteľná.</w:t>
      </w:r>
    </w:p>
    <w:p w:rsidR="00886A14" w:rsidRDefault="00886A14">
      <w:pPr>
        <w:pStyle w:val="Zkladntext3"/>
        <w:rPr>
          <w:rFonts w:ascii="Calibri" w:hAnsi="Calibri" w:cs="Calibri"/>
          <w:sz w:val="22"/>
          <w:szCs w:val="22"/>
          <w:lang w:val="sk-SK"/>
        </w:rPr>
      </w:pPr>
      <w:r>
        <w:rPr>
          <w:rFonts w:ascii="Calibri" w:hAnsi="Calibri" w:cs="Calibri"/>
          <w:sz w:val="22"/>
          <w:szCs w:val="22"/>
          <w:lang w:val="sk-SK"/>
        </w:rPr>
        <w:t>ALLIANZ: pozastavenie činnosti má vplyv na iné aspekty podnikania (fin. sprostredkovanie je podnikaním)...zároveň uvedené nekorenšponduje so zásadou prezumpcie neviny....môže byť v praxi zneužiteľné</w:t>
      </w:r>
    </w:p>
    <w:p w:rsidR="00886A14" w:rsidRDefault="00886A14">
      <w:pPr>
        <w:spacing w:after="0" w:line="240" w:lineRule="auto"/>
        <w:rPr>
          <w:rFonts w:ascii="Arial" w:hAnsi="Arial" w:cs="Arial"/>
          <w:color w:val="365F91"/>
        </w:rPr>
      </w:pPr>
    </w:p>
    <w:p w:rsidR="00886A14" w:rsidRDefault="00886A14">
      <w:pPr>
        <w:pStyle w:val="Odsekzoznamu"/>
        <w:numPr>
          <w:ilvl w:val="0"/>
          <w:numId w:val="2"/>
        </w:numPr>
        <w:ind w:left="0"/>
        <w:rPr>
          <w:color w:val="365F91"/>
        </w:rPr>
      </w:pPr>
      <w:r>
        <w:rPr>
          <w:color w:val="365F91"/>
        </w:rPr>
        <w:t>Vzdelávanie – doporučujeme zvýšiť požiadavku na odborné vzdelávanie aspoň u tých FA, ktorí predávajú životné a najmä investičné poistenie. Toto bez ohľadu či sú ako VFA, PFA, SFA.</w:t>
      </w:r>
    </w:p>
    <w:p w:rsidR="00886A14" w:rsidRDefault="00886A14">
      <w:pPr>
        <w:pStyle w:val="Zkladntext3"/>
        <w:rPr>
          <w:rFonts w:ascii="Calibri" w:hAnsi="Calibri" w:cs="Calibri"/>
          <w:sz w:val="22"/>
          <w:szCs w:val="22"/>
          <w:lang w:val="sk-SK"/>
        </w:rPr>
      </w:pPr>
      <w:r>
        <w:rPr>
          <w:rFonts w:ascii="Calibri" w:hAnsi="Calibri" w:cs="Calibri"/>
          <w:sz w:val="22"/>
          <w:szCs w:val="22"/>
          <w:lang w:val="sk-SK"/>
        </w:rPr>
        <w:t>ALLIANZ: nie je zrejmé odôvodnenie uvedenej požiadavky a konkrétne návrhy, resp. v čom má spočívať zvýšenie požiadavky na odborné vzdelávanie.</w:t>
      </w:r>
    </w:p>
    <w:p w:rsidR="00886A14" w:rsidRDefault="00886A14">
      <w:pPr>
        <w:spacing w:after="0" w:line="240" w:lineRule="auto"/>
        <w:rPr>
          <w:rFonts w:ascii="Arial" w:hAnsi="Arial" w:cs="Arial"/>
          <w:color w:val="365F91"/>
        </w:rPr>
      </w:pPr>
    </w:p>
    <w:p w:rsidR="00886A14" w:rsidRDefault="00886A14">
      <w:pPr>
        <w:pStyle w:val="Odsekzoznamu"/>
        <w:numPr>
          <w:ilvl w:val="0"/>
          <w:numId w:val="2"/>
        </w:numPr>
        <w:ind w:left="0"/>
        <w:rPr>
          <w:color w:val="365F91"/>
        </w:rPr>
      </w:pPr>
      <w:r>
        <w:rPr>
          <w:color w:val="365F91"/>
        </w:rPr>
        <w:t>Zadefinovať rozdiel medzi klientom a potenciálnym klientom + bližšie vysvetliť § 31 ods. 8 ZoFSaFP.</w:t>
      </w:r>
    </w:p>
    <w:p w:rsidR="00886A14" w:rsidRDefault="00886A14">
      <w:pPr>
        <w:spacing w:after="0" w:line="240" w:lineRule="auto"/>
        <w:rPr>
          <w:rFonts w:ascii="Arial" w:hAnsi="Arial" w:cs="Arial"/>
          <w:color w:val="365F91"/>
        </w:rPr>
      </w:pPr>
    </w:p>
    <w:p w:rsidR="00886A14" w:rsidRDefault="00886A14">
      <w:pPr>
        <w:pStyle w:val="Odsekzoznamu"/>
        <w:numPr>
          <w:ilvl w:val="0"/>
          <w:numId w:val="2"/>
        </w:numPr>
        <w:ind w:left="0"/>
        <w:rPr>
          <w:color w:val="365F91"/>
        </w:rPr>
      </w:pPr>
      <w:r>
        <w:rPr>
          <w:color w:val="365F91"/>
        </w:rPr>
        <w:t xml:space="preserve">Neumožniť, aby jedna osoba sprostredkovávala poistenie ako FO a zároveň aj v rámci PO. </w:t>
      </w:r>
    </w:p>
    <w:p w:rsidR="00886A14" w:rsidRDefault="00886A14">
      <w:pPr>
        <w:pStyle w:val="Zkladntext3"/>
        <w:rPr>
          <w:rFonts w:ascii="Calibri" w:hAnsi="Calibri" w:cs="Calibri"/>
          <w:sz w:val="22"/>
          <w:szCs w:val="22"/>
          <w:lang w:val="sk-SK"/>
        </w:rPr>
      </w:pPr>
      <w:r>
        <w:rPr>
          <w:rFonts w:ascii="Calibri" w:hAnsi="Calibri" w:cs="Calibri"/>
          <w:sz w:val="22"/>
          <w:szCs w:val="22"/>
          <w:lang w:val="sk-SK"/>
        </w:rPr>
        <w:t>ALLIANZ: ide o dva samostané subjekty....so samostatnou právnou subjektivitou...fin. sprostredkovanie je podnikaním, pričom podnikanie je definované ako činnosť vykonávaná samostatne podnikateľom vo vlastnom mene....</w:t>
      </w:r>
    </w:p>
    <w:p w:rsidR="00886A14" w:rsidRDefault="00886A14">
      <w:pPr>
        <w:pStyle w:val="Zkladntext3"/>
        <w:rPr>
          <w:lang w:val="sk-SK"/>
        </w:rPr>
      </w:pPr>
    </w:p>
    <w:p w:rsidR="00886A14" w:rsidRDefault="00886A14">
      <w:pPr>
        <w:pStyle w:val="Odsekzoznamu"/>
        <w:numPr>
          <w:ilvl w:val="0"/>
          <w:numId w:val="2"/>
        </w:numPr>
        <w:ind w:left="0"/>
        <w:rPr>
          <w:b/>
          <w:bCs/>
          <w:color w:val="FF0000"/>
        </w:rPr>
      </w:pPr>
      <w:r>
        <w:rPr>
          <w:color w:val="365F91"/>
        </w:rPr>
        <w:t xml:space="preserve">Upraviť situáciu, kedy klient žiada o zmenu „správcu“ poistenia a dotknutý finančný agent s tým nesúhlasí. </w:t>
      </w:r>
      <w:r>
        <w:rPr>
          <w:b/>
          <w:bCs/>
          <w:color w:val="FF0000"/>
        </w:rPr>
        <w:t xml:space="preserve">ALLIANZ: máme za to, že uvedené je vecou obchodnej praxe poisťovní </w:t>
      </w:r>
    </w:p>
    <w:p w:rsidR="00886A14" w:rsidRDefault="00886A14">
      <w:pPr>
        <w:spacing w:after="0" w:line="240" w:lineRule="auto"/>
        <w:rPr>
          <w:rFonts w:ascii="Arial" w:hAnsi="Arial" w:cs="Arial"/>
          <w:color w:val="365F91"/>
        </w:rPr>
      </w:pPr>
    </w:p>
    <w:p w:rsidR="00886A14" w:rsidRDefault="00886A14">
      <w:pPr>
        <w:pStyle w:val="Odsekzoznamu"/>
        <w:numPr>
          <w:ilvl w:val="0"/>
          <w:numId w:val="2"/>
        </w:numPr>
        <w:ind w:left="0"/>
        <w:rPr>
          <w:color w:val="365F91"/>
        </w:rPr>
      </w:pPr>
      <w:r>
        <w:rPr>
          <w:color w:val="365F91"/>
        </w:rPr>
        <w:t xml:space="preserve">Bližšie špecifikovať informačné povinnosti pre sektor poistenia a to najmä životného poistenia (upresniť, čo je tým myslené). Zvážiť, či je nevyhnutné, aby FA poskytoval klientovi skutočne všetky info o sebe, tak ako ukladá zákon (výhradná/nevýhradná zmluva, registračné číslo, sťažnosti). </w:t>
      </w:r>
    </w:p>
    <w:p w:rsidR="00886A14" w:rsidRDefault="00886A14">
      <w:pPr>
        <w:spacing w:after="0" w:line="240" w:lineRule="auto"/>
        <w:rPr>
          <w:rFonts w:ascii="Arial" w:hAnsi="Arial" w:cs="Arial"/>
          <w:color w:val="365F91"/>
        </w:rPr>
      </w:pPr>
    </w:p>
    <w:p w:rsidR="00886A14" w:rsidRDefault="00886A14">
      <w:pPr>
        <w:pStyle w:val="Odsekzoznamu"/>
        <w:numPr>
          <w:ilvl w:val="0"/>
          <w:numId w:val="2"/>
        </w:numPr>
        <w:ind w:left="0"/>
        <w:rPr>
          <w:color w:val="365F91"/>
        </w:rPr>
      </w:pPr>
      <w:r>
        <w:rPr>
          <w:color w:val="365F91"/>
        </w:rPr>
        <w:t xml:space="preserve">„Výklad NBS“ k posudzovaniu klienta, upresniť, zmeniť – ak klient odmietne poskytnúť info, FA nesmie ponúknuť (odporúčať) uzavretie PZ. Takáto úprava nemá zmysel napr. v prípade neživotného poistenia. </w:t>
      </w:r>
    </w:p>
    <w:p w:rsidR="00886A14" w:rsidRDefault="00886A14">
      <w:pPr>
        <w:spacing w:after="0" w:line="240" w:lineRule="auto"/>
        <w:rPr>
          <w:rFonts w:ascii="Arial" w:hAnsi="Arial" w:cs="Arial"/>
          <w:color w:val="365F91"/>
        </w:rPr>
      </w:pPr>
    </w:p>
    <w:p w:rsidR="00886A14" w:rsidRDefault="00886A14">
      <w:pPr>
        <w:pStyle w:val="Odsekzoznamu"/>
        <w:numPr>
          <w:ilvl w:val="0"/>
          <w:numId w:val="2"/>
        </w:numPr>
        <w:ind w:left="0"/>
        <w:rPr>
          <w:color w:val="365F91"/>
        </w:rPr>
      </w:pPr>
      <w:r>
        <w:rPr>
          <w:color w:val="365F91"/>
        </w:rPr>
        <w:t>§ 7 (SFA) + § 8 (VFA) Zákona - pozitívne alebo negatívne vymedziť, kto môže byť SFA/VFA v zmysle subjektov (FO, PO, fin.inštitúcia a pod.)</w:t>
      </w:r>
    </w:p>
    <w:p w:rsidR="00886A14" w:rsidRDefault="00886A14">
      <w:pPr>
        <w:pStyle w:val="Zkladntext3"/>
        <w:rPr>
          <w:rFonts w:ascii="Calibri" w:hAnsi="Calibri" w:cs="Calibri"/>
          <w:sz w:val="22"/>
          <w:szCs w:val="22"/>
          <w:lang w:val="sk-SK"/>
        </w:rPr>
      </w:pPr>
      <w:r>
        <w:rPr>
          <w:rFonts w:ascii="Calibri" w:hAnsi="Calibri" w:cs="Calibri"/>
          <w:sz w:val="22"/>
          <w:szCs w:val="22"/>
          <w:lang w:val="sk-SK"/>
        </w:rPr>
        <w:lastRenderedPageBreak/>
        <w:t>ALLIANZ: máme  za to, že uvedená otázka je zo zákona č. 186/2009 Z.z.  zrejmá, najmä pokiaľ ide o definíciu pojmu finančný agent (§ 6)</w:t>
      </w:r>
    </w:p>
    <w:p w:rsidR="00886A14" w:rsidRDefault="00886A14">
      <w:pPr>
        <w:pStyle w:val="Zkladntext3"/>
        <w:rPr>
          <w:lang w:val="sk-SK"/>
        </w:rPr>
      </w:pPr>
    </w:p>
    <w:p w:rsidR="00886A14" w:rsidRDefault="00886A14">
      <w:pPr>
        <w:pStyle w:val="Odsekzoznamu"/>
        <w:numPr>
          <w:ilvl w:val="0"/>
          <w:numId w:val="2"/>
        </w:numPr>
        <w:ind w:left="0"/>
        <w:rPr>
          <w:color w:val="365F91"/>
        </w:rPr>
      </w:pPr>
      <w:r>
        <w:rPr>
          <w:color w:val="365F91"/>
        </w:rPr>
        <w:t>§ 11 ods. 1 zákona o FSaFP „1. Finančný sprostredkovateľ z iného členského štátu v sektore poistenia alebo zaistenia je oprávnený na území Slovenskej republiky vykonávať finančné sprostredkovanie alebo finančné poradenstvo v sektore poistenia alebo zaistenia v rozsahu, v akom je oprávnený vykonávať finančné sprostredkovanie alebo finančné poradenstvo v sektore poistenia alebo zaistenia vo svojom domovskom členskom štáte, a to prostredníctvom pobočky alebo na základe práva na slobodné poskytovanie služieb.“</w:t>
      </w:r>
    </w:p>
    <w:p w:rsidR="00886A14" w:rsidRDefault="00886A14">
      <w:pPr>
        <w:pStyle w:val="Odsekzoznamu"/>
        <w:ind w:left="0"/>
        <w:rPr>
          <w:color w:val="365F91"/>
        </w:rPr>
      </w:pPr>
      <w:r>
        <w:rPr>
          <w:color w:val="365F91"/>
        </w:rPr>
        <w:t>- bolo by dobré túto vetu preštylizovať, pretože nastávajú prípady, kedy FS z iného členského štátu  nemôže v plnom rozsahu vykonávať finančné sprostredkovanie v sektore poistenia a zaistenia v rovnakom rozsahu ako vo svojom domovskom členkom štáte, pretože to odporuje ustanovenia našich zákonov.</w:t>
      </w:r>
    </w:p>
    <w:p w:rsidR="00886A14" w:rsidRDefault="00886A14">
      <w:pPr>
        <w:pStyle w:val="Odsekzoznamu"/>
        <w:ind w:left="0"/>
        <w:rPr>
          <w:color w:val="365F91"/>
        </w:rPr>
      </w:pPr>
      <w:r>
        <w:rPr>
          <w:color w:val="365F91"/>
        </w:rPr>
        <w:t>- vhodné stanoviť ohľadne tohto odseku, že pre FS z iného členského štátu sú ustanovenia § 11 ods. 4, § 28, § 30 ods. 1, § 31, § 32, § 33, § 34, § 35 zákona o FSaFP kogentné.</w:t>
      </w:r>
    </w:p>
    <w:p w:rsidR="00886A14" w:rsidRDefault="00886A14">
      <w:pPr>
        <w:pStyle w:val="Odsekzoznamu"/>
        <w:ind w:left="0"/>
        <w:rPr>
          <w:color w:val="365F91"/>
        </w:rPr>
      </w:pPr>
    </w:p>
    <w:p w:rsidR="00886A14" w:rsidRDefault="00886A14">
      <w:pPr>
        <w:pStyle w:val="Odsekzoznamu"/>
        <w:numPr>
          <w:ilvl w:val="0"/>
          <w:numId w:val="2"/>
        </w:numPr>
        <w:ind w:left="0"/>
        <w:rPr>
          <w:color w:val="365F91"/>
        </w:rPr>
      </w:pPr>
      <w:r>
        <w:rPr>
          <w:color w:val="365F91"/>
        </w:rPr>
        <w:t>§ 25 ods. 1 zákona o FSaFP</w:t>
      </w:r>
    </w:p>
    <w:p w:rsidR="00886A14" w:rsidRDefault="00886A14">
      <w:pPr>
        <w:pStyle w:val="Odsekzoznamu"/>
        <w:ind w:left="0"/>
        <w:rPr>
          <w:color w:val="365F91"/>
        </w:rPr>
      </w:pPr>
      <w:r>
        <w:rPr>
          <w:color w:val="365F91"/>
        </w:rPr>
        <w:t>„1. Ak ide o právnickú osobu, samostatný finančný agent a finančný poradca sú povinní zahrnúť do svojej organizačnej štruktúry vedúceho zamestnanca.“</w:t>
      </w:r>
    </w:p>
    <w:p w:rsidR="00886A14" w:rsidRDefault="00886A14">
      <w:pPr>
        <w:pStyle w:val="Odsekzoznamu"/>
        <w:numPr>
          <w:ilvl w:val="0"/>
          <w:numId w:val="3"/>
        </w:numPr>
        <w:ind w:left="0"/>
        <w:rPr>
          <w:color w:val="365F91"/>
        </w:rPr>
      </w:pPr>
      <w:r>
        <w:rPr>
          <w:color w:val="365F91"/>
        </w:rPr>
        <w:t xml:space="preserve">Bolo by vhodné definovať, že osoba vykonávajúca funkciu vedúceho zamestnanca nemusí byť zároveň zamestnancom finančného agenta podľa zákona č. 311/2001 Z. z. (Zákonník práce). Vzťah vedúceho zamestnanca a finančného agenta môže byť aj obchodno-právny.  </w:t>
      </w:r>
    </w:p>
    <w:p w:rsidR="00886A14" w:rsidRDefault="00886A14">
      <w:pPr>
        <w:pStyle w:val="Odsekzoznamu"/>
        <w:ind w:left="0"/>
        <w:rPr>
          <w:color w:val="365F91"/>
        </w:rPr>
      </w:pPr>
    </w:p>
    <w:p w:rsidR="00886A14" w:rsidRDefault="00886A14">
      <w:pPr>
        <w:pStyle w:val="Odsekzoznamu"/>
        <w:numPr>
          <w:ilvl w:val="0"/>
          <w:numId w:val="2"/>
        </w:numPr>
        <w:ind w:left="0"/>
        <w:rPr>
          <w:color w:val="365F91"/>
        </w:rPr>
      </w:pPr>
      <w:r>
        <w:rPr>
          <w:color w:val="365F91"/>
        </w:rPr>
        <w:t xml:space="preserve">§ 33 ods. 4 písm. f) zákona o FSaFP </w:t>
      </w:r>
    </w:p>
    <w:p w:rsidR="00886A14" w:rsidRDefault="00886A14">
      <w:pPr>
        <w:pStyle w:val="Odsekzoznamu"/>
        <w:ind w:left="0"/>
        <w:rPr>
          <w:color w:val="365F91"/>
        </w:rPr>
      </w:pPr>
      <w:r>
        <w:rPr>
          <w:color w:val="365F91"/>
        </w:rPr>
        <w:t xml:space="preserve">Finančný agent je povinný pred uzatvorením PZ oznámiť: </w:t>
      </w:r>
    </w:p>
    <w:p w:rsidR="00886A14" w:rsidRDefault="00886A14">
      <w:pPr>
        <w:pStyle w:val="Odsekzoznamu"/>
        <w:ind w:left="0"/>
        <w:rPr>
          <w:color w:val="365F91"/>
        </w:rPr>
      </w:pPr>
      <w:r>
        <w:rPr>
          <w:color w:val="365F91"/>
        </w:rPr>
        <w:t>„f) výšku poplatkov a iných nákladov súvisiacich so sprostredkovanou finančnou službou.“</w:t>
      </w:r>
    </w:p>
    <w:p w:rsidR="00886A14" w:rsidRDefault="00886A14">
      <w:pPr>
        <w:pStyle w:val="Odsekzoznamu"/>
        <w:numPr>
          <w:ilvl w:val="0"/>
          <w:numId w:val="3"/>
        </w:numPr>
        <w:ind w:left="0"/>
        <w:rPr>
          <w:color w:val="365F91"/>
        </w:rPr>
      </w:pPr>
      <w:r>
        <w:rPr>
          <w:color w:val="365F91"/>
        </w:rPr>
        <w:t xml:space="preserve">bolo by vhodné definovať pojem „iné náklady súvisiace so sprostredkovanou FS“ v § 4 Zákona.  </w:t>
      </w:r>
    </w:p>
    <w:p w:rsidR="00886A14" w:rsidRDefault="00886A14">
      <w:pPr>
        <w:spacing w:after="0" w:line="240" w:lineRule="auto"/>
        <w:rPr>
          <w:rFonts w:ascii="Times New Roman" w:hAnsi="Times New Roman" w:cs="Times New Roman"/>
          <w:color w:val="365F91"/>
        </w:rPr>
      </w:pPr>
    </w:p>
    <w:p w:rsidR="00886A14" w:rsidRDefault="00886A14">
      <w:pPr>
        <w:pStyle w:val="Odsekzoznamu"/>
        <w:numPr>
          <w:ilvl w:val="0"/>
          <w:numId w:val="2"/>
        </w:numPr>
        <w:ind w:left="0"/>
        <w:rPr>
          <w:b/>
          <w:bCs/>
          <w:color w:val="365F91"/>
          <w:u w:val="single"/>
        </w:rPr>
      </w:pPr>
      <w:r>
        <w:rPr>
          <w:color w:val="365F91"/>
        </w:rPr>
        <w:t xml:space="preserve">Zamedziť FA, aby mohol vystupovať na 1 poistnej zmluve ako poistník a zároveň ako zástupca poisťovateľa. </w:t>
      </w:r>
      <w:r>
        <w:rPr>
          <w:b/>
          <w:bCs/>
          <w:color w:val="365F91"/>
          <w:u w:val="single"/>
        </w:rPr>
        <w:t>GENERALI</w:t>
      </w:r>
    </w:p>
    <w:p w:rsidR="00886A14" w:rsidRDefault="00886A14">
      <w:pPr>
        <w:spacing w:after="0" w:line="240" w:lineRule="auto"/>
        <w:rPr>
          <w:rFonts w:ascii="Times New Roman" w:hAnsi="Times New Roman" w:cs="Times New Roman"/>
        </w:rPr>
      </w:pPr>
    </w:p>
    <w:p w:rsidR="00886A14" w:rsidRDefault="00886A14">
      <w:pPr>
        <w:rPr>
          <w:rFonts w:ascii="Arial" w:hAnsi="Arial" w:cs="Arial"/>
        </w:rPr>
      </w:pPr>
    </w:p>
    <w:p w:rsidR="00886A14" w:rsidRDefault="00886A14">
      <w:pPr>
        <w:pStyle w:val="Odsekzoznamu"/>
        <w:numPr>
          <w:ilvl w:val="0"/>
          <w:numId w:val="6"/>
        </w:numPr>
        <w:ind w:left="-284" w:hanging="142"/>
      </w:pPr>
      <w:r>
        <w:t>Zákon v § 16 ods. 3 upravuje povinnosť navrhovateľa bez zbytočného odkladu podať návrh na zrušenie zápisu viazaného finančného agenta, podriadeného finančného agenta alebo viazaného investičného agenta, ak mu nebolo preukázané splnenie požiadaviek na odbornú spôsobilosť v lehotách podľa § 21 ods. 10 písm. a) a b) alebo ak mu nebol o preukázané overenie jeho odbornej spôsobilosti v lehote podľa § 22 ods. 21.</w:t>
      </w:r>
    </w:p>
    <w:p w:rsidR="00886A14" w:rsidRDefault="00886A14">
      <w:pPr>
        <w:ind w:left="-284"/>
      </w:pPr>
      <w:r>
        <w:t>Ďalej podľa § 21 ods. 10, odbornú spôsobilosť preukazuje viazaný finančný agent a viazaný investičný agent navrhovateľovi do troch mesiacov odo dňa prvého zápisu do príslušného zoznamu v príslušnom podregistri podľa § 13.</w:t>
      </w:r>
    </w:p>
    <w:p w:rsidR="00886A14" w:rsidRDefault="00886A14">
      <w:pPr>
        <w:ind w:left="-284"/>
      </w:pPr>
      <w:r>
        <w:t xml:space="preserve">V prípade, ak navrhovateľ uzavrie zmluvu o finančnom sprostredkovaní s viazaným finančným agentom („VFA“) a daný VFA neabsolvuje osobitné finančné vzdelávanie do 3 mesiacov odo dňa zápisu v príslušnom registri, navrhovateľ musí podať návrh na zrušenie zápisu viazaného finančného agenta a ukončiť s ním spoluprácu. V prípade, že s daným VFA by navrhovateľ začal spoluprácu opätovne napr. o rok, vzniká otázka, či daný VFA spĺňa podmienku dôveryhodnosti podľa § 23 ods. 1 písm. g), (t.j. či ho možno považovať za sobou, ktorá spoľahlivo, poctivo a bez porušenia všeobecne záväzných právnych predpisov vykonával v posledných desiatich rokoch svoje funkcie alebo podnikala a so zreteľom na tieto skutočnosti poskytuje záruku, že bude spoľahlivo, poctivo a bez porušenia všeobecne záväzných právnych predpisov vykonávať finančné sprostredkovanie alebo finančné poradenstvo vrátane plnenia </w:t>
      </w:r>
      <w:r>
        <w:lastRenderedPageBreak/>
        <w:t>povinností vyplývajúcich zo všeobecne záväzných právnych predpisov a z vnútorných aktov riadenia. Daný VFA totiž porušil povinnosť podľa zákona č. 186/2009 Z.z.absolvovať osobitné finančné vzdelávanie do 3 mesiacov odo dňa zápisu. Uvedený prísupt by však bránil v slobodnom prístupe k podnikaniu, keďže aj finančné sprostredkovanie je podnikaním. Z uvedeného dôvodu by bolo vhodné doplniť do zákona, že nesplnenie požiadaviek uvedených v § 21 ods. 10 zákona, nemá vplyv na požiadavku dôveryhodnosti podľa § 23 ods. 1 písm. g).</w:t>
      </w:r>
    </w:p>
    <w:p w:rsidR="00886A14" w:rsidRDefault="00886A14">
      <w:pPr>
        <w:ind w:left="-284"/>
      </w:pPr>
      <w:r>
        <w:t>Taktiež by bolo vhodné z praktických dôvodov lehotu troch mesiacov na absolvovanie osobitného finančného vzdelávania, predĺžiť aspoň na 6 mesiacov.</w:t>
      </w:r>
    </w:p>
    <w:p w:rsidR="00886A14" w:rsidRDefault="00886A14">
      <w:pPr>
        <w:pStyle w:val="Odsekzoznamu"/>
        <w:numPr>
          <w:ilvl w:val="0"/>
          <w:numId w:val="6"/>
        </w:numPr>
        <w:ind w:left="-284" w:hanging="142"/>
      </w:pPr>
      <w:r>
        <w:t xml:space="preserve">V § 21 ods. 10 navrhujeme vypustiť slovo „prvého“, nakoľko zápis do registra môže byť aj opakovaný (napr. VFA ukončí spoluprácu s jedným navrhovateľom, ktorý mu zruší zápis v registri a VFA uzavrie zmluvu o finančnom sprostredkovaní s druhým navrhovateľom, ktorý ho nanovo zaregistruje). </w:t>
      </w:r>
    </w:p>
    <w:p w:rsidR="00886A14" w:rsidRDefault="00886A14">
      <w:pPr>
        <w:ind w:left="-284"/>
      </w:pPr>
      <w:r>
        <w:t>Z uvedeného dôvodu navrhujeme nasledovné znenie:</w:t>
      </w:r>
    </w:p>
    <w:p w:rsidR="00886A14" w:rsidRDefault="00886A14">
      <w:pPr>
        <w:ind w:left="-284"/>
      </w:pPr>
      <w:r>
        <w:t>„Podľa § 21 ods. 10, odbornú spôsobilosť preukazuje viazaný finančný agent a viazaný investičný agent navrhovateľovi do troch mesiacov odo dňa zápisu do príslušného zoznamu v príslušnom podregistri podľa § 13.“</w:t>
      </w:r>
    </w:p>
    <w:p w:rsidR="00886A14" w:rsidRDefault="00886A14">
      <w:pPr>
        <w:ind w:left="-284" w:hanging="142"/>
        <w:rPr>
          <w:rFonts w:ascii="Arial" w:hAnsi="Arial" w:cs="Arial"/>
        </w:rPr>
      </w:pPr>
    </w:p>
    <w:p w:rsidR="00886A14" w:rsidRDefault="00886A14">
      <w:pPr>
        <w:pStyle w:val="Odsekzoznamu"/>
        <w:numPr>
          <w:ilvl w:val="0"/>
          <w:numId w:val="6"/>
        </w:numPr>
        <w:ind w:left="-284" w:hanging="142"/>
      </w:pPr>
      <w:r>
        <w:t>§ 35 ods. 1 navrhujeme nasledovné znenie (upresnenie znenia):</w:t>
      </w:r>
    </w:p>
    <w:p w:rsidR="00886A14" w:rsidRDefault="00886A14">
      <w:pPr>
        <w:ind w:left="-284" w:hanging="142"/>
      </w:pPr>
      <w:r>
        <w:t>„Finančný agent alebo finančný poradca je povinný zistiť a zaznamenať požiadavky a potreby klienta, jeho skúsenosti a znalosti týkajúce sa príslušnej finančnej služby a jeho finančnú situáciu, a to s ohľadom na povahu finančnej služby, ktorá je predmetom finančného sprostredkovania alebo finančného poradenstva.“</w:t>
      </w:r>
    </w:p>
    <w:p w:rsidR="00886A14" w:rsidRDefault="00886A14">
      <w:pPr>
        <w:ind w:left="-284"/>
        <w:rPr>
          <w:rFonts w:ascii="Arial" w:hAnsi="Arial" w:cs="Arial"/>
        </w:rPr>
      </w:pPr>
      <w:r>
        <w:t>Tu by bolo vhodné taktiež doplniť, že finančná situácia klienta sa má zisťovať len pri sprostredkovaní určitých druhov finančných služieb (napr. s vyššou mierou rizika pre klienta a pod). Cieľom je mať ustanovenie, podľa ktorého by agent nemusel zisťovať finančnú situáciu pri každom sprostredkovaní finančných služieb (napr. pri PZP), ale len pri rizikových finančných službách (napr. podielové fondy, unit-linked produkty a pod.).</w:t>
      </w:r>
      <w:r>
        <w:rPr>
          <w:b/>
          <w:bCs/>
        </w:rPr>
        <w:t>AMSLICO</w:t>
      </w:r>
    </w:p>
    <w:p w:rsidR="00886A14" w:rsidRDefault="00886A14">
      <w:pPr>
        <w:spacing w:after="0" w:line="240" w:lineRule="auto"/>
        <w:rPr>
          <w:rFonts w:ascii="Times New Roman" w:hAnsi="Times New Roman" w:cs="Times New Roman"/>
        </w:rPr>
      </w:pPr>
    </w:p>
    <w:sectPr w:rsidR="00886A14" w:rsidSect="00886A1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C1EC8"/>
    <w:multiLevelType w:val="hybridMultilevel"/>
    <w:tmpl w:val="4A2269CC"/>
    <w:lvl w:ilvl="0" w:tplc="041B000F">
      <w:start w:val="1"/>
      <w:numFmt w:val="decimal"/>
      <w:lvlText w:val="%1."/>
      <w:lvlJc w:val="left"/>
      <w:pPr>
        <w:ind w:left="720" w:hanging="360"/>
      </w:pPr>
      <w:rPr>
        <w:rFonts w:ascii="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1">
    <w:nsid w:val="37950DE8"/>
    <w:multiLevelType w:val="hybridMultilevel"/>
    <w:tmpl w:val="32C285AE"/>
    <w:lvl w:ilvl="0" w:tplc="D0EC8642">
      <w:start w:val="1"/>
      <w:numFmt w:val="bullet"/>
      <w:lvlText w:val="-"/>
      <w:lvlJc w:val="left"/>
      <w:pPr>
        <w:ind w:left="720" w:hanging="360"/>
      </w:pPr>
      <w:rPr>
        <w:rFonts w:ascii="Calibri" w:eastAsia="Times New Roman" w:hAnsi="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2">
    <w:nsid w:val="4C9E0D36"/>
    <w:multiLevelType w:val="hybridMultilevel"/>
    <w:tmpl w:val="E5D60A14"/>
    <w:lvl w:ilvl="0" w:tplc="90C66C52">
      <w:start w:val="16"/>
      <w:numFmt w:val="bullet"/>
      <w:lvlText w:val="-"/>
      <w:lvlJc w:val="left"/>
      <w:pPr>
        <w:ind w:left="1080" w:hanging="360"/>
      </w:pPr>
      <w:rPr>
        <w:rFonts w:ascii="Calibri" w:eastAsia="Times New Roman" w:hAnsi="Calibri"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cs="Wingdings" w:hint="default"/>
      </w:rPr>
    </w:lvl>
    <w:lvl w:ilvl="3" w:tplc="041B0001">
      <w:start w:val="1"/>
      <w:numFmt w:val="bullet"/>
      <w:lvlText w:val=""/>
      <w:lvlJc w:val="left"/>
      <w:pPr>
        <w:ind w:left="3240" w:hanging="360"/>
      </w:pPr>
      <w:rPr>
        <w:rFonts w:ascii="Symbol" w:hAnsi="Symbol" w:cs="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cs="Wingdings" w:hint="default"/>
      </w:rPr>
    </w:lvl>
    <w:lvl w:ilvl="6" w:tplc="041B0001">
      <w:start w:val="1"/>
      <w:numFmt w:val="bullet"/>
      <w:lvlText w:val=""/>
      <w:lvlJc w:val="left"/>
      <w:pPr>
        <w:ind w:left="5400" w:hanging="360"/>
      </w:pPr>
      <w:rPr>
        <w:rFonts w:ascii="Symbol" w:hAnsi="Symbol" w:cs="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cs="Wingdings" w:hint="default"/>
      </w:rPr>
    </w:lvl>
  </w:abstractNum>
  <w:abstractNum w:abstractNumId="3">
    <w:nsid w:val="4DFE40B4"/>
    <w:multiLevelType w:val="hybridMultilevel"/>
    <w:tmpl w:val="615C9490"/>
    <w:lvl w:ilvl="0" w:tplc="041B000F">
      <w:start w:val="1"/>
      <w:numFmt w:val="decimal"/>
      <w:lvlText w:val="%1."/>
      <w:lvlJc w:val="left"/>
      <w:pPr>
        <w:ind w:left="720" w:hanging="360"/>
      </w:pPr>
      <w:rPr>
        <w:rFonts w:ascii="Times New Roman" w:hAnsi="Times New Roman" w:cs="Times New Roman"/>
      </w:rPr>
    </w:lvl>
    <w:lvl w:ilvl="1" w:tplc="041B0019">
      <w:start w:val="1"/>
      <w:numFmt w:val="lowerLetter"/>
      <w:lvlText w:val="%2."/>
      <w:lvlJc w:val="left"/>
      <w:pPr>
        <w:ind w:left="1440" w:hanging="360"/>
      </w:pPr>
      <w:rPr>
        <w:rFonts w:ascii="Times New Roman" w:hAnsi="Times New Roman" w:cs="Times New Roman"/>
      </w:rPr>
    </w:lvl>
    <w:lvl w:ilvl="2" w:tplc="041B001B">
      <w:start w:val="1"/>
      <w:numFmt w:val="lowerRoman"/>
      <w:lvlText w:val="%3."/>
      <w:lvlJc w:val="right"/>
      <w:pPr>
        <w:ind w:left="2160" w:hanging="180"/>
      </w:pPr>
      <w:rPr>
        <w:rFonts w:ascii="Times New Roman" w:hAnsi="Times New Roman" w:cs="Times New Roman"/>
      </w:rPr>
    </w:lvl>
    <w:lvl w:ilvl="3" w:tplc="041B000F">
      <w:start w:val="1"/>
      <w:numFmt w:val="decimal"/>
      <w:lvlText w:val="%4."/>
      <w:lvlJc w:val="left"/>
      <w:pPr>
        <w:ind w:left="2880" w:hanging="360"/>
      </w:pPr>
      <w:rPr>
        <w:rFonts w:ascii="Times New Roman" w:hAnsi="Times New Roman" w:cs="Times New Roman"/>
      </w:rPr>
    </w:lvl>
    <w:lvl w:ilvl="4" w:tplc="041B0019">
      <w:start w:val="1"/>
      <w:numFmt w:val="lowerLetter"/>
      <w:lvlText w:val="%5."/>
      <w:lvlJc w:val="left"/>
      <w:pPr>
        <w:ind w:left="3600" w:hanging="360"/>
      </w:pPr>
      <w:rPr>
        <w:rFonts w:ascii="Times New Roman" w:hAnsi="Times New Roman" w:cs="Times New Roman"/>
      </w:rPr>
    </w:lvl>
    <w:lvl w:ilvl="5" w:tplc="041B001B">
      <w:start w:val="1"/>
      <w:numFmt w:val="lowerRoman"/>
      <w:lvlText w:val="%6."/>
      <w:lvlJc w:val="right"/>
      <w:pPr>
        <w:ind w:left="4320" w:hanging="180"/>
      </w:pPr>
      <w:rPr>
        <w:rFonts w:ascii="Times New Roman" w:hAnsi="Times New Roman" w:cs="Times New Roman"/>
      </w:rPr>
    </w:lvl>
    <w:lvl w:ilvl="6" w:tplc="041B000F">
      <w:start w:val="1"/>
      <w:numFmt w:val="decimal"/>
      <w:lvlText w:val="%7."/>
      <w:lvlJc w:val="left"/>
      <w:pPr>
        <w:ind w:left="5040" w:hanging="360"/>
      </w:pPr>
      <w:rPr>
        <w:rFonts w:ascii="Times New Roman" w:hAnsi="Times New Roman" w:cs="Times New Roman"/>
      </w:rPr>
    </w:lvl>
    <w:lvl w:ilvl="7" w:tplc="041B0019">
      <w:start w:val="1"/>
      <w:numFmt w:val="lowerLetter"/>
      <w:lvlText w:val="%8."/>
      <w:lvlJc w:val="left"/>
      <w:pPr>
        <w:ind w:left="5760" w:hanging="360"/>
      </w:pPr>
      <w:rPr>
        <w:rFonts w:ascii="Times New Roman" w:hAnsi="Times New Roman" w:cs="Times New Roman"/>
      </w:rPr>
    </w:lvl>
    <w:lvl w:ilvl="8" w:tplc="041B001B">
      <w:start w:val="1"/>
      <w:numFmt w:val="lowerRoman"/>
      <w:lvlText w:val="%9."/>
      <w:lvlJc w:val="right"/>
      <w:pPr>
        <w:ind w:left="6480" w:hanging="180"/>
      </w:pPr>
      <w:rPr>
        <w:rFonts w:ascii="Times New Roman" w:hAnsi="Times New Roman" w:cs="Times New Roman"/>
      </w:rPr>
    </w:lvl>
  </w:abstractNum>
  <w:abstractNum w:abstractNumId="4">
    <w:nsid w:val="6240715F"/>
    <w:multiLevelType w:val="hybridMultilevel"/>
    <w:tmpl w:val="2E46A45C"/>
    <w:lvl w:ilvl="0" w:tplc="041B000F">
      <w:start w:val="1"/>
      <w:numFmt w:val="decimal"/>
      <w:lvlText w:val="%1."/>
      <w:lvlJc w:val="left"/>
      <w:pPr>
        <w:ind w:left="720" w:hanging="360"/>
      </w:pPr>
      <w:rPr>
        <w:rFonts w:ascii="Times New Roman" w:hAnsi="Times New Roman" w:cs="Times New Roman"/>
      </w:rPr>
    </w:lvl>
    <w:lvl w:ilvl="1" w:tplc="041B0019">
      <w:start w:val="1"/>
      <w:numFmt w:val="lowerLetter"/>
      <w:lvlText w:val="%2."/>
      <w:lvlJc w:val="left"/>
      <w:pPr>
        <w:ind w:left="1440" w:hanging="360"/>
      </w:pPr>
      <w:rPr>
        <w:rFonts w:ascii="Times New Roman" w:hAnsi="Times New Roman" w:cs="Times New Roman"/>
      </w:rPr>
    </w:lvl>
    <w:lvl w:ilvl="2" w:tplc="041B001B">
      <w:start w:val="1"/>
      <w:numFmt w:val="lowerRoman"/>
      <w:lvlText w:val="%3."/>
      <w:lvlJc w:val="right"/>
      <w:pPr>
        <w:ind w:left="2160" w:hanging="180"/>
      </w:pPr>
      <w:rPr>
        <w:rFonts w:ascii="Times New Roman" w:hAnsi="Times New Roman" w:cs="Times New Roman"/>
      </w:rPr>
    </w:lvl>
    <w:lvl w:ilvl="3" w:tplc="041B000F">
      <w:start w:val="1"/>
      <w:numFmt w:val="decimal"/>
      <w:lvlText w:val="%4."/>
      <w:lvlJc w:val="left"/>
      <w:pPr>
        <w:ind w:left="2880" w:hanging="360"/>
      </w:pPr>
      <w:rPr>
        <w:rFonts w:ascii="Times New Roman" w:hAnsi="Times New Roman" w:cs="Times New Roman"/>
      </w:rPr>
    </w:lvl>
    <w:lvl w:ilvl="4" w:tplc="041B0019">
      <w:start w:val="1"/>
      <w:numFmt w:val="lowerLetter"/>
      <w:lvlText w:val="%5."/>
      <w:lvlJc w:val="left"/>
      <w:pPr>
        <w:ind w:left="3600" w:hanging="360"/>
      </w:pPr>
      <w:rPr>
        <w:rFonts w:ascii="Times New Roman" w:hAnsi="Times New Roman" w:cs="Times New Roman"/>
      </w:rPr>
    </w:lvl>
    <w:lvl w:ilvl="5" w:tplc="041B001B">
      <w:start w:val="1"/>
      <w:numFmt w:val="lowerRoman"/>
      <w:lvlText w:val="%6."/>
      <w:lvlJc w:val="right"/>
      <w:pPr>
        <w:ind w:left="4320" w:hanging="180"/>
      </w:pPr>
      <w:rPr>
        <w:rFonts w:ascii="Times New Roman" w:hAnsi="Times New Roman" w:cs="Times New Roman"/>
      </w:rPr>
    </w:lvl>
    <w:lvl w:ilvl="6" w:tplc="041B000F">
      <w:start w:val="1"/>
      <w:numFmt w:val="decimal"/>
      <w:lvlText w:val="%7."/>
      <w:lvlJc w:val="left"/>
      <w:pPr>
        <w:ind w:left="5040" w:hanging="360"/>
      </w:pPr>
      <w:rPr>
        <w:rFonts w:ascii="Times New Roman" w:hAnsi="Times New Roman" w:cs="Times New Roman"/>
      </w:rPr>
    </w:lvl>
    <w:lvl w:ilvl="7" w:tplc="041B0019">
      <w:start w:val="1"/>
      <w:numFmt w:val="lowerLetter"/>
      <w:lvlText w:val="%8."/>
      <w:lvlJc w:val="left"/>
      <w:pPr>
        <w:ind w:left="5760" w:hanging="360"/>
      </w:pPr>
      <w:rPr>
        <w:rFonts w:ascii="Times New Roman" w:hAnsi="Times New Roman" w:cs="Times New Roman"/>
      </w:rPr>
    </w:lvl>
    <w:lvl w:ilvl="8" w:tplc="041B001B">
      <w:start w:val="1"/>
      <w:numFmt w:val="lowerRoman"/>
      <w:lvlText w:val="%9."/>
      <w:lvlJc w:val="right"/>
      <w:pPr>
        <w:ind w:left="6480" w:hanging="180"/>
      </w:pPr>
      <w:rPr>
        <w:rFonts w:ascii="Times New Roman" w:hAnsi="Times New Roman" w:cs="Times New Roman"/>
      </w:r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proofState w:spelling="clean" w:grammar="clean"/>
  <w:doNotTrackMoves/>
  <w:defaultTabStop w:val="708"/>
  <w:hyphenationZone w:val="425"/>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86A14"/>
    <w:rsid w:val="00293F3D"/>
    <w:rsid w:val="00474CA9"/>
    <w:rsid w:val="00886A14"/>
  </w:rsids>
  <m:mathPr>
    <m:mathFont m:val="Cambria Math"/>
    <m:brkBin m:val="before"/>
    <m:brkBinSub m:val="--"/>
    <m:smallFrac m:val="off"/>
    <m:dispDef/>
    <m:lMargin m:val="0"/>
    <m:rMargin m:val="0"/>
    <m:defJc m:val="centerGroup"/>
    <m:wrapIndent m:val="1440"/>
    <m:intLim m:val="subSup"/>
    <m:naryLim m:val="undOvr"/>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3"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74CA9"/>
    <w:pPr>
      <w:spacing w:after="200" w:line="276" w:lineRule="auto"/>
    </w:pPr>
    <w:rPr>
      <w:rFonts w:cs="Calibri"/>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99"/>
    <w:qFormat/>
    <w:rsid w:val="00474CA9"/>
    <w:pPr>
      <w:spacing w:after="0" w:line="240" w:lineRule="auto"/>
      <w:ind w:left="720"/>
    </w:pPr>
    <w:rPr>
      <w:lang w:eastAsia="sk-SK"/>
    </w:rPr>
  </w:style>
  <w:style w:type="paragraph" w:styleId="Zkladntext">
    <w:name w:val="Body Text"/>
    <w:basedOn w:val="Normlny"/>
    <w:link w:val="ZkladntextChar"/>
    <w:uiPriority w:val="99"/>
    <w:rsid w:val="00474CA9"/>
    <w:pPr>
      <w:autoSpaceDE w:val="0"/>
      <w:autoSpaceDN w:val="0"/>
      <w:adjustRightInd w:val="0"/>
      <w:spacing w:after="0" w:line="240" w:lineRule="auto"/>
      <w:jc w:val="both"/>
    </w:pPr>
    <w:rPr>
      <w:color w:val="0000FF"/>
    </w:rPr>
  </w:style>
  <w:style w:type="character" w:customStyle="1" w:styleId="ZkladntextChar">
    <w:name w:val="Základný text Char"/>
    <w:basedOn w:val="Predvolenpsmoodseku"/>
    <w:link w:val="Zkladntext"/>
    <w:uiPriority w:val="99"/>
    <w:rsid w:val="00474CA9"/>
    <w:rPr>
      <w:rFonts w:ascii="Calibri" w:hAnsi="Calibri" w:cs="Calibri"/>
      <w:lang w:eastAsia="en-US"/>
    </w:rPr>
  </w:style>
  <w:style w:type="paragraph" w:styleId="Zkladntext2">
    <w:name w:val="Body Text 2"/>
    <w:basedOn w:val="Normlny"/>
    <w:link w:val="Zkladntext2Char"/>
    <w:uiPriority w:val="99"/>
    <w:rsid w:val="00474CA9"/>
    <w:pPr>
      <w:spacing w:after="0" w:line="240" w:lineRule="auto"/>
    </w:pPr>
    <w:rPr>
      <w:rFonts w:ascii="Arial" w:hAnsi="Arial" w:cs="Arial"/>
      <w:color w:val="0000FF"/>
      <w:sz w:val="20"/>
      <w:szCs w:val="20"/>
    </w:rPr>
  </w:style>
  <w:style w:type="character" w:customStyle="1" w:styleId="Zkladntext2Char">
    <w:name w:val="Základný text 2 Char"/>
    <w:basedOn w:val="Predvolenpsmoodseku"/>
    <w:link w:val="Zkladntext2"/>
    <w:uiPriority w:val="99"/>
    <w:rsid w:val="00474CA9"/>
    <w:rPr>
      <w:rFonts w:ascii="Calibri" w:hAnsi="Calibri" w:cs="Calibri"/>
      <w:lang w:eastAsia="en-US"/>
    </w:rPr>
  </w:style>
  <w:style w:type="paragraph" w:styleId="Zkladntext3">
    <w:name w:val="Body Text 3"/>
    <w:basedOn w:val="Normlny"/>
    <w:link w:val="Zkladntext3Char"/>
    <w:uiPriority w:val="99"/>
    <w:rsid w:val="00474CA9"/>
    <w:pPr>
      <w:spacing w:after="0" w:line="240" w:lineRule="auto"/>
    </w:pPr>
    <w:rPr>
      <w:rFonts w:ascii="Arial" w:hAnsi="Arial" w:cs="Arial"/>
      <w:b/>
      <w:bCs/>
      <w:color w:val="FF0000"/>
      <w:sz w:val="20"/>
      <w:szCs w:val="20"/>
      <w:lang w:val="en-US"/>
    </w:rPr>
  </w:style>
  <w:style w:type="character" w:customStyle="1" w:styleId="Zkladntext3Char">
    <w:name w:val="Základný text 3 Char"/>
    <w:basedOn w:val="Predvolenpsmoodseku"/>
    <w:link w:val="Zkladntext3"/>
    <w:uiPriority w:val="99"/>
    <w:rsid w:val="00474CA9"/>
    <w:rPr>
      <w:rFonts w:ascii="Calibri" w:hAnsi="Calibri" w:cs="Calibri"/>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2424</Words>
  <Characters>13817</Characters>
  <Application>Microsoft Office Word</Application>
  <DocSecurity>0</DocSecurity>
  <Lines>115</Lines>
  <Paragraphs>32</Paragraphs>
  <ScaleCrop>false</ScaleCrop>
  <Company>Hewlett-Packard Company</Company>
  <LinksUpToDate>false</LinksUpToDate>
  <CharactersWithSpaces>16209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lehotska</dc:creator>
  <cp:lastModifiedBy>lehotska</cp:lastModifiedBy>
  <cp:revision>2</cp:revision>
  <dcterms:created xsi:type="dcterms:W3CDTF">2013-06-28T09:05:00Z</dcterms:created>
  <dcterms:modified xsi:type="dcterms:W3CDTF">2013-06-28T09:05:00Z</dcterms:modified>
</cp:coreProperties>
</file>