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22E" w:rsidRPr="001D42DC" w:rsidRDefault="00B2122E" w:rsidP="00B2122E">
      <w:pPr>
        <w:pBdr>
          <w:top w:val="single" w:sz="4" w:space="1" w:color="auto"/>
          <w:left w:val="single" w:sz="4" w:space="4" w:color="auto"/>
          <w:bottom w:val="single" w:sz="4" w:space="1" w:color="auto"/>
          <w:right w:val="single" w:sz="4" w:space="4" w:color="auto"/>
        </w:pBdr>
        <w:jc w:val="center"/>
        <w:rPr>
          <w:b/>
          <w:lang w:val="sk-SK"/>
        </w:rPr>
      </w:pPr>
      <w:r w:rsidRPr="001D42DC">
        <w:rPr>
          <w:b/>
          <w:lang w:val="sk-SK"/>
        </w:rPr>
        <w:t xml:space="preserve">Podnety k zmene a doplneniu právnej úpravy poistnej zmluvy </w:t>
      </w:r>
    </w:p>
    <w:p w:rsidR="00B2122E" w:rsidRPr="001D42DC" w:rsidRDefault="00B2122E" w:rsidP="00B2122E">
      <w:pPr>
        <w:pBdr>
          <w:top w:val="single" w:sz="4" w:space="1" w:color="auto"/>
          <w:left w:val="single" w:sz="4" w:space="4" w:color="auto"/>
          <w:bottom w:val="single" w:sz="4" w:space="1" w:color="auto"/>
          <w:right w:val="single" w:sz="4" w:space="4" w:color="auto"/>
        </w:pBdr>
        <w:jc w:val="center"/>
        <w:rPr>
          <w:b/>
          <w:lang w:val="sk-SK"/>
        </w:rPr>
      </w:pPr>
      <w:r w:rsidRPr="001D42DC">
        <w:rPr>
          <w:b/>
          <w:lang w:val="sk-SK"/>
        </w:rPr>
        <w:t>v Občianskom zákonníku</w:t>
      </w:r>
    </w:p>
    <w:p w:rsidR="00B2122E" w:rsidRPr="001D42DC" w:rsidRDefault="00B2122E" w:rsidP="00B2122E">
      <w:pPr>
        <w:jc w:val="both"/>
        <w:rPr>
          <w:b/>
          <w:u w:val="single"/>
          <w:lang w:val="sk-SK"/>
        </w:rPr>
      </w:pPr>
    </w:p>
    <w:p w:rsidR="00B2122E" w:rsidRPr="001D42DC" w:rsidRDefault="00B2122E" w:rsidP="00B2122E">
      <w:pPr>
        <w:jc w:val="both"/>
        <w:rPr>
          <w:b/>
          <w:u w:val="single"/>
          <w:lang w:val="sk-SK"/>
        </w:rPr>
      </w:pPr>
    </w:p>
    <w:p w:rsidR="00AA32AF" w:rsidRDefault="00EB1643" w:rsidP="007B0787">
      <w:pPr>
        <w:autoSpaceDE w:val="0"/>
        <w:autoSpaceDN w:val="0"/>
        <w:adjustRightInd w:val="0"/>
        <w:jc w:val="both"/>
        <w:rPr>
          <w:b/>
          <w:lang w:val="sk-SK"/>
        </w:rPr>
      </w:pPr>
      <w:r>
        <w:rPr>
          <w:b/>
          <w:lang w:val="sk-SK"/>
        </w:rPr>
        <w:t xml:space="preserve">1. </w:t>
      </w:r>
      <w:r w:rsidR="00AA32AF">
        <w:rPr>
          <w:b/>
          <w:lang w:val="sk-SK"/>
        </w:rPr>
        <w:t>Inštitút prerušenia poistenia</w:t>
      </w:r>
    </w:p>
    <w:p w:rsidR="00B2122E" w:rsidRPr="001D42DC" w:rsidRDefault="00B2122E" w:rsidP="007B0787">
      <w:pPr>
        <w:autoSpaceDE w:val="0"/>
        <w:autoSpaceDN w:val="0"/>
        <w:adjustRightInd w:val="0"/>
        <w:jc w:val="both"/>
        <w:rPr>
          <w:rFonts w:eastAsiaTheme="minorHAnsi"/>
          <w:b/>
          <w:bCs/>
          <w:lang w:val="sk-SK"/>
        </w:rPr>
      </w:pPr>
      <w:r w:rsidRPr="001D42DC">
        <w:rPr>
          <w:b/>
          <w:lang w:val="sk-SK"/>
        </w:rPr>
        <w:t xml:space="preserve">Návrh na zavedenie inštitútu prerušenia poistenia (tak ako je napr. definovaný v § 18 českého zákona č. 37/2004 Sb. </w:t>
      </w:r>
      <w:r w:rsidRPr="001D42DC">
        <w:rPr>
          <w:rFonts w:eastAsiaTheme="minorHAnsi"/>
          <w:b/>
          <w:bCs/>
          <w:lang w:val="sk-SK"/>
        </w:rPr>
        <w:t xml:space="preserve">o pojistné smlouvě a o změně souvisejících zákonů (zákon o pojistné smlouvě) </w:t>
      </w:r>
    </w:p>
    <w:p w:rsidR="00B2122E" w:rsidRPr="001D42DC" w:rsidRDefault="00B2122E" w:rsidP="00B2122E">
      <w:pPr>
        <w:autoSpaceDE w:val="0"/>
        <w:autoSpaceDN w:val="0"/>
        <w:adjustRightInd w:val="0"/>
        <w:jc w:val="both"/>
        <w:rPr>
          <w:rFonts w:eastAsiaTheme="minorHAnsi"/>
          <w:b/>
          <w:bCs/>
          <w:lang w:val="sk-SK"/>
        </w:rPr>
      </w:pPr>
    </w:p>
    <w:p w:rsidR="00B2122E" w:rsidRPr="001D42DC" w:rsidRDefault="00B2122E" w:rsidP="00B2122E">
      <w:pPr>
        <w:autoSpaceDE w:val="0"/>
        <w:autoSpaceDN w:val="0"/>
        <w:adjustRightInd w:val="0"/>
        <w:jc w:val="both"/>
        <w:rPr>
          <w:rFonts w:eastAsiaTheme="minorHAnsi"/>
          <w:b/>
          <w:bCs/>
          <w:lang w:val="sk-SK"/>
        </w:rPr>
      </w:pPr>
      <w:r w:rsidRPr="001D42DC">
        <w:rPr>
          <w:rFonts w:eastAsiaTheme="minorHAnsi"/>
          <w:b/>
          <w:bCs/>
          <w:lang w:val="sk-SK"/>
        </w:rPr>
        <w:t>§ 18</w:t>
      </w:r>
    </w:p>
    <w:p w:rsidR="00B2122E" w:rsidRPr="001D42DC" w:rsidRDefault="00B2122E" w:rsidP="00B2122E">
      <w:pPr>
        <w:autoSpaceDE w:val="0"/>
        <w:autoSpaceDN w:val="0"/>
        <w:adjustRightInd w:val="0"/>
        <w:jc w:val="both"/>
        <w:rPr>
          <w:rFonts w:eastAsiaTheme="minorHAnsi"/>
          <w:lang w:val="sk-SK"/>
        </w:rPr>
      </w:pPr>
      <w:r w:rsidRPr="001D42DC">
        <w:rPr>
          <w:rFonts w:eastAsiaTheme="minorHAnsi"/>
          <w:lang w:val="sk-SK"/>
        </w:rPr>
        <w:t>(1) Soukromé pojištění může být během pojistné doby přerušeno. Za dobu přerušení soukromého pojištění netrvá povinnost platit pojistné a není dáno právo na plnění z událostí, které nastaly v době přerušení soukromého pojištění a které by byly jinak pojistnými událostmi.</w:t>
      </w:r>
    </w:p>
    <w:p w:rsidR="00B2122E" w:rsidRPr="001D42DC" w:rsidRDefault="00B2122E" w:rsidP="00B2122E">
      <w:pPr>
        <w:autoSpaceDE w:val="0"/>
        <w:autoSpaceDN w:val="0"/>
        <w:adjustRightInd w:val="0"/>
        <w:jc w:val="both"/>
        <w:rPr>
          <w:rFonts w:eastAsiaTheme="minorHAnsi"/>
          <w:lang w:val="sk-SK"/>
        </w:rPr>
      </w:pPr>
      <w:r w:rsidRPr="001D42DC">
        <w:rPr>
          <w:rFonts w:eastAsiaTheme="minorHAnsi"/>
          <w:lang w:val="sk-SK"/>
        </w:rPr>
        <w:t>(2) Soukromé pojištění se přerušuje, nebylo-li pojistné zaplaceno do 2 měsíců ode dne jeho splatnosti,</w:t>
      </w:r>
    </w:p>
    <w:p w:rsidR="00B2122E" w:rsidRPr="001D42DC" w:rsidRDefault="00B2122E" w:rsidP="00B2122E">
      <w:pPr>
        <w:autoSpaceDE w:val="0"/>
        <w:autoSpaceDN w:val="0"/>
        <w:adjustRightInd w:val="0"/>
        <w:jc w:val="both"/>
        <w:rPr>
          <w:rFonts w:eastAsiaTheme="minorHAnsi"/>
          <w:lang w:val="sk-SK"/>
        </w:rPr>
      </w:pPr>
      <w:r w:rsidRPr="001D42DC">
        <w:rPr>
          <w:rFonts w:eastAsiaTheme="minorHAnsi"/>
          <w:lang w:val="sk-SK"/>
        </w:rPr>
        <w:t>pokud nebylo v pojistné smlouvě dohodnuto jinak.</w:t>
      </w:r>
    </w:p>
    <w:p w:rsidR="00B2122E" w:rsidRPr="001D42DC" w:rsidRDefault="00B2122E" w:rsidP="00B2122E">
      <w:pPr>
        <w:autoSpaceDE w:val="0"/>
        <w:autoSpaceDN w:val="0"/>
        <w:adjustRightInd w:val="0"/>
        <w:jc w:val="both"/>
        <w:rPr>
          <w:rFonts w:eastAsiaTheme="minorHAnsi"/>
          <w:lang w:val="sk-SK"/>
        </w:rPr>
      </w:pPr>
      <w:r w:rsidRPr="001D42DC">
        <w:rPr>
          <w:rFonts w:eastAsiaTheme="minorHAnsi"/>
          <w:lang w:val="sk-SK"/>
        </w:rPr>
        <w:t>(3) V pojistné smlouvě lze dohodnout podmínky, za kterých může být soukromé pojištění přerušeno. (4) Doba přerušení soukromého pojištění se započítává do pojistné doby.</w:t>
      </w:r>
    </w:p>
    <w:p w:rsidR="00B2122E" w:rsidRPr="001D42DC" w:rsidRDefault="00B2122E" w:rsidP="00B2122E">
      <w:pPr>
        <w:autoSpaceDE w:val="0"/>
        <w:autoSpaceDN w:val="0"/>
        <w:adjustRightInd w:val="0"/>
        <w:jc w:val="both"/>
        <w:rPr>
          <w:rFonts w:eastAsiaTheme="minorHAnsi"/>
          <w:lang w:val="sk-SK"/>
        </w:rPr>
      </w:pPr>
      <w:r w:rsidRPr="001D42DC">
        <w:rPr>
          <w:rFonts w:eastAsiaTheme="minorHAnsi"/>
          <w:lang w:val="sk-SK"/>
        </w:rPr>
        <w:t>(5) Přerušit nelze povinné pojištění, pokud existují zákonem stanovené důvody jeho trvání, a životní pojištění, pokud nebylo v pojistné smlouvě dohodnuto jinak.</w:t>
      </w:r>
    </w:p>
    <w:p w:rsidR="00B2122E" w:rsidRPr="001D42DC" w:rsidRDefault="00B2122E" w:rsidP="005D4871">
      <w:pPr>
        <w:jc w:val="both"/>
        <w:rPr>
          <w:b/>
          <w:lang w:val="sk-SK"/>
        </w:rPr>
      </w:pPr>
    </w:p>
    <w:p w:rsidR="00AA32AF" w:rsidRDefault="00EB1643" w:rsidP="005D4871">
      <w:pPr>
        <w:autoSpaceDE w:val="0"/>
        <w:autoSpaceDN w:val="0"/>
        <w:adjustRightInd w:val="0"/>
        <w:jc w:val="both"/>
        <w:rPr>
          <w:b/>
          <w:lang w:val="sk-SK"/>
        </w:rPr>
      </w:pPr>
      <w:r>
        <w:rPr>
          <w:b/>
          <w:lang w:val="sk-SK"/>
        </w:rPr>
        <w:t xml:space="preserve">2. </w:t>
      </w:r>
      <w:r w:rsidR="00AA32AF">
        <w:rPr>
          <w:b/>
          <w:lang w:val="sk-SK"/>
        </w:rPr>
        <w:t xml:space="preserve">Skupinové poistenie </w:t>
      </w:r>
    </w:p>
    <w:p w:rsidR="005D4871" w:rsidRPr="001D42DC" w:rsidRDefault="00AA32AF" w:rsidP="005D4871">
      <w:pPr>
        <w:autoSpaceDE w:val="0"/>
        <w:autoSpaceDN w:val="0"/>
        <w:adjustRightInd w:val="0"/>
        <w:jc w:val="both"/>
        <w:rPr>
          <w:rFonts w:eastAsiaTheme="minorHAnsi"/>
          <w:b/>
          <w:bCs/>
          <w:lang w:val="sk-SK"/>
        </w:rPr>
      </w:pPr>
      <w:r>
        <w:rPr>
          <w:b/>
          <w:lang w:val="sk-SK"/>
        </w:rPr>
        <w:t>V</w:t>
      </w:r>
      <w:r w:rsidR="00B2122E" w:rsidRPr="001D42DC">
        <w:rPr>
          <w:b/>
          <w:lang w:val="sk-SK"/>
        </w:rPr>
        <w:t>zhľadom na prax uzatvárania poistných zmlúv, v prospech tretích osôb vymedzených v poistných zmlúv (napr. poistník</w:t>
      </w:r>
      <w:r w:rsidR="007B0787">
        <w:rPr>
          <w:b/>
          <w:lang w:val="sk-SK"/>
        </w:rPr>
        <w:t>o</w:t>
      </w:r>
      <w:r w:rsidR="00B2122E" w:rsidRPr="001D42DC">
        <w:rPr>
          <w:b/>
          <w:lang w:val="sk-SK"/>
        </w:rPr>
        <w:t>m je leasingová spoločnosť, banka, prípadne zamestnávateľ a poistenými sú skupiny osôb, napr. klienti banky, leas</w:t>
      </w:r>
      <w:r w:rsidR="007B0787">
        <w:rPr>
          <w:b/>
          <w:lang w:val="sk-SK"/>
        </w:rPr>
        <w:t>i</w:t>
      </w:r>
      <w:r w:rsidR="00B2122E" w:rsidRPr="001D42DC">
        <w:rPr>
          <w:b/>
          <w:lang w:val="sk-SK"/>
        </w:rPr>
        <w:t>ngoví nájomcovia, zamestnanci spoločnosti) považuje</w:t>
      </w:r>
      <w:r w:rsidR="00534468">
        <w:rPr>
          <w:b/>
          <w:lang w:val="sk-SK"/>
        </w:rPr>
        <w:t>m</w:t>
      </w:r>
      <w:r w:rsidR="00B2122E" w:rsidRPr="001D42DC">
        <w:rPr>
          <w:b/>
          <w:lang w:val="sk-SK"/>
        </w:rPr>
        <w:t xml:space="preserve">e za potrebné a nutné upraviť skupinové poistné zmluvy tak, ako je </w:t>
      </w:r>
      <w:r w:rsidR="00805CF0">
        <w:rPr>
          <w:b/>
          <w:lang w:val="sk-SK"/>
        </w:rPr>
        <w:t xml:space="preserve">to napr. </w:t>
      </w:r>
      <w:r w:rsidR="00B2122E" w:rsidRPr="001D42DC">
        <w:rPr>
          <w:b/>
          <w:lang w:val="sk-SK"/>
        </w:rPr>
        <w:t>obsiahnuté aj v českom zákone o </w:t>
      </w:r>
      <w:r w:rsidR="005D4871" w:rsidRPr="001D42DC">
        <w:rPr>
          <w:rFonts w:eastAsiaTheme="minorHAnsi"/>
          <w:b/>
          <w:bCs/>
          <w:lang w:val="sk-SK"/>
        </w:rPr>
        <w:t>pojistné smlouvě).</w:t>
      </w:r>
    </w:p>
    <w:p w:rsidR="005D4871" w:rsidRPr="001D42DC" w:rsidRDefault="005D4871" w:rsidP="005D4871">
      <w:pPr>
        <w:autoSpaceDE w:val="0"/>
        <w:autoSpaceDN w:val="0"/>
        <w:adjustRightInd w:val="0"/>
        <w:jc w:val="both"/>
        <w:rPr>
          <w:rFonts w:eastAsiaTheme="minorHAnsi"/>
          <w:b/>
          <w:bCs/>
          <w:lang w:val="sk-SK"/>
        </w:rPr>
      </w:pPr>
      <w:r w:rsidRPr="001D42DC">
        <w:rPr>
          <w:rFonts w:eastAsiaTheme="minorHAnsi"/>
          <w:b/>
          <w:bCs/>
          <w:lang w:val="sk-SK"/>
        </w:rPr>
        <w:t xml:space="preserve"> </w:t>
      </w:r>
    </w:p>
    <w:p w:rsidR="005D4871" w:rsidRPr="001D42DC" w:rsidRDefault="00B2122E" w:rsidP="005D4871">
      <w:pPr>
        <w:autoSpaceDE w:val="0"/>
        <w:autoSpaceDN w:val="0"/>
        <w:adjustRightInd w:val="0"/>
        <w:jc w:val="both"/>
        <w:rPr>
          <w:rFonts w:eastAsiaTheme="minorHAnsi"/>
          <w:lang w:val="sk-SK"/>
        </w:rPr>
      </w:pPr>
      <w:r w:rsidRPr="001D42DC">
        <w:rPr>
          <w:rFonts w:eastAsiaTheme="minorHAnsi"/>
          <w:lang w:val="sk-SK"/>
        </w:rPr>
        <w:t>Viď definícia skupinového poistenia v § 3 zákona o</w:t>
      </w:r>
      <w:r w:rsidR="005D4871" w:rsidRPr="001D42DC">
        <w:rPr>
          <w:rFonts w:eastAsiaTheme="minorHAnsi"/>
          <w:lang w:val="sk-SK"/>
        </w:rPr>
        <w:t xml:space="preserve"> pojistné smlouvě (skupinovým </w:t>
      </w:r>
      <w:r w:rsidRPr="001D42DC">
        <w:rPr>
          <w:rFonts w:eastAsiaTheme="minorHAnsi"/>
          <w:lang w:val="sk-SK"/>
        </w:rPr>
        <w:t>soukromé pojištění, které se vztahuje na skupinu pojištěných blíže</w:t>
      </w:r>
      <w:r w:rsidR="005D4871" w:rsidRPr="001D42DC">
        <w:rPr>
          <w:rFonts w:eastAsiaTheme="minorHAnsi"/>
          <w:lang w:val="sk-SK"/>
        </w:rPr>
        <w:t xml:space="preserve"> </w:t>
      </w:r>
      <w:r w:rsidRPr="001D42DC">
        <w:rPr>
          <w:rFonts w:eastAsiaTheme="minorHAnsi"/>
          <w:lang w:val="sk-SK"/>
        </w:rPr>
        <w:t>vymezených v pojistné smlouvě, jejichž totožnost v době uzavření této smlouvy není obvykle známa</w:t>
      </w:r>
      <w:r w:rsidR="005D4871" w:rsidRPr="001D42DC">
        <w:rPr>
          <w:rFonts w:eastAsiaTheme="minorHAnsi"/>
          <w:lang w:val="sk-SK"/>
        </w:rPr>
        <w:t>.</w:t>
      </w:r>
    </w:p>
    <w:p w:rsidR="00CD66E0" w:rsidRDefault="00CD66E0" w:rsidP="005D4871">
      <w:pPr>
        <w:autoSpaceDE w:val="0"/>
        <w:autoSpaceDN w:val="0"/>
        <w:adjustRightInd w:val="0"/>
        <w:rPr>
          <w:rFonts w:eastAsiaTheme="minorHAnsi"/>
          <w:lang w:val="sk-SK"/>
        </w:rPr>
      </w:pPr>
    </w:p>
    <w:p w:rsidR="001D42DC" w:rsidRPr="001D42DC" w:rsidRDefault="005D4871" w:rsidP="005D4871">
      <w:pPr>
        <w:autoSpaceDE w:val="0"/>
        <w:autoSpaceDN w:val="0"/>
        <w:adjustRightInd w:val="0"/>
        <w:rPr>
          <w:rFonts w:eastAsiaTheme="minorHAnsi"/>
          <w:lang w:val="sk-SK"/>
        </w:rPr>
      </w:pPr>
      <w:r w:rsidRPr="001D42DC">
        <w:rPr>
          <w:rFonts w:eastAsiaTheme="minorHAnsi"/>
          <w:lang w:val="sk-SK"/>
        </w:rPr>
        <w:t xml:space="preserve">Viď </w:t>
      </w:r>
      <w:r w:rsidR="00CD66E0">
        <w:rPr>
          <w:rFonts w:eastAsiaTheme="minorHAnsi"/>
          <w:lang w:val="sk-SK"/>
        </w:rPr>
        <w:t xml:space="preserve">úpravu </w:t>
      </w:r>
      <w:r w:rsidRPr="001D42DC">
        <w:rPr>
          <w:rFonts w:eastAsiaTheme="minorHAnsi"/>
          <w:lang w:val="sk-SK"/>
        </w:rPr>
        <w:t xml:space="preserve">§ 53 zákona o pojistné smlouvě </w:t>
      </w:r>
    </w:p>
    <w:p w:rsidR="005D4871" w:rsidRPr="00EB1643" w:rsidRDefault="005D4871" w:rsidP="005D4871">
      <w:pPr>
        <w:autoSpaceDE w:val="0"/>
        <w:autoSpaceDN w:val="0"/>
        <w:adjustRightInd w:val="0"/>
        <w:rPr>
          <w:rFonts w:eastAsiaTheme="minorHAnsi"/>
          <w:bCs/>
          <w:lang w:val="sk-SK"/>
        </w:rPr>
      </w:pPr>
      <w:r w:rsidRPr="00EB1643">
        <w:rPr>
          <w:rFonts w:eastAsiaTheme="minorHAnsi"/>
          <w:lang w:val="sk-SK"/>
        </w:rPr>
        <w:t xml:space="preserve">§ 53 </w:t>
      </w:r>
      <w:r w:rsidRPr="00EB1643">
        <w:rPr>
          <w:rFonts w:eastAsiaTheme="minorHAnsi"/>
          <w:bCs/>
          <w:lang w:val="sk-SK"/>
        </w:rPr>
        <w:t>Skupinové pojištění</w:t>
      </w:r>
    </w:p>
    <w:p w:rsidR="005D4871" w:rsidRPr="001D42DC" w:rsidRDefault="005D4871" w:rsidP="005D4871">
      <w:pPr>
        <w:autoSpaceDE w:val="0"/>
        <w:autoSpaceDN w:val="0"/>
        <w:adjustRightInd w:val="0"/>
        <w:rPr>
          <w:rFonts w:eastAsiaTheme="minorHAnsi"/>
          <w:lang w:val="sk-SK"/>
        </w:rPr>
      </w:pPr>
      <w:r w:rsidRPr="001D42DC">
        <w:rPr>
          <w:rFonts w:eastAsiaTheme="minorHAnsi"/>
          <w:lang w:val="sk-SK"/>
        </w:rPr>
        <w:t>(1) Pojistná smlouva o skupinovém pojištění nemusí obsahovat jména pojištěných, pokud jsou v době</w:t>
      </w:r>
    </w:p>
    <w:p w:rsidR="005D4871" w:rsidRPr="001D42DC" w:rsidRDefault="005D4871" w:rsidP="005D4871">
      <w:pPr>
        <w:autoSpaceDE w:val="0"/>
        <w:autoSpaceDN w:val="0"/>
        <w:adjustRightInd w:val="0"/>
        <w:rPr>
          <w:rFonts w:eastAsiaTheme="minorHAnsi"/>
          <w:lang w:val="sk-SK"/>
        </w:rPr>
      </w:pPr>
      <w:r w:rsidRPr="001D42DC">
        <w:rPr>
          <w:rFonts w:eastAsiaTheme="minorHAnsi"/>
          <w:lang w:val="sk-SK"/>
        </w:rPr>
        <w:t>pojistné události určeni jiným způsobem vylučujícím pochybnosti. Pro uzavření takové pojistné</w:t>
      </w:r>
    </w:p>
    <w:p w:rsidR="005D4871" w:rsidRPr="001D42DC" w:rsidRDefault="005D4871" w:rsidP="005D4871">
      <w:pPr>
        <w:autoSpaceDE w:val="0"/>
        <w:autoSpaceDN w:val="0"/>
        <w:adjustRightInd w:val="0"/>
        <w:rPr>
          <w:rFonts w:eastAsiaTheme="minorHAnsi"/>
          <w:lang w:val="sk-SK"/>
        </w:rPr>
      </w:pPr>
      <w:r w:rsidRPr="001D42DC">
        <w:rPr>
          <w:rFonts w:eastAsiaTheme="minorHAnsi"/>
          <w:lang w:val="sk-SK"/>
        </w:rPr>
        <w:t>smlouvy není třeba souhlasu pojištěných.</w:t>
      </w:r>
    </w:p>
    <w:p w:rsidR="00B2122E" w:rsidRPr="001D42DC" w:rsidRDefault="005D4871" w:rsidP="005D4871">
      <w:pPr>
        <w:autoSpaceDE w:val="0"/>
        <w:autoSpaceDN w:val="0"/>
        <w:adjustRightInd w:val="0"/>
        <w:jc w:val="both"/>
        <w:rPr>
          <w:rFonts w:eastAsiaTheme="minorHAnsi"/>
          <w:lang w:val="sk-SK"/>
        </w:rPr>
      </w:pPr>
      <w:r w:rsidRPr="001D42DC">
        <w:rPr>
          <w:rFonts w:eastAsiaTheme="minorHAnsi"/>
          <w:lang w:val="sk-SK"/>
        </w:rPr>
        <w:t>(2) V případě skupinového pojištění se nepoužije ustanovení § 52 odst. 2.</w:t>
      </w:r>
    </w:p>
    <w:p w:rsidR="001D42DC" w:rsidRDefault="001D42DC" w:rsidP="005D4871">
      <w:pPr>
        <w:autoSpaceDE w:val="0"/>
        <w:autoSpaceDN w:val="0"/>
        <w:adjustRightInd w:val="0"/>
        <w:jc w:val="both"/>
        <w:rPr>
          <w:rFonts w:eastAsiaTheme="minorHAnsi"/>
          <w:lang w:val="sk-SK"/>
        </w:rPr>
      </w:pPr>
    </w:p>
    <w:p w:rsidR="00CD66E0" w:rsidRPr="00EB1643" w:rsidRDefault="00EB1643" w:rsidP="005D4871">
      <w:pPr>
        <w:autoSpaceDE w:val="0"/>
        <w:autoSpaceDN w:val="0"/>
        <w:adjustRightInd w:val="0"/>
        <w:jc w:val="both"/>
        <w:rPr>
          <w:rFonts w:eastAsiaTheme="minorHAnsi"/>
          <w:b/>
          <w:lang w:val="sk-SK"/>
        </w:rPr>
      </w:pPr>
      <w:r>
        <w:rPr>
          <w:rFonts w:eastAsiaTheme="minorHAnsi"/>
          <w:b/>
          <w:lang w:val="sk-SK"/>
        </w:rPr>
        <w:t xml:space="preserve">3. </w:t>
      </w:r>
      <w:r w:rsidR="00CD66E0" w:rsidRPr="00EB1643">
        <w:rPr>
          <w:rFonts w:eastAsiaTheme="minorHAnsi"/>
          <w:b/>
          <w:lang w:val="sk-SK"/>
        </w:rPr>
        <w:t>Doplnenie a vymedzenie pojmov</w:t>
      </w:r>
    </w:p>
    <w:p w:rsidR="00CD66E0" w:rsidRPr="001D42DC" w:rsidRDefault="00CD66E0" w:rsidP="00CD66E0">
      <w:pPr>
        <w:autoSpaceDE w:val="0"/>
        <w:autoSpaceDN w:val="0"/>
        <w:adjustRightInd w:val="0"/>
        <w:jc w:val="both"/>
        <w:rPr>
          <w:lang w:val="sk-SK"/>
        </w:rPr>
      </w:pPr>
      <w:r>
        <w:rPr>
          <w:rFonts w:eastAsiaTheme="minorHAnsi"/>
          <w:lang w:val="sk-SK"/>
        </w:rPr>
        <w:t xml:space="preserve">Vzhľadom na skutočnosť, že definícia používaných pojmov absentuje v Občianskom zákonníku, pričom v praxi sú definície obsiahnuté spravidla v poistných podmienkach, považujeme za potrebné vzhľadom na požiadavku jednotnosti používaných pojmov </w:t>
      </w:r>
      <w:r w:rsidRPr="001D42DC">
        <w:rPr>
          <w:lang w:val="sk-SK"/>
        </w:rPr>
        <w:t xml:space="preserve">vymedziť niektoré </w:t>
      </w:r>
      <w:r w:rsidRPr="001D42DC">
        <w:rPr>
          <w:b/>
          <w:lang w:val="sk-SK"/>
        </w:rPr>
        <w:t>základné pojmy</w:t>
      </w:r>
      <w:r w:rsidR="00805CF0">
        <w:rPr>
          <w:b/>
          <w:lang w:val="sk-SK"/>
        </w:rPr>
        <w:t>, ktoré prax používa</w:t>
      </w:r>
      <w:r w:rsidRPr="001D42DC">
        <w:rPr>
          <w:lang w:val="sk-SK"/>
        </w:rPr>
        <w:t xml:space="preserve">, napríklad poistník, </w:t>
      </w:r>
      <w:r w:rsidR="00EE7891">
        <w:rPr>
          <w:lang w:val="sk-SK"/>
        </w:rPr>
        <w:t>v</w:t>
      </w:r>
      <w:r w:rsidRPr="001D42DC">
        <w:rPr>
          <w:lang w:val="sk-SK"/>
        </w:rPr>
        <w:t xml:space="preserve">ýluky z poistenia, </w:t>
      </w:r>
      <w:r w:rsidR="00EE7891">
        <w:rPr>
          <w:lang w:val="sk-SK"/>
        </w:rPr>
        <w:t xml:space="preserve">spoluúčasť, </w:t>
      </w:r>
      <w:r w:rsidR="0083235E">
        <w:rPr>
          <w:lang w:val="sk-SK"/>
        </w:rPr>
        <w:t xml:space="preserve">poistná suma/čiastka, </w:t>
      </w:r>
      <w:r w:rsidRPr="001D42DC">
        <w:rPr>
          <w:lang w:val="sk-SK"/>
        </w:rPr>
        <w:t>škodová udalosť,</w:t>
      </w:r>
      <w:r w:rsidR="00586286">
        <w:rPr>
          <w:lang w:val="sk-SK"/>
        </w:rPr>
        <w:t xml:space="preserve"> platnosť, účinnosť poistenia, </w:t>
      </w:r>
      <w:r w:rsidRPr="001D42DC">
        <w:rPr>
          <w:lang w:val="sk-SK"/>
        </w:rPr>
        <w:t>redukcia poistnej sumy</w:t>
      </w:r>
      <w:r w:rsidR="00EE7891">
        <w:rPr>
          <w:lang w:val="sk-SK"/>
        </w:rPr>
        <w:t xml:space="preserve">, </w:t>
      </w:r>
      <w:r w:rsidRPr="001D42DC">
        <w:rPr>
          <w:lang w:val="sk-SK"/>
        </w:rPr>
        <w:t>poistn</w:t>
      </w:r>
      <w:r w:rsidR="00EE7891">
        <w:rPr>
          <w:lang w:val="sk-SK"/>
        </w:rPr>
        <w:t>á</w:t>
      </w:r>
      <w:r w:rsidRPr="001D42DC">
        <w:rPr>
          <w:lang w:val="sk-SK"/>
        </w:rPr>
        <w:t xml:space="preserve"> dob</w:t>
      </w:r>
      <w:r w:rsidR="00EE7891">
        <w:rPr>
          <w:lang w:val="sk-SK"/>
        </w:rPr>
        <w:t xml:space="preserve">a, </w:t>
      </w:r>
      <w:r w:rsidRPr="001D42DC">
        <w:rPr>
          <w:lang w:val="sk-SK"/>
        </w:rPr>
        <w:t>odkupná hodnota</w:t>
      </w:r>
      <w:r w:rsidR="00EE7891">
        <w:rPr>
          <w:lang w:val="sk-SK"/>
        </w:rPr>
        <w:t>, bonus</w:t>
      </w:r>
      <w:r w:rsidR="00431AF8">
        <w:rPr>
          <w:lang w:val="sk-SK"/>
        </w:rPr>
        <w:t>, odbytné</w:t>
      </w:r>
      <w:r w:rsidRPr="001D42DC">
        <w:rPr>
          <w:lang w:val="sk-SK"/>
        </w:rPr>
        <w:t>.</w:t>
      </w:r>
    </w:p>
    <w:p w:rsidR="002A7B17" w:rsidRPr="002A7B17" w:rsidRDefault="00EB1643" w:rsidP="005D4871">
      <w:pPr>
        <w:autoSpaceDE w:val="0"/>
        <w:autoSpaceDN w:val="0"/>
        <w:adjustRightInd w:val="0"/>
        <w:jc w:val="both"/>
        <w:rPr>
          <w:rFonts w:eastAsiaTheme="minorHAnsi"/>
          <w:b/>
          <w:lang w:val="sk-SK"/>
        </w:rPr>
      </w:pPr>
      <w:r>
        <w:rPr>
          <w:rFonts w:eastAsiaTheme="minorHAnsi"/>
          <w:b/>
          <w:lang w:val="sk-SK"/>
        </w:rPr>
        <w:lastRenderedPageBreak/>
        <w:t xml:space="preserve">4. </w:t>
      </w:r>
      <w:r w:rsidR="002A7B17" w:rsidRPr="002A7B17">
        <w:rPr>
          <w:rFonts w:eastAsiaTheme="minorHAnsi"/>
          <w:b/>
          <w:lang w:val="sk-SK"/>
        </w:rPr>
        <w:t>Zmena poistnej zmluvy zaplatením poistného</w:t>
      </w:r>
    </w:p>
    <w:p w:rsidR="009D2907" w:rsidRDefault="009D2907" w:rsidP="005D4871">
      <w:pPr>
        <w:autoSpaceDE w:val="0"/>
        <w:autoSpaceDN w:val="0"/>
        <w:adjustRightInd w:val="0"/>
        <w:jc w:val="both"/>
        <w:rPr>
          <w:rFonts w:eastAsiaTheme="minorHAnsi"/>
          <w:lang w:val="sk-SK"/>
        </w:rPr>
      </w:pPr>
      <w:r>
        <w:rPr>
          <w:rFonts w:eastAsiaTheme="minorHAnsi"/>
          <w:lang w:val="sk-SK"/>
        </w:rPr>
        <w:t>V § 792 (2)</w:t>
      </w:r>
      <w:r w:rsidR="00FA0F13">
        <w:rPr>
          <w:rFonts w:eastAsiaTheme="minorHAnsi"/>
          <w:lang w:val="sk-SK"/>
        </w:rPr>
        <w:t xml:space="preserve"> Obč. zák.</w:t>
      </w:r>
      <w:r>
        <w:rPr>
          <w:rFonts w:eastAsiaTheme="minorHAnsi"/>
          <w:lang w:val="sk-SK"/>
        </w:rPr>
        <w:t xml:space="preserve"> je upravená možnosť prijať návrh poistiteľa tiež zaplatením poistného vo výške uvedenej v návrhu, ak sa tak stane v lehote podľa odseku 1; poistná zmluva je v takom prípade uzavretá, len čo bolo poistné zaplatené. </w:t>
      </w:r>
      <w:r w:rsidR="00A8017C">
        <w:rPr>
          <w:rFonts w:eastAsiaTheme="minorHAnsi"/>
          <w:lang w:val="sk-SK"/>
        </w:rPr>
        <w:t>Vzhľadom na požiadavky praxe navrhujeme u</w:t>
      </w:r>
      <w:r>
        <w:rPr>
          <w:rFonts w:eastAsiaTheme="minorHAnsi"/>
          <w:lang w:val="sk-SK"/>
        </w:rPr>
        <w:t>vedené ustanoveni</w:t>
      </w:r>
      <w:r w:rsidR="00A8017C">
        <w:rPr>
          <w:rFonts w:eastAsiaTheme="minorHAnsi"/>
          <w:lang w:val="sk-SK"/>
        </w:rPr>
        <w:t>e</w:t>
      </w:r>
      <w:r>
        <w:rPr>
          <w:rFonts w:eastAsiaTheme="minorHAnsi"/>
          <w:lang w:val="sk-SK"/>
        </w:rPr>
        <w:t xml:space="preserve"> rozšíriť nielen na </w:t>
      </w:r>
      <w:r w:rsidR="00A8017C">
        <w:rPr>
          <w:rFonts w:eastAsiaTheme="minorHAnsi"/>
          <w:lang w:val="sk-SK"/>
        </w:rPr>
        <w:t>uzavretie ale aj na zmenu poistenia</w:t>
      </w:r>
      <w:r w:rsidR="005B26D9">
        <w:rPr>
          <w:rFonts w:eastAsiaTheme="minorHAnsi"/>
          <w:lang w:val="sk-SK"/>
        </w:rPr>
        <w:t xml:space="preserve"> (napr. znením, že návrh poistiteľa na zmenu poistnej zmluvy možno prijať tiež zaplatením poistného vo výške uvedenej v návrhu na zmenu poistnej zmluvy, za podmienok a v lehote, ktoré určil poistiteľ v návrhu na zmenu poistnej zmluvy, a</w:t>
      </w:r>
      <w:r w:rsidR="00065639">
        <w:rPr>
          <w:rFonts w:eastAsiaTheme="minorHAnsi"/>
          <w:lang w:val="sk-SK"/>
        </w:rPr>
        <w:t> ak leh</w:t>
      </w:r>
      <w:r w:rsidR="005B26D9">
        <w:rPr>
          <w:rFonts w:eastAsiaTheme="minorHAnsi"/>
          <w:lang w:val="sk-SK"/>
        </w:rPr>
        <w:t>otu poistiteľ neurčil, tak do 1 mesiaca odo dňa keď poistník obdržal návrh na zmenu poistnej zmluvy; zmena poistnej zmluvy</w:t>
      </w:r>
      <w:r w:rsidR="002A7B17">
        <w:rPr>
          <w:rFonts w:eastAsiaTheme="minorHAnsi"/>
          <w:lang w:val="sk-SK"/>
        </w:rPr>
        <w:t xml:space="preserve"> nadobudne v</w:t>
      </w:r>
      <w:r w:rsidR="005B26D9">
        <w:rPr>
          <w:rFonts w:eastAsiaTheme="minorHAnsi"/>
          <w:lang w:val="sk-SK"/>
        </w:rPr>
        <w:t> takom prípade účinn</w:t>
      </w:r>
      <w:r w:rsidR="002A7B17">
        <w:rPr>
          <w:rFonts w:eastAsiaTheme="minorHAnsi"/>
          <w:lang w:val="sk-SK"/>
        </w:rPr>
        <w:t xml:space="preserve">osť len za predpokladu, že </w:t>
      </w:r>
      <w:r w:rsidR="005B26D9">
        <w:rPr>
          <w:rFonts w:eastAsiaTheme="minorHAnsi"/>
          <w:lang w:val="sk-SK"/>
        </w:rPr>
        <w:t xml:space="preserve">navrhované poistné </w:t>
      </w:r>
      <w:r w:rsidR="002A7B17">
        <w:rPr>
          <w:rFonts w:eastAsiaTheme="minorHAnsi"/>
          <w:lang w:val="sk-SK"/>
        </w:rPr>
        <w:t xml:space="preserve">bolo </w:t>
      </w:r>
      <w:r w:rsidR="005B26D9">
        <w:rPr>
          <w:rFonts w:eastAsiaTheme="minorHAnsi"/>
          <w:lang w:val="sk-SK"/>
        </w:rPr>
        <w:t xml:space="preserve">v uvedenej lehote zaplatené. </w:t>
      </w:r>
    </w:p>
    <w:p w:rsidR="002A7B17" w:rsidRDefault="002A7B17" w:rsidP="005D4871">
      <w:pPr>
        <w:autoSpaceDE w:val="0"/>
        <w:autoSpaceDN w:val="0"/>
        <w:adjustRightInd w:val="0"/>
        <w:jc w:val="both"/>
        <w:rPr>
          <w:rFonts w:eastAsiaTheme="minorHAnsi"/>
          <w:lang w:val="sk-SK"/>
        </w:rPr>
      </w:pPr>
    </w:p>
    <w:p w:rsidR="00EB1643" w:rsidRPr="00EB1643" w:rsidRDefault="00EE1996" w:rsidP="00A21483">
      <w:pPr>
        <w:autoSpaceDE w:val="0"/>
        <w:autoSpaceDN w:val="0"/>
        <w:adjustRightInd w:val="0"/>
        <w:jc w:val="both"/>
        <w:rPr>
          <w:b/>
          <w:lang w:val="sk-SK"/>
        </w:rPr>
      </w:pPr>
      <w:r>
        <w:rPr>
          <w:b/>
          <w:lang w:val="sk-SK"/>
        </w:rPr>
        <w:t>5</w:t>
      </w:r>
      <w:r w:rsidR="00EB1643" w:rsidRPr="00EB1643">
        <w:rPr>
          <w:b/>
          <w:lang w:val="sk-SK"/>
        </w:rPr>
        <w:t>. Presun právnej úpravy zákona o poisťovníctve do Občianskeho zákonníka</w:t>
      </w:r>
    </w:p>
    <w:p w:rsidR="00A21483" w:rsidRPr="00EB1643" w:rsidRDefault="00CC03A9" w:rsidP="00A21483">
      <w:pPr>
        <w:autoSpaceDE w:val="0"/>
        <w:autoSpaceDN w:val="0"/>
        <w:adjustRightInd w:val="0"/>
        <w:jc w:val="both"/>
        <w:rPr>
          <w:lang w:val="sk-SK"/>
        </w:rPr>
      </w:pPr>
      <w:r w:rsidRPr="00EB1643">
        <w:rPr>
          <w:lang w:val="sk-SK"/>
        </w:rPr>
        <w:t xml:space="preserve">Ust. § 37 ods. 3 zákona č. 8/2008 Z.z. o poisťovníctve, podľa ktorého musí byť poistník pred uzavretím poistnej zmluvy písomne oboznámený s dôležitými zmluvnými podmienkami uzatváranej poistnej zmluvy prostredníctvom ustanoveného vzoru formulára navrhujeme presunúť do Občianskeho zákonníka, keďže ide o predzmluvné povinnosti poistiteľa a právo poistníka byť informovaný </w:t>
      </w:r>
      <w:r w:rsidR="00A21483" w:rsidRPr="00EB1643">
        <w:rPr>
          <w:lang w:val="sk-SK"/>
        </w:rPr>
        <w:t>s dôležitými zmluvnými podmienkami uzatváranej poistnej zmluvy, ktoré majú predzmluvný charakter.</w:t>
      </w:r>
    </w:p>
    <w:p w:rsidR="00A21483" w:rsidRDefault="00A21483" w:rsidP="00A21483">
      <w:pPr>
        <w:autoSpaceDE w:val="0"/>
        <w:autoSpaceDN w:val="0"/>
        <w:adjustRightInd w:val="0"/>
        <w:jc w:val="both"/>
        <w:rPr>
          <w:b/>
          <w:lang w:val="sk-SK"/>
        </w:rPr>
      </w:pPr>
    </w:p>
    <w:p w:rsidR="00F169FF" w:rsidRDefault="00EE1996" w:rsidP="00A21483">
      <w:pPr>
        <w:autoSpaceDE w:val="0"/>
        <w:autoSpaceDN w:val="0"/>
        <w:adjustRightInd w:val="0"/>
        <w:jc w:val="both"/>
        <w:rPr>
          <w:b/>
          <w:lang w:val="sk-SK"/>
        </w:rPr>
      </w:pPr>
      <w:r>
        <w:rPr>
          <w:b/>
          <w:lang w:val="sk-SK"/>
        </w:rPr>
        <w:t xml:space="preserve">6. </w:t>
      </w:r>
      <w:r w:rsidR="00F169FF">
        <w:rPr>
          <w:b/>
          <w:lang w:val="sk-SK"/>
        </w:rPr>
        <w:t>Úprava § 816</w:t>
      </w:r>
    </w:p>
    <w:p w:rsidR="00C17C75" w:rsidRPr="00EE1996" w:rsidRDefault="00F169FF" w:rsidP="00A21483">
      <w:pPr>
        <w:autoSpaceDE w:val="0"/>
        <w:autoSpaceDN w:val="0"/>
        <w:adjustRightInd w:val="0"/>
        <w:jc w:val="both"/>
        <w:rPr>
          <w:lang w:val="sk-SK"/>
        </w:rPr>
      </w:pPr>
      <w:r w:rsidRPr="00EE1996">
        <w:rPr>
          <w:lang w:val="sk-SK"/>
        </w:rPr>
        <w:t>Spôsob výplaty plnenia z poistenia osôb vymedzený v § 816 Občianskeho zákonníka vyžaduje bližšiu úpravu, nakoľko</w:t>
      </w:r>
      <w:r w:rsidR="00C17C75" w:rsidRPr="00EE1996">
        <w:rPr>
          <w:lang w:val="sk-SK"/>
        </w:rPr>
        <w:t xml:space="preserve"> § 816 len uvádza, že poistený má právo, aby mu bola vyplatená dohodnutá suma, alebo aby mu bol platený dohodnutý dôchodok, alebo aby mu bolo poskytnuté plnenie vo výške určenej podľa poistných podmienok. </w:t>
      </w:r>
      <w:r w:rsidR="00BA135C" w:rsidRPr="00EE1996">
        <w:rPr>
          <w:lang w:val="sk-SK"/>
        </w:rPr>
        <w:t xml:space="preserve">Aplikačná prax však ukázala, že je potrebná bližšia úprava </w:t>
      </w:r>
      <w:r w:rsidR="00C17C75" w:rsidRPr="00EE1996">
        <w:rPr>
          <w:lang w:val="sk-SK"/>
        </w:rPr>
        <w:t>spôsobov výplaty plnenia.</w:t>
      </w:r>
    </w:p>
    <w:p w:rsidR="00C17C75" w:rsidRDefault="00C17C75" w:rsidP="00A21483">
      <w:pPr>
        <w:autoSpaceDE w:val="0"/>
        <w:autoSpaceDN w:val="0"/>
        <w:adjustRightInd w:val="0"/>
        <w:jc w:val="both"/>
        <w:rPr>
          <w:b/>
          <w:lang w:val="sk-SK"/>
        </w:rPr>
      </w:pPr>
    </w:p>
    <w:p w:rsidR="00BA135C" w:rsidRDefault="00EE1996" w:rsidP="00A21483">
      <w:pPr>
        <w:autoSpaceDE w:val="0"/>
        <w:autoSpaceDN w:val="0"/>
        <w:adjustRightInd w:val="0"/>
        <w:jc w:val="both"/>
        <w:rPr>
          <w:b/>
          <w:lang w:val="sk-SK"/>
        </w:rPr>
      </w:pPr>
      <w:r>
        <w:rPr>
          <w:b/>
          <w:lang w:val="sk-SK"/>
        </w:rPr>
        <w:t xml:space="preserve">7. </w:t>
      </w:r>
      <w:r w:rsidR="00BA135C">
        <w:rPr>
          <w:b/>
          <w:lang w:val="sk-SK"/>
        </w:rPr>
        <w:t>Úprava poistenia pre prípad dôchodku</w:t>
      </w:r>
    </w:p>
    <w:p w:rsidR="00C17C75" w:rsidRDefault="00C17C75" w:rsidP="00A21483">
      <w:pPr>
        <w:autoSpaceDE w:val="0"/>
        <w:autoSpaceDN w:val="0"/>
        <w:adjustRightInd w:val="0"/>
        <w:jc w:val="both"/>
        <w:rPr>
          <w:lang w:val="sk-SK"/>
        </w:rPr>
      </w:pPr>
      <w:r w:rsidRPr="00BA135C">
        <w:rPr>
          <w:lang w:val="sk-SK"/>
        </w:rPr>
        <w:t>To</w:t>
      </w:r>
      <w:r w:rsidR="00EE1996">
        <w:rPr>
          <w:lang w:val="sk-SK"/>
        </w:rPr>
        <w:t xml:space="preserve">to odvetvie </w:t>
      </w:r>
      <w:r w:rsidR="00BA135C">
        <w:rPr>
          <w:lang w:val="sk-SK"/>
        </w:rPr>
        <w:t xml:space="preserve">životného </w:t>
      </w:r>
      <w:r w:rsidR="00BA135C" w:rsidRPr="00BA135C">
        <w:rPr>
          <w:lang w:val="sk-SK"/>
        </w:rPr>
        <w:t xml:space="preserve">poistenia (poistenie pre prípad dôchodku) </w:t>
      </w:r>
      <w:r w:rsidRPr="00BA135C">
        <w:rPr>
          <w:lang w:val="sk-SK"/>
        </w:rPr>
        <w:t>nie je nikde bližšie upraven</w:t>
      </w:r>
      <w:r w:rsidR="004122E3">
        <w:rPr>
          <w:lang w:val="sk-SK"/>
        </w:rPr>
        <w:t>é</w:t>
      </w:r>
      <w:r w:rsidRPr="00BA135C">
        <w:rPr>
          <w:lang w:val="sk-SK"/>
        </w:rPr>
        <w:t xml:space="preserve"> a prax si bude žiadať detailnejšiu úpravu tohto druhu poistenia (napr. z pohľadu trvania poistenia, z pohľadu vymedzenia poistnej udalosti, </w:t>
      </w:r>
      <w:r w:rsidR="00BA135C">
        <w:rPr>
          <w:lang w:val="sk-SK"/>
        </w:rPr>
        <w:t xml:space="preserve">úpravy </w:t>
      </w:r>
      <w:r w:rsidRPr="00BA135C">
        <w:rPr>
          <w:lang w:val="sk-SK"/>
        </w:rPr>
        <w:t xml:space="preserve">fázy </w:t>
      </w:r>
      <w:r w:rsidR="00BA135C">
        <w:rPr>
          <w:lang w:val="sk-SK"/>
        </w:rPr>
        <w:t xml:space="preserve">poistenia počas ktorej sa </w:t>
      </w:r>
      <w:r w:rsidRPr="00BA135C">
        <w:rPr>
          <w:lang w:val="sk-SK"/>
        </w:rPr>
        <w:t>akumul</w:t>
      </w:r>
      <w:r w:rsidR="00BA135C">
        <w:rPr>
          <w:lang w:val="sk-SK"/>
        </w:rPr>
        <w:t xml:space="preserve">ujú </w:t>
      </w:r>
      <w:r w:rsidRPr="00BA135C">
        <w:rPr>
          <w:lang w:val="sk-SK"/>
        </w:rPr>
        <w:t>prostriedk</w:t>
      </w:r>
      <w:r w:rsidR="00BA135C">
        <w:rPr>
          <w:lang w:val="sk-SK"/>
        </w:rPr>
        <w:t>y</w:t>
      </w:r>
      <w:r w:rsidRPr="00BA135C">
        <w:rPr>
          <w:lang w:val="sk-SK"/>
        </w:rPr>
        <w:t xml:space="preserve">, ktoré budú predmetom výplaty dôchodku </w:t>
      </w:r>
      <w:r w:rsidR="009E09C8">
        <w:rPr>
          <w:lang w:val="sk-SK"/>
        </w:rPr>
        <w:t xml:space="preserve">a </w:t>
      </w:r>
      <w:r w:rsidRPr="00BA135C">
        <w:rPr>
          <w:lang w:val="sk-SK"/>
        </w:rPr>
        <w:t xml:space="preserve">okamihu, kedy začína výplata dôchodku, čo </w:t>
      </w:r>
      <w:r w:rsidR="009E09C8">
        <w:rPr>
          <w:lang w:val="sk-SK"/>
        </w:rPr>
        <w:t xml:space="preserve">nastáva </w:t>
      </w:r>
      <w:r w:rsidRPr="00BA135C">
        <w:rPr>
          <w:lang w:val="sk-SK"/>
        </w:rPr>
        <w:t xml:space="preserve">v prípade smrti poisteného </w:t>
      </w:r>
      <w:r w:rsidR="009E09C8">
        <w:rPr>
          <w:lang w:val="sk-SK"/>
        </w:rPr>
        <w:t xml:space="preserve">počas trvania poistenia pre prípad dôchodku, ak nejde o doživotný dôchodok, ale </w:t>
      </w:r>
      <w:r w:rsidR="00D31116">
        <w:rPr>
          <w:lang w:val="sk-SK"/>
        </w:rPr>
        <w:t xml:space="preserve">o </w:t>
      </w:r>
      <w:r w:rsidR="009E09C8">
        <w:rPr>
          <w:lang w:val="sk-SK"/>
        </w:rPr>
        <w:t xml:space="preserve">dôchodok s vopred vymedzenou dobou trvania  </w:t>
      </w:r>
      <w:r w:rsidRPr="00BA135C">
        <w:rPr>
          <w:lang w:val="sk-SK"/>
        </w:rPr>
        <w:t xml:space="preserve">– </w:t>
      </w:r>
      <w:r w:rsidR="009E09C8">
        <w:rPr>
          <w:lang w:val="sk-SK"/>
        </w:rPr>
        <w:t xml:space="preserve">bude </w:t>
      </w:r>
      <w:r w:rsidRPr="00BA135C">
        <w:rPr>
          <w:lang w:val="sk-SK"/>
        </w:rPr>
        <w:t>plnenie vypl</w:t>
      </w:r>
      <w:r w:rsidR="009E09C8">
        <w:rPr>
          <w:lang w:val="sk-SK"/>
        </w:rPr>
        <w:t xml:space="preserve">atené </w:t>
      </w:r>
      <w:r w:rsidRPr="00BA135C">
        <w:rPr>
          <w:lang w:val="sk-SK"/>
        </w:rPr>
        <w:t>dedičom alebo oprávnenej osobe</w:t>
      </w:r>
      <w:r w:rsidR="009E09C8">
        <w:rPr>
          <w:lang w:val="sk-SK"/>
        </w:rPr>
        <w:t>?</w:t>
      </w:r>
      <w:r w:rsidRPr="00BA135C">
        <w:rPr>
          <w:lang w:val="sk-SK"/>
        </w:rPr>
        <w:t xml:space="preserve"> (t.j. či možno aplikovať ustanovania o oprávnenej osobe podľa § 817 Obč. zák.)</w:t>
      </w:r>
    </w:p>
    <w:p w:rsidR="004122E3" w:rsidRDefault="004122E3" w:rsidP="00A21483">
      <w:pPr>
        <w:autoSpaceDE w:val="0"/>
        <w:autoSpaceDN w:val="0"/>
        <w:adjustRightInd w:val="0"/>
        <w:jc w:val="both"/>
        <w:rPr>
          <w:lang w:val="sk-SK"/>
        </w:rPr>
      </w:pPr>
    </w:p>
    <w:p w:rsidR="004122E3" w:rsidRPr="004122E3" w:rsidRDefault="004122E3" w:rsidP="00A21483">
      <w:pPr>
        <w:autoSpaceDE w:val="0"/>
        <w:autoSpaceDN w:val="0"/>
        <w:adjustRightInd w:val="0"/>
        <w:jc w:val="both"/>
        <w:rPr>
          <w:b/>
          <w:lang w:val="sk-SK"/>
        </w:rPr>
      </w:pPr>
      <w:r w:rsidRPr="004122E3">
        <w:rPr>
          <w:b/>
          <w:lang w:val="sk-SK"/>
        </w:rPr>
        <w:t>8. Zosúladenie kategorizácie poistenia v Občianskom zákonníku a v zákone o poisťovníctve</w:t>
      </w:r>
    </w:p>
    <w:p w:rsidR="00C17C75" w:rsidRDefault="00C17C75" w:rsidP="00A21483">
      <w:pPr>
        <w:autoSpaceDE w:val="0"/>
        <w:autoSpaceDN w:val="0"/>
        <w:adjustRightInd w:val="0"/>
        <w:jc w:val="both"/>
        <w:rPr>
          <w:b/>
          <w:lang w:val="sk-SK"/>
        </w:rPr>
      </w:pPr>
    </w:p>
    <w:p w:rsidR="004C43A9" w:rsidRPr="00D31116" w:rsidRDefault="00D31116" w:rsidP="00A21483">
      <w:pPr>
        <w:autoSpaceDE w:val="0"/>
        <w:autoSpaceDN w:val="0"/>
        <w:adjustRightInd w:val="0"/>
        <w:jc w:val="both"/>
        <w:rPr>
          <w:lang w:val="sk-SK"/>
        </w:rPr>
      </w:pPr>
      <w:r w:rsidRPr="00D31116">
        <w:rPr>
          <w:lang w:val="sk-SK"/>
        </w:rPr>
        <w:t>Bratislava, 16.11.2011</w:t>
      </w:r>
    </w:p>
    <w:p w:rsidR="00D31116" w:rsidRPr="00D31116" w:rsidRDefault="00D31116" w:rsidP="00A21483">
      <w:pPr>
        <w:autoSpaceDE w:val="0"/>
        <w:autoSpaceDN w:val="0"/>
        <w:adjustRightInd w:val="0"/>
        <w:jc w:val="both"/>
        <w:rPr>
          <w:lang w:val="sk-SK"/>
        </w:rPr>
      </w:pPr>
      <w:r w:rsidRPr="00D31116">
        <w:rPr>
          <w:lang w:val="sk-SK"/>
        </w:rPr>
        <w:t>Mária Eliašová</w:t>
      </w:r>
    </w:p>
    <w:p w:rsidR="004C43A9" w:rsidRDefault="004C43A9" w:rsidP="00A21483">
      <w:pPr>
        <w:autoSpaceDE w:val="0"/>
        <w:autoSpaceDN w:val="0"/>
        <w:adjustRightInd w:val="0"/>
        <w:jc w:val="both"/>
        <w:rPr>
          <w:b/>
          <w:lang w:val="sk-SK"/>
        </w:rPr>
      </w:pPr>
    </w:p>
    <w:p w:rsidR="00D11A08" w:rsidRPr="001D42DC" w:rsidRDefault="00D11A08"/>
    <w:sectPr w:rsidR="00D11A08" w:rsidRPr="001D42DC" w:rsidSect="00CF0085">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9FF" w:rsidRDefault="00F169FF" w:rsidP="00B2122E">
      <w:r>
        <w:separator/>
      </w:r>
    </w:p>
  </w:endnote>
  <w:endnote w:type="continuationSeparator" w:id="1">
    <w:p w:rsidR="00F169FF" w:rsidRDefault="00F169FF" w:rsidP="00B212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9FF" w:rsidRDefault="00CF0085" w:rsidP="00CD66E0">
    <w:pPr>
      <w:pStyle w:val="Footer"/>
      <w:framePr w:wrap="around" w:vAnchor="text" w:hAnchor="margin" w:xAlign="right" w:y="1"/>
      <w:rPr>
        <w:rStyle w:val="PageNumber"/>
      </w:rPr>
    </w:pPr>
    <w:r>
      <w:rPr>
        <w:rStyle w:val="PageNumber"/>
      </w:rPr>
      <w:fldChar w:fldCharType="begin"/>
    </w:r>
    <w:r w:rsidR="00F169FF">
      <w:rPr>
        <w:rStyle w:val="PageNumber"/>
      </w:rPr>
      <w:instrText xml:space="preserve">PAGE  </w:instrText>
    </w:r>
    <w:r>
      <w:rPr>
        <w:rStyle w:val="PageNumber"/>
      </w:rPr>
      <w:fldChar w:fldCharType="end"/>
    </w:r>
  </w:p>
  <w:p w:rsidR="00F169FF" w:rsidRDefault="00F169FF" w:rsidP="00CD66E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9FF" w:rsidRDefault="00CF0085" w:rsidP="00CD66E0">
    <w:pPr>
      <w:pStyle w:val="Footer"/>
      <w:framePr w:wrap="around" w:vAnchor="text" w:hAnchor="margin" w:xAlign="right" w:y="1"/>
      <w:jc w:val="center"/>
      <w:rPr>
        <w:rStyle w:val="PageNumber"/>
      </w:rPr>
    </w:pPr>
    <w:r>
      <w:rPr>
        <w:rStyle w:val="PageNumber"/>
      </w:rPr>
      <w:fldChar w:fldCharType="begin"/>
    </w:r>
    <w:r w:rsidR="00F169FF">
      <w:rPr>
        <w:rStyle w:val="PageNumber"/>
      </w:rPr>
      <w:instrText xml:space="preserve">PAGE  </w:instrText>
    </w:r>
    <w:r>
      <w:rPr>
        <w:rStyle w:val="PageNumber"/>
      </w:rPr>
      <w:fldChar w:fldCharType="separate"/>
    </w:r>
    <w:r w:rsidR="00D31116">
      <w:rPr>
        <w:rStyle w:val="PageNumber"/>
        <w:noProof/>
      </w:rPr>
      <w:t>2</w:t>
    </w:r>
    <w:r>
      <w:rPr>
        <w:rStyle w:val="PageNumber"/>
      </w:rPr>
      <w:fldChar w:fldCharType="end"/>
    </w:r>
    <w:r w:rsidR="00F169FF">
      <w:rPr>
        <w:rStyle w:val="PageNumber"/>
      </w:rPr>
      <w:t>/6</w:t>
    </w:r>
  </w:p>
  <w:p w:rsidR="00F169FF" w:rsidRDefault="00F169FF" w:rsidP="00CD66E0">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9FF" w:rsidRDefault="00F169FF" w:rsidP="00B2122E">
      <w:r>
        <w:separator/>
      </w:r>
    </w:p>
  </w:footnote>
  <w:footnote w:type="continuationSeparator" w:id="1">
    <w:p w:rsidR="00F169FF" w:rsidRDefault="00F169FF" w:rsidP="00B212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6EEC"/>
    <w:multiLevelType w:val="hybridMultilevel"/>
    <w:tmpl w:val="E0F807BE"/>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
    <w:nsid w:val="12F9110F"/>
    <w:multiLevelType w:val="hybridMultilevel"/>
    <w:tmpl w:val="72BAE23A"/>
    <w:lvl w:ilvl="0" w:tplc="DC60C9FC">
      <w:start w:val="1"/>
      <w:numFmt w:val="decimal"/>
      <w:lvlText w:val="%1."/>
      <w:lvlJc w:val="left"/>
      <w:pPr>
        <w:tabs>
          <w:tab w:val="num" w:pos="1095"/>
        </w:tabs>
        <w:ind w:left="1095" w:hanging="375"/>
      </w:pPr>
      <w:rPr>
        <w:rFonts w:hint="default"/>
      </w:rPr>
    </w:lvl>
    <w:lvl w:ilvl="1" w:tplc="041B0019">
      <w:start w:val="1"/>
      <w:numFmt w:val="lowerLetter"/>
      <w:lvlText w:val="%2."/>
      <w:lvlJc w:val="left"/>
      <w:pPr>
        <w:tabs>
          <w:tab w:val="num" w:pos="1800"/>
        </w:tabs>
        <w:ind w:left="1800" w:hanging="360"/>
      </w:pPr>
    </w:lvl>
    <w:lvl w:ilvl="2" w:tplc="84264300">
      <w:start w:val="1"/>
      <w:numFmt w:val="lowerLetter"/>
      <w:lvlText w:val="%3)"/>
      <w:lvlJc w:val="left"/>
      <w:pPr>
        <w:tabs>
          <w:tab w:val="num" w:pos="937"/>
        </w:tabs>
        <w:ind w:left="880" w:hanging="34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
    <w:nsid w:val="19C834BD"/>
    <w:multiLevelType w:val="hybridMultilevel"/>
    <w:tmpl w:val="427CDC7A"/>
    <w:lvl w:ilvl="0" w:tplc="0409000F">
      <w:start w:val="1"/>
      <w:numFmt w:val="decimal"/>
      <w:lvlText w:val="%1."/>
      <w:lvlJc w:val="left"/>
      <w:pPr>
        <w:tabs>
          <w:tab w:val="num" w:pos="720"/>
        </w:tabs>
        <w:ind w:left="720" w:hanging="360"/>
      </w:pPr>
      <w:rPr>
        <w:rFonts w:hint="default"/>
      </w:rPr>
    </w:lvl>
    <w:lvl w:ilvl="1" w:tplc="041B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8C2753"/>
    <w:multiLevelType w:val="hybridMultilevel"/>
    <w:tmpl w:val="45F434BA"/>
    <w:lvl w:ilvl="0" w:tplc="AC0845BA">
      <w:numFmt w:val="bullet"/>
      <w:lvlText w:val="-"/>
      <w:lvlJc w:val="left"/>
      <w:pPr>
        <w:ind w:left="720" w:hanging="360"/>
      </w:pPr>
      <w:rPr>
        <w:rFonts w:ascii="Calibri" w:eastAsia="Calibri"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
    <w:nsid w:val="565669B5"/>
    <w:multiLevelType w:val="hybridMultilevel"/>
    <w:tmpl w:val="EF3A34B8"/>
    <w:lvl w:ilvl="0" w:tplc="DC60C9FC">
      <w:start w:val="1"/>
      <w:numFmt w:val="decimal"/>
      <w:lvlText w:val="%1."/>
      <w:lvlJc w:val="left"/>
      <w:pPr>
        <w:tabs>
          <w:tab w:val="num" w:pos="375"/>
        </w:tabs>
        <w:ind w:left="375" w:hanging="375"/>
      </w:pPr>
      <w:rPr>
        <w:rFonts w:hint="default"/>
      </w:rPr>
    </w:lvl>
    <w:lvl w:ilvl="1" w:tplc="041B0017">
      <w:start w:val="1"/>
      <w:numFmt w:val="lowerLetter"/>
      <w:lvlText w:val="%2)"/>
      <w:lvlJc w:val="left"/>
      <w:pPr>
        <w:tabs>
          <w:tab w:val="num" w:pos="720"/>
        </w:tabs>
        <w:ind w:left="720" w:hanging="360"/>
      </w:pPr>
      <w:rPr>
        <w:rFonts w:hint="default"/>
      </w:rPr>
    </w:lvl>
    <w:lvl w:ilvl="2" w:tplc="041B001B">
      <w:start w:val="1"/>
      <w:numFmt w:val="lowerRoman"/>
      <w:lvlText w:val="%3."/>
      <w:lvlJc w:val="right"/>
      <w:pPr>
        <w:tabs>
          <w:tab w:val="num" w:pos="1440"/>
        </w:tabs>
        <w:ind w:left="1440" w:hanging="180"/>
      </w:pPr>
    </w:lvl>
    <w:lvl w:ilvl="3" w:tplc="041B000F" w:tentative="1">
      <w:start w:val="1"/>
      <w:numFmt w:val="decimal"/>
      <w:lvlText w:val="%4."/>
      <w:lvlJc w:val="left"/>
      <w:pPr>
        <w:tabs>
          <w:tab w:val="num" w:pos="2160"/>
        </w:tabs>
        <w:ind w:left="2160" w:hanging="360"/>
      </w:pPr>
    </w:lvl>
    <w:lvl w:ilvl="4" w:tplc="041B0019" w:tentative="1">
      <w:start w:val="1"/>
      <w:numFmt w:val="lowerLetter"/>
      <w:lvlText w:val="%5."/>
      <w:lvlJc w:val="left"/>
      <w:pPr>
        <w:tabs>
          <w:tab w:val="num" w:pos="2880"/>
        </w:tabs>
        <w:ind w:left="2880" w:hanging="360"/>
      </w:pPr>
    </w:lvl>
    <w:lvl w:ilvl="5" w:tplc="041B001B" w:tentative="1">
      <w:start w:val="1"/>
      <w:numFmt w:val="lowerRoman"/>
      <w:lvlText w:val="%6."/>
      <w:lvlJc w:val="right"/>
      <w:pPr>
        <w:tabs>
          <w:tab w:val="num" w:pos="3600"/>
        </w:tabs>
        <w:ind w:left="3600" w:hanging="180"/>
      </w:pPr>
    </w:lvl>
    <w:lvl w:ilvl="6" w:tplc="041B000F" w:tentative="1">
      <w:start w:val="1"/>
      <w:numFmt w:val="decimal"/>
      <w:lvlText w:val="%7."/>
      <w:lvlJc w:val="left"/>
      <w:pPr>
        <w:tabs>
          <w:tab w:val="num" w:pos="4320"/>
        </w:tabs>
        <w:ind w:left="4320" w:hanging="360"/>
      </w:pPr>
    </w:lvl>
    <w:lvl w:ilvl="7" w:tplc="041B0019" w:tentative="1">
      <w:start w:val="1"/>
      <w:numFmt w:val="lowerLetter"/>
      <w:lvlText w:val="%8."/>
      <w:lvlJc w:val="left"/>
      <w:pPr>
        <w:tabs>
          <w:tab w:val="num" w:pos="5040"/>
        </w:tabs>
        <w:ind w:left="5040" w:hanging="360"/>
      </w:pPr>
    </w:lvl>
    <w:lvl w:ilvl="8" w:tplc="041B001B" w:tentative="1">
      <w:start w:val="1"/>
      <w:numFmt w:val="lowerRoman"/>
      <w:lvlText w:val="%9."/>
      <w:lvlJc w:val="right"/>
      <w:pPr>
        <w:tabs>
          <w:tab w:val="num" w:pos="5760"/>
        </w:tabs>
        <w:ind w:left="5760" w:hanging="180"/>
      </w:pPr>
    </w:lvl>
  </w:abstractNum>
  <w:abstractNum w:abstractNumId="5">
    <w:nsid w:val="6B846B66"/>
    <w:multiLevelType w:val="hybridMultilevel"/>
    <w:tmpl w:val="13227884"/>
    <w:lvl w:ilvl="0" w:tplc="B9604204">
      <w:numFmt w:val="bullet"/>
      <w:lvlText w:val="-"/>
      <w:lvlJc w:val="left"/>
      <w:pPr>
        <w:ind w:left="1065" w:hanging="360"/>
      </w:pPr>
      <w:rPr>
        <w:rFonts w:ascii="Calibri" w:eastAsia="Calibri"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4"/>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0"/>
    <w:footnote w:id="1"/>
  </w:footnotePr>
  <w:endnotePr>
    <w:endnote w:id="0"/>
    <w:endnote w:id="1"/>
  </w:endnotePr>
  <w:compat/>
  <w:rsids>
    <w:rsidRoot w:val="00B2122E"/>
    <w:rsid w:val="00065639"/>
    <w:rsid w:val="001B37D7"/>
    <w:rsid w:val="001D42DC"/>
    <w:rsid w:val="002A7B17"/>
    <w:rsid w:val="004122E3"/>
    <w:rsid w:val="00431AF8"/>
    <w:rsid w:val="004C43A9"/>
    <w:rsid w:val="00534468"/>
    <w:rsid w:val="00586286"/>
    <w:rsid w:val="005B26D9"/>
    <w:rsid w:val="005D4871"/>
    <w:rsid w:val="006C307F"/>
    <w:rsid w:val="007B0787"/>
    <w:rsid w:val="00805CF0"/>
    <w:rsid w:val="0083235E"/>
    <w:rsid w:val="00873AF3"/>
    <w:rsid w:val="008A506E"/>
    <w:rsid w:val="00955DFC"/>
    <w:rsid w:val="009D2907"/>
    <w:rsid w:val="009E09C8"/>
    <w:rsid w:val="00A21483"/>
    <w:rsid w:val="00A8017C"/>
    <w:rsid w:val="00AA32AF"/>
    <w:rsid w:val="00B2122E"/>
    <w:rsid w:val="00B22E11"/>
    <w:rsid w:val="00BA135C"/>
    <w:rsid w:val="00C17C75"/>
    <w:rsid w:val="00C50294"/>
    <w:rsid w:val="00CC03A9"/>
    <w:rsid w:val="00CD66E0"/>
    <w:rsid w:val="00CF0085"/>
    <w:rsid w:val="00D11A08"/>
    <w:rsid w:val="00D31116"/>
    <w:rsid w:val="00DF5E12"/>
    <w:rsid w:val="00EB1643"/>
    <w:rsid w:val="00EE1996"/>
    <w:rsid w:val="00EE7891"/>
    <w:rsid w:val="00F169FF"/>
    <w:rsid w:val="00FA0F1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22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2122E"/>
    <w:rPr>
      <w:sz w:val="20"/>
      <w:szCs w:val="20"/>
      <w:lang w:val="sk-SK" w:eastAsia="sk-SK"/>
    </w:rPr>
  </w:style>
  <w:style w:type="character" w:customStyle="1" w:styleId="FootnoteTextChar">
    <w:name w:val="Footnote Text Char"/>
    <w:basedOn w:val="DefaultParagraphFont"/>
    <w:link w:val="FootnoteText"/>
    <w:semiHidden/>
    <w:rsid w:val="00B2122E"/>
    <w:rPr>
      <w:rFonts w:ascii="Times New Roman" w:eastAsia="Times New Roman" w:hAnsi="Times New Roman" w:cs="Times New Roman"/>
      <w:sz w:val="20"/>
      <w:szCs w:val="20"/>
      <w:lang w:eastAsia="sk-SK"/>
    </w:rPr>
  </w:style>
  <w:style w:type="character" w:styleId="FootnoteReference">
    <w:name w:val="footnote reference"/>
    <w:basedOn w:val="DefaultParagraphFont"/>
    <w:semiHidden/>
    <w:rsid w:val="00B2122E"/>
    <w:rPr>
      <w:vertAlign w:val="superscript"/>
    </w:rPr>
  </w:style>
  <w:style w:type="paragraph" w:styleId="CommentText">
    <w:name w:val="annotation text"/>
    <w:basedOn w:val="Normal"/>
    <w:link w:val="CommentTextChar"/>
    <w:semiHidden/>
    <w:rsid w:val="00B2122E"/>
    <w:pPr>
      <w:spacing w:after="200" w:line="276" w:lineRule="auto"/>
    </w:pPr>
    <w:rPr>
      <w:rFonts w:ascii="Calibri" w:hAnsi="Calibri"/>
      <w:sz w:val="20"/>
      <w:szCs w:val="20"/>
      <w:lang w:val="sk-SK"/>
    </w:rPr>
  </w:style>
  <w:style w:type="character" w:customStyle="1" w:styleId="CommentTextChar">
    <w:name w:val="Comment Text Char"/>
    <w:basedOn w:val="DefaultParagraphFont"/>
    <w:link w:val="CommentText"/>
    <w:semiHidden/>
    <w:rsid w:val="00B2122E"/>
    <w:rPr>
      <w:rFonts w:ascii="Calibri" w:eastAsia="Times New Roman" w:hAnsi="Calibri" w:cs="Times New Roman"/>
      <w:sz w:val="20"/>
      <w:szCs w:val="20"/>
    </w:rPr>
  </w:style>
  <w:style w:type="paragraph" w:styleId="Footer">
    <w:name w:val="footer"/>
    <w:basedOn w:val="Normal"/>
    <w:link w:val="FooterChar"/>
    <w:rsid w:val="00B2122E"/>
    <w:pPr>
      <w:tabs>
        <w:tab w:val="center" w:pos="4703"/>
        <w:tab w:val="right" w:pos="9406"/>
      </w:tabs>
    </w:pPr>
  </w:style>
  <w:style w:type="character" w:customStyle="1" w:styleId="FooterChar">
    <w:name w:val="Footer Char"/>
    <w:basedOn w:val="DefaultParagraphFont"/>
    <w:link w:val="Footer"/>
    <w:rsid w:val="00B2122E"/>
    <w:rPr>
      <w:rFonts w:ascii="Times New Roman" w:eastAsia="Times New Roman" w:hAnsi="Times New Roman" w:cs="Times New Roman"/>
      <w:sz w:val="24"/>
      <w:szCs w:val="24"/>
      <w:lang w:val="en-US"/>
    </w:rPr>
  </w:style>
  <w:style w:type="character" w:styleId="PageNumber">
    <w:name w:val="page number"/>
    <w:basedOn w:val="DefaultParagraphFont"/>
    <w:rsid w:val="00B2122E"/>
  </w:style>
  <w:style w:type="paragraph" w:styleId="ListParagraph">
    <w:name w:val="List Paragraph"/>
    <w:basedOn w:val="Normal"/>
    <w:uiPriority w:val="34"/>
    <w:qFormat/>
    <w:rsid w:val="00F169FF"/>
    <w:pPr>
      <w:ind w:left="720"/>
    </w:pPr>
    <w:rPr>
      <w:rFonts w:ascii="Calibri" w:eastAsiaTheme="minorHAnsi" w:hAnsi="Calibri" w:cs="Calibri"/>
      <w:sz w:val="22"/>
      <w:szCs w:val="22"/>
      <w:lang w:val="sk-SK" w:eastAsia="sk-SK"/>
    </w:rPr>
  </w:style>
  <w:style w:type="paragraph" w:styleId="BalloonText">
    <w:name w:val="Balloon Text"/>
    <w:basedOn w:val="Normal"/>
    <w:link w:val="BalloonTextChar"/>
    <w:uiPriority w:val="99"/>
    <w:semiHidden/>
    <w:unhideWhenUsed/>
    <w:rsid w:val="00C17C75"/>
    <w:rPr>
      <w:rFonts w:ascii="Tahoma" w:hAnsi="Tahoma" w:cs="Tahoma"/>
      <w:sz w:val="16"/>
      <w:szCs w:val="16"/>
    </w:rPr>
  </w:style>
  <w:style w:type="character" w:customStyle="1" w:styleId="BalloonTextChar">
    <w:name w:val="Balloon Text Char"/>
    <w:basedOn w:val="DefaultParagraphFont"/>
    <w:link w:val="BalloonText"/>
    <w:uiPriority w:val="99"/>
    <w:semiHidden/>
    <w:rsid w:val="00C17C75"/>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90008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E4C4A-A8D5-45A4-8782-D1E9AAEAE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eliasova</dc:creator>
  <cp:lastModifiedBy>eliasova</cp:lastModifiedBy>
  <cp:revision>31</cp:revision>
  <cp:lastPrinted>2011-11-16T11:57:00Z</cp:lastPrinted>
  <dcterms:created xsi:type="dcterms:W3CDTF">2011-11-16T10:40:00Z</dcterms:created>
  <dcterms:modified xsi:type="dcterms:W3CDTF">2011-11-16T15:48:00Z</dcterms:modified>
</cp:coreProperties>
</file>