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9" w:rsidRDefault="00C042A5">
      <w:r>
        <w:rPr>
          <w:rFonts w:ascii="Arial" w:hAnsi="Arial" w:cs="Arial"/>
          <w:sz w:val="20"/>
          <w:szCs w:val="20"/>
        </w:rPr>
        <w:t xml:space="preserve">1. Úvodná otázka, od ktorej sa odvíjajú následné otázky je, či sa zákon č. 123/2013  Z.z. vzťahuje aj na </w:t>
      </w:r>
      <w:r>
        <w:rPr>
          <w:rFonts w:ascii="Arial" w:hAnsi="Arial" w:cs="Arial"/>
          <w:b/>
          <w:bCs/>
          <w:sz w:val="20"/>
          <w:szCs w:val="20"/>
        </w:rPr>
        <w:t>fyzické osoby - podnikateľov,</w:t>
      </w:r>
      <w:r>
        <w:rPr>
          <w:rFonts w:ascii="Arial" w:hAnsi="Arial" w:cs="Arial"/>
          <w:sz w:val="20"/>
          <w:szCs w:val="20"/>
        </w:rPr>
        <w:t xml:space="preserve"> t.j.  ak prevádzkovateľ spracúva osobné údaje fyzickej osoby - podnikateľa, pričom ich spracúvanie je nevyhnutné na plnenie zmluvy, v predzmluvných vzťahoch medzi prevádzkovateľom a touto dotknutou osobou alebo pri rokovaní o zmene zmluvy...  Činnosť, ktorá je predmetom príslušnej zmluvy je definovaná osobitným zákonom č. 186/2009 ako </w:t>
      </w:r>
      <w:r>
        <w:rPr>
          <w:rFonts w:ascii="Arial" w:hAnsi="Arial" w:cs="Arial"/>
          <w:sz w:val="20"/>
          <w:szCs w:val="20"/>
          <w:u w:val="single"/>
        </w:rPr>
        <w:t>podnikanie</w:t>
      </w:r>
      <w:r>
        <w:rPr>
          <w:rFonts w:ascii="Arial" w:hAnsi="Arial" w:cs="Arial"/>
          <w:sz w:val="20"/>
          <w:szCs w:val="20"/>
        </w:rPr>
        <w:t>, pričom v nadväznosti na tento osobitný zákon, prevádzkovateľ za účelom plnenia zmluvy spracúva vo vzťahu k tejto fyzickej osobe aj osobitnú kategóriu os. údaju - rodné číslo.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(Pozn.: na porade právnikov  v máji odznel názor, že na FO podnikateľov sa zákon 123/2013 vôbec nevzťahuje. Ak sa zákon na FO - podnikateľov nevzťahuje z titulu právnej istoty prosíme špecifikovať ustanovenia zákona o chr. os. údajov, z ktorého uvedený záver vyplýva.)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2. V prípade, ak sa zákon č. 123/2013 vzťahuje aj na fyzické osoby - podnikateľov, poprosime o vyjadrenie k otázke </w:t>
      </w:r>
      <w:r>
        <w:rPr>
          <w:rFonts w:ascii="Arial" w:hAnsi="Arial" w:cs="Arial"/>
          <w:sz w:val="20"/>
          <w:szCs w:val="20"/>
          <w:u w:val="single"/>
        </w:rPr>
        <w:t>právneho základu spracúvania os. údajov</w:t>
      </w:r>
      <w:r>
        <w:rPr>
          <w:rFonts w:ascii="Arial" w:hAnsi="Arial" w:cs="Arial"/>
          <w:sz w:val="20"/>
          <w:szCs w:val="20"/>
        </w:rPr>
        <w:t xml:space="preserve"> týchto fyzických osôb v rámci štandardných obchodnoprávnych vzťahov, t.j. nejde o prípady podľa § 10 ods. 1 a ods.2, resp. </w:t>
      </w:r>
      <w:r>
        <w:rPr>
          <w:rFonts w:ascii="Arial" w:hAnsi="Arial" w:cs="Arial"/>
          <w:sz w:val="20"/>
          <w:szCs w:val="20"/>
          <w:u w:val="single"/>
        </w:rPr>
        <w:t>čo je právnym základom</w:t>
      </w:r>
      <w:r>
        <w:rPr>
          <w:rFonts w:ascii="Arial" w:hAnsi="Arial" w:cs="Arial"/>
          <w:sz w:val="20"/>
          <w:szCs w:val="20"/>
        </w:rPr>
        <w:t xml:space="preserve"> spracúvania os. údajov, ak v zmysle § 10 ods.3 písm. b) cit. zákona spracúvanie os. údajov je nevyhnutné na plnenie zmluvy, v ktorej vystupuje dotknutá osoba ako jedna zo zmluvných strán alebo v predzmluvných vzťahoch s dotknutou osobou alebo pri rokovaní o zmene zmluvy?  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(Pozn. na porade právnikov odznel názor, že právnym základom v týchto prípadoch je príslušná zmluva, avšak zmluva nie je uvedená v taxatívnom výpočte právnych základov v zmysle § 9. V prípade, ak je právnym základom zákon č. 123/2013, tak  takýto záver celkom nekorenšponduje s ust. § 10 ods.1 v zmysle ktorého ak je právnym základom zakon č. 122/2013, tak tento upravuje/by mal upravovať aj účel spracúvania, okruh dotknutých osôb, zoznam/rozsah os. údajov..).  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3. Ak v prípade  fyzickej osoby - podnikateľa postupujeme v zmysle  § 10 ods. 3, písm. b), ktorý upravuje spracúvanie os. údajov </w:t>
      </w:r>
      <w:r>
        <w:rPr>
          <w:rFonts w:ascii="Arial" w:hAnsi="Arial" w:cs="Arial"/>
          <w:sz w:val="20"/>
          <w:szCs w:val="20"/>
          <w:u w:val="single"/>
        </w:rPr>
        <w:t xml:space="preserve">bez </w:t>
      </w:r>
      <w:r>
        <w:rPr>
          <w:rFonts w:ascii="Arial" w:hAnsi="Arial" w:cs="Arial"/>
          <w:b/>
          <w:bCs/>
          <w:sz w:val="20"/>
          <w:szCs w:val="20"/>
          <w:u w:val="single"/>
        </w:rPr>
        <w:t> </w:t>
      </w:r>
      <w:r>
        <w:rPr>
          <w:rFonts w:ascii="Arial" w:hAnsi="Arial" w:cs="Arial"/>
          <w:sz w:val="20"/>
          <w:szCs w:val="20"/>
          <w:u w:val="single"/>
        </w:rPr>
        <w:t>súhlasu dotknutej osoby</w:t>
      </w:r>
      <w:r>
        <w:rPr>
          <w:rFonts w:ascii="Arial" w:hAnsi="Arial" w:cs="Arial"/>
          <w:sz w:val="20"/>
          <w:szCs w:val="20"/>
        </w:rPr>
        <w:t xml:space="preserve">, otázka znie ako je to s </w:t>
      </w:r>
      <w:r>
        <w:rPr>
          <w:rFonts w:ascii="Arial" w:hAnsi="Arial" w:cs="Arial"/>
          <w:sz w:val="20"/>
          <w:szCs w:val="20"/>
          <w:u w:val="single"/>
        </w:rPr>
        <w:t xml:space="preserve">poskytovaním, sprístupnením a  zverejnením </w:t>
      </w:r>
      <w:r>
        <w:rPr>
          <w:rFonts w:ascii="Arial" w:hAnsi="Arial" w:cs="Arial"/>
          <w:sz w:val="20"/>
          <w:szCs w:val="20"/>
        </w:rPr>
        <w:t xml:space="preserve">týchto osobných údajov, pričom poskytovanie, sprístupnenie a zverejnenie sa realizuje taktiež v súvislosti s plnením zmluvy, t.j. na rovnaky účel na ktorý boli tieto os. údaje získané. </w:t>
      </w:r>
      <w:r>
        <w:br/>
      </w:r>
      <w:r>
        <w:rPr>
          <w:rFonts w:ascii="Arial" w:hAnsi="Arial" w:cs="Arial"/>
          <w:sz w:val="20"/>
          <w:szCs w:val="20"/>
        </w:rPr>
        <w:t xml:space="preserve">Ak by sme vychádzali z obsahu pojmu "spracúvanie" (§ 4), ktorý zahrňa aj tieto vybrané operácie (poskytovanie, sprístupnenie, zverejnenie), mohli by sme dospieť k záveru, že spracúvanie osobných údajov bez súhlasu dotknutej osoby sa vzťahuje na všetky operácie patriace do pojmu "spracúvanie" t.j. aj na ich poskytovanie, sprístupnenie a zverejnenie </w:t>
      </w:r>
      <w:r>
        <w:rPr>
          <w:rFonts w:ascii="Arial" w:hAnsi="Arial" w:cs="Arial"/>
          <w:sz w:val="20"/>
          <w:szCs w:val="20"/>
          <w:u w:val="single"/>
        </w:rPr>
        <w:t>nie je potrebný súhlas dotknutej osoby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Ak však vychádzame z ustanovenia § 10 ods. 2 druhá veta, ale aj z ustanovenia § 12 ods. 2 cit. zákona, možno konštatovať, že na  poskytovanie, sprístupnenie, zverejnenie os. údajov sa </w:t>
      </w:r>
      <w:r>
        <w:rPr>
          <w:rFonts w:ascii="Arial" w:hAnsi="Arial" w:cs="Arial"/>
          <w:sz w:val="20"/>
          <w:szCs w:val="20"/>
          <w:u w:val="single"/>
        </w:rPr>
        <w:t>súhlas dotknutej osoby vyžaduje.</w:t>
      </w:r>
      <w:r>
        <w:rPr>
          <w:rFonts w:ascii="Arial" w:hAnsi="Arial" w:cs="Arial"/>
          <w:sz w:val="20"/>
          <w:szCs w:val="20"/>
        </w:rPr>
        <w:t xml:space="preserve">    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4. Zároveň je otázne aký je vzťaj medzi ustanovením § 10 ods. 3 písm. b) a ustanovením § 11 ods. 3. cit. zákona.  Z prvého ustanovenia vyplýva, že v súvislosti, resp. na účel uzatvorenia zmluvy, resp. jej plnenia spracúva prevádzkovateľ osobné údaje dotknutej osob </w:t>
      </w:r>
      <w:r>
        <w:rPr>
          <w:rFonts w:ascii="Arial" w:hAnsi="Arial" w:cs="Arial"/>
          <w:sz w:val="20"/>
          <w:szCs w:val="20"/>
          <w:u w:val="single"/>
        </w:rPr>
        <w:t> bez súhlasu dotknutej osoby</w:t>
      </w:r>
      <w:r>
        <w:rPr>
          <w:rFonts w:ascii="Arial" w:hAnsi="Arial" w:cs="Arial"/>
          <w:sz w:val="20"/>
          <w:szCs w:val="20"/>
        </w:rPr>
        <w:t>, avšak z druhého ustanovenia  vyplýva, že  aj na účely zmluvného vzťahu sa vžaduje súhlas dotknutej osoby, resp. v osobitnej časti zákona upravujúcej súhlas dotknutej osoby sa používa pojem "zmluvné vzťahy". Takúto úpravu považujeme za zmätočnú a nejednoznačnú...</w:t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42A5"/>
    <w:rsid w:val="001837FA"/>
    <w:rsid w:val="00242AF0"/>
    <w:rsid w:val="00827E2A"/>
    <w:rsid w:val="008E6EF9"/>
    <w:rsid w:val="009425F9"/>
    <w:rsid w:val="00A56C21"/>
    <w:rsid w:val="00AA0245"/>
    <w:rsid w:val="00BB7785"/>
    <w:rsid w:val="00C042A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2013-06-28T08:41:00Z</dcterms:created>
  <dcterms:modified xsi:type="dcterms:W3CDTF">2013-06-28T08:41:00Z</dcterms:modified>
</cp:coreProperties>
</file>