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7A8" w:rsidRDefault="00692763">
      <w:r>
        <w:rPr>
          <w:rFonts w:ascii="Arial" w:hAnsi="Arial" w:cs="Arial"/>
          <w:sz w:val="20"/>
          <w:szCs w:val="20"/>
        </w:rPr>
        <w:t xml:space="preserve">1/ </w:t>
      </w:r>
      <w:r>
        <w:rPr>
          <w:rFonts w:ascii="Arial" w:hAnsi="Arial" w:cs="Arial"/>
          <w:sz w:val="20"/>
          <w:szCs w:val="20"/>
          <w:u w:val="single"/>
        </w:rPr>
        <w:t>§ 39a OZ</w:t>
      </w:r>
      <w:r>
        <w:rPr>
          <w:rFonts w:ascii="Arial" w:hAnsi="Arial" w:cs="Arial"/>
          <w:sz w:val="20"/>
          <w:szCs w:val="20"/>
        </w:rPr>
        <w:t xml:space="preserve"> - navrhované ustanovenie obsahuje ako jedno z kritérií "tieseň", ktorá vedie k neplatnosti zmluvy. Rovnako však je tieseň uvedená aj v § 49 OZ, kde je tieseň kritériom pre využitie práva odstúpiť od zmluvy (t.j. nie neplatnosť zmluvy). Uvedené sa javí ako problematické v praxi (z pohľadu napr. súdneho rozhodovania, voľby spotrebiteľa si "vybrať" vhodnejší variant následku uzatvorenia zmluvy v tiesni), nakoľko zákon priznáva rôzne právne následky rovnakému konaniu (uzatvoreniu zmluvy v tiesni).</w:t>
      </w:r>
      <w:r>
        <w:t xml:space="preserve"> </w:t>
      </w:r>
      <w:r>
        <w:br/>
      </w:r>
      <w:r>
        <w:br/>
      </w:r>
      <w:r>
        <w:rPr>
          <w:rFonts w:ascii="Arial" w:hAnsi="Arial" w:cs="Arial"/>
          <w:sz w:val="20"/>
          <w:szCs w:val="20"/>
        </w:rPr>
        <w:t xml:space="preserve">2/ § 53 ods. 4 písm. v) je nezmyselne </w:t>
      </w:r>
      <w:proofErr w:type="spellStart"/>
      <w:r>
        <w:rPr>
          <w:rFonts w:ascii="Arial" w:hAnsi="Arial" w:cs="Arial"/>
          <w:sz w:val="20"/>
          <w:szCs w:val="20"/>
        </w:rPr>
        <w:t>fomulované</w:t>
      </w:r>
      <w:proofErr w:type="spellEnd"/>
      <w:r>
        <w:rPr>
          <w:rFonts w:ascii="Arial" w:hAnsi="Arial" w:cs="Arial"/>
          <w:sz w:val="20"/>
          <w:szCs w:val="20"/>
        </w:rPr>
        <w:t xml:space="preserve"> a navrhujeme ho vypustiť. Dôvodom je skutočnosť, že žiadnu úhradu nie je možné považovať za súladnú so záujmami spotrebiteľa.</w:t>
      </w:r>
      <w:r>
        <w:t xml:space="preserve"> </w:t>
      </w:r>
      <w:r>
        <w:br/>
      </w:r>
      <w:r>
        <w:br/>
      </w:r>
      <w:r>
        <w:rPr>
          <w:rFonts w:ascii="Arial" w:hAnsi="Arial" w:cs="Arial"/>
          <w:sz w:val="20"/>
          <w:szCs w:val="20"/>
        </w:rPr>
        <w:t>3/ § 53 ods. 6 - nie je vôbec jasné, čo sa myslí pod pojmom odplata. Bez riadnej definície uvedeného pojmu nedáva dané ustanovenie zmysel.</w:t>
      </w:r>
      <w:r>
        <w:t xml:space="preserve"> </w:t>
      </w:r>
      <w:r>
        <w:br/>
      </w:r>
      <w:r>
        <w:br/>
      </w:r>
      <w:r>
        <w:rPr>
          <w:rFonts w:ascii="Arial" w:hAnsi="Arial" w:cs="Arial"/>
          <w:sz w:val="20"/>
          <w:szCs w:val="20"/>
        </w:rPr>
        <w:t xml:space="preserve">4/ </w:t>
      </w:r>
      <w:r>
        <w:rPr>
          <w:rFonts w:ascii="Arial" w:hAnsi="Arial" w:cs="Arial"/>
          <w:sz w:val="20"/>
          <w:szCs w:val="20"/>
          <w:u w:val="single"/>
        </w:rPr>
        <w:t>§ 53c OZ</w:t>
      </w:r>
      <w:r>
        <w:rPr>
          <w:rFonts w:ascii="Arial" w:hAnsi="Arial" w:cs="Arial"/>
          <w:sz w:val="20"/>
          <w:szCs w:val="20"/>
        </w:rPr>
        <w:t xml:space="preserve"> - doplnenie o vetu: "Ustanovenia spotrebiteľskej zmluvy, ako aj ustanovenia obsiahnuté vo všeobecných obchodných podmienkach alebo v akýchkoľvek iných zmluvných dokumentoch, ktoré so spotrebiteľskou zmluvou súvisia, nesmú byť uvedené iným písmom a menším písmom, ako ustanoví vykonávací predpis.“. </w:t>
      </w:r>
      <w:r>
        <w:br/>
      </w:r>
      <w:r>
        <w:br/>
      </w:r>
      <w:r>
        <w:rPr>
          <w:rFonts w:ascii="Arial" w:hAnsi="Arial" w:cs="Arial"/>
          <w:sz w:val="20"/>
          <w:szCs w:val="20"/>
        </w:rPr>
        <w:t xml:space="preserve">Uvedenú vetu považujeme jednak za "administratívnu záťaž" pre dodávateľov (veriteľov) poskytujúcich službu alebo tovar, ktorá sa vzhľadom na nárast počtu strán zmluvnej dokumentácie (navrhované znenie: Text New Roman, veľkosť písma 12), ktorú </w:t>
      </w:r>
      <w:proofErr w:type="spellStart"/>
      <w:r>
        <w:rPr>
          <w:rFonts w:ascii="Arial" w:hAnsi="Arial" w:cs="Arial"/>
          <w:sz w:val="20"/>
          <w:szCs w:val="20"/>
        </w:rPr>
        <w:t>obdrží</w:t>
      </w:r>
      <w:proofErr w:type="spellEnd"/>
      <w:r>
        <w:rPr>
          <w:rFonts w:ascii="Arial" w:hAnsi="Arial" w:cs="Arial"/>
          <w:sz w:val="20"/>
          <w:szCs w:val="20"/>
        </w:rPr>
        <w:t xml:space="preserve"> klient (spotrebiteľ), odzrkadlí len v náraste ceny za poskytnutú službu (tovar).</w:t>
      </w:r>
      <w:r>
        <w:t xml:space="preserve"> </w:t>
      </w:r>
      <w:r>
        <w:br/>
      </w:r>
      <w:r>
        <w:br/>
      </w:r>
      <w:r>
        <w:rPr>
          <w:rFonts w:ascii="Arial" w:hAnsi="Arial" w:cs="Arial"/>
          <w:sz w:val="20"/>
          <w:szCs w:val="20"/>
        </w:rPr>
        <w:t>Súčasné znenie § 53c, v zmysle ktorého už teraz platí, že podstatné náležitosti zmluvy (t.j. predmet zmluvy a cena) nesmú byť uvedené menším písmom ako ostatná časť zmluvy (t.j. že text celej zmluvy je rovnakej veľkosti) považujeme za dostatočné.</w:t>
      </w:r>
      <w:r>
        <w:t xml:space="preserve"> </w:t>
      </w:r>
      <w:r>
        <w:br/>
      </w:r>
      <w:r>
        <w:br/>
      </w:r>
      <w:r>
        <w:rPr>
          <w:rFonts w:ascii="Arial" w:hAnsi="Arial" w:cs="Arial"/>
          <w:sz w:val="20"/>
          <w:szCs w:val="20"/>
        </w:rPr>
        <w:t>Zároveň z navrhovaného znenia nie je zrejmé, aký následok má podľa zákonodarcu mať nedodržanie navrhovaného ustanovenia, t.j. ak ustanovenia zmluvy budú uvedené iným písmom alebo menším písmom, ako má byť ustanovené vykonávacím predpisom.</w:t>
      </w:r>
      <w:r>
        <w:t xml:space="preserve"> </w:t>
      </w:r>
      <w:r>
        <w:br/>
      </w:r>
      <w:r>
        <w:br/>
      </w:r>
      <w:r>
        <w:rPr>
          <w:rFonts w:ascii="Arial" w:hAnsi="Arial" w:cs="Arial"/>
          <w:sz w:val="20"/>
          <w:szCs w:val="20"/>
        </w:rPr>
        <w:t xml:space="preserve">Za nevhodné tiež považujeme určenie typu písma fontom, ktorý podlieha licenčným podmienkam a nie je univerzálny pre všetky textové editory používané na trhu (považujeme za nevhodné, aby štát diktoval, ktoré produkty súkromných spoločností majú byť na trhu používané). Určenie veľkosti písma je v praxi nevykonateľné, nakoľko je objektívne nemerateľné pri rôznych formátoch tlače. </w:t>
      </w:r>
      <w:r>
        <w:br/>
      </w:r>
      <w:r>
        <w:br/>
      </w:r>
      <w:r>
        <w:rPr>
          <w:rFonts w:ascii="Arial" w:hAnsi="Arial" w:cs="Arial"/>
          <w:b/>
          <w:bCs/>
          <w:sz w:val="20"/>
          <w:szCs w:val="20"/>
        </w:rPr>
        <w:t>Čl. IV</w:t>
      </w:r>
      <w:r>
        <w:t xml:space="preserve"> </w:t>
      </w:r>
      <w:r>
        <w:br/>
      </w:r>
      <w:r>
        <w:br/>
      </w:r>
      <w:r>
        <w:rPr>
          <w:rFonts w:ascii="Arial" w:hAnsi="Arial" w:cs="Arial"/>
          <w:sz w:val="20"/>
          <w:szCs w:val="20"/>
        </w:rPr>
        <w:t xml:space="preserve">Spôsob určenia limitov pre draženie nehnuteľností uvedený v navrhovanom § 3 ods. 6 zák. č. 527/2002 </w:t>
      </w:r>
      <w:proofErr w:type="spellStart"/>
      <w:r>
        <w:rPr>
          <w:rFonts w:ascii="Arial" w:hAnsi="Arial" w:cs="Arial"/>
          <w:sz w:val="20"/>
          <w:szCs w:val="20"/>
        </w:rPr>
        <w:t>Z.z</w:t>
      </w:r>
      <w:proofErr w:type="spellEnd"/>
      <w:r>
        <w:rPr>
          <w:rFonts w:ascii="Arial" w:hAnsi="Arial" w:cs="Arial"/>
          <w:sz w:val="20"/>
          <w:szCs w:val="20"/>
        </w:rPr>
        <w:t>. považujeme za neúčelný. Zámer navrhovateľov tým nie je dosiahnutý, nakoľko nehnuteľnosť môže mať tak nižšiu hodnotu ako 2000 EUR (práva veriteľa by tak boli zmarené), ako aj niekoľkonásobne sumu 2000 EUR svojou hodnotou prevyšovať (záujmy dlžníka by tak neboli chránené).</w:t>
      </w:r>
      <w:r>
        <w:t xml:space="preserve"> </w:t>
      </w:r>
      <w:r>
        <w:br/>
      </w:r>
      <w:r>
        <w:br/>
      </w:r>
      <w:r>
        <w:rPr>
          <w:rFonts w:ascii="Arial" w:hAnsi="Arial" w:cs="Arial"/>
          <w:b/>
          <w:bCs/>
          <w:sz w:val="20"/>
          <w:szCs w:val="20"/>
        </w:rPr>
        <w:t>Čl. V</w:t>
      </w:r>
      <w:r>
        <w:t xml:space="preserve"> </w:t>
      </w:r>
      <w:r>
        <w:br/>
      </w:r>
      <w:r>
        <w:br/>
      </w:r>
      <w:r>
        <w:br/>
      </w:r>
      <w:r>
        <w:rPr>
          <w:rFonts w:ascii="Arial" w:hAnsi="Arial" w:cs="Arial"/>
          <w:sz w:val="20"/>
          <w:szCs w:val="20"/>
          <w:u w:val="single"/>
        </w:rPr>
        <w:t>§ 3a zákona č. 250/2007</w:t>
      </w:r>
      <w:r>
        <w:rPr>
          <w:rFonts w:ascii="Arial" w:hAnsi="Arial" w:cs="Arial"/>
          <w:sz w:val="20"/>
          <w:szCs w:val="20"/>
        </w:rPr>
        <w:t xml:space="preserve">  </w:t>
      </w:r>
      <w:r>
        <w:t xml:space="preserve"> </w:t>
      </w:r>
      <w:r>
        <w:br/>
      </w:r>
      <w:r>
        <w:br/>
      </w:r>
      <w:r>
        <w:rPr>
          <w:rFonts w:ascii="Arial" w:hAnsi="Arial" w:cs="Arial"/>
          <w:sz w:val="20"/>
          <w:szCs w:val="20"/>
        </w:rPr>
        <w:t xml:space="preserve">Navrhované ustanovenie, na základe ktorého môže spotrebiteľ bezdôvodne odstúpiť od zmluvy o </w:t>
      </w:r>
      <w:r>
        <w:rPr>
          <w:rFonts w:ascii="Arial" w:hAnsi="Arial" w:cs="Arial"/>
          <w:sz w:val="20"/>
          <w:szCs w:val="20"/>
        </w:rPr>
        <w:lastRenderedPageBreak/>
        <w:t xml:space="preserve">dodaní tovaru alebo poskytnutí služby, pričom sa nezohľadňuje žiadny aspekt toho, že spotrebiteľ vec užíval a teda z novej veci urobil vec opotrebovanú, je silne </w:t>
      </w:r>
      <w:proofErr w:type="spellStart"/>
      <w:r>
        <w:rPr>
          <w:rFonts w:ascii="Arial" w:hAnsi="Arial" w:cs="Arial"/>
          <w:sz w:val="20"/>
          <w:szCs w:val="20"/>
        </w:rPr>
        <w:t>prospotrebiteľsky</w:t>
      </w:r>
      <w:proofErr w:type="spellEnd"/>
      <w:r>
        <w:rPr>
          <w:rFonts w:ascii="Arial" w:hAnsi="Arial" w:cs="Arial"/>
          <w:sz w:val="20"/>
          <w:szCs w:val="20"/>
        </w:rPr>
        <w:t xml:space="preserve"> orientované, čo bude mať za následok výrazné zhoršenie podnikateľského prostredia na SR (napr. obchody = požičovne).</w:t>
      </w:r>
      <w:r>
        <w:t xml:space="preserve"> </w:t>
      </w:r>
      <w:r>
        <w:br/>
      </w:r>
      <w:r>
        <w:br/>
      </w:r>
      <w:r>
        <w:rPr>
          <w:rFonts w:ascii="Arial" w:hAnsi="Arial" w:cs="Arial"/>
          <w:sz w:val="20"/>
          <w:szCs w:val="20"/>
        </w:rPr>
        <w:t xml:space="preserve">V uvedenom ustanovení tiež nie sú premietnuté situácie, keď spotrebiteľ </w:t>
      </w:r>
      <w:proofErr w:type="spellStart"/>
      <w:r>
        <w:rPr>
          <w:rFonts w:ascii="Arial" w:hAnsi="Arial" w:cs="Arial"/>
          <w:sz w:val="20"/>
          <w:szCs w:val="20"/>
        </w:rPr>
        <w:t>obdrží</w:t>
      </w:r>
      <w:proofErr w:type="spellEnd"/>
      <w:r>
        <w:rPr>
          <w:rFonts w:ascii="Arial" w:hAnsi="Arial" w:cs="Arial"/>
          <w:sz w:val="20"/>
          <w:szCs w:val="20"/>
        </w:rPr>
        <w:t xml:space="preserve"> službu, ktorú "vrátiť" nie je možné, resp. ktorej poskytnutie si od predávajúceho vyžaduje vykonanie nezvratných krokov (napr. spotrebovaný materiál) alebo ktorej hodnota sa v čase mení (napr. investičné služby).</w:t>
      </w:r>
      <w:r>
        <w:t xml:space="preserve"> </w:t>
      </w:r>
      <w:r>
        <w:br/>
      </w:r>
      <w:r>
        <w:br/>
      </w:r>
      <w:r>
        <w:rPr>
          <w:rFonts w:ascii="Arial" w:hAnsi="Arial" w:cs="Arial"/>
          <w:sz w:val="20"/>
          <w:szCs w:val="20"/>
        </w:rPr>
        <w:t>Navrhovaná povinnosť poučiť spotrebiteľa o jeho práve odstúpiť od zmluvy je ťažko realizovateľná a aj pri jej vykonávaní je otázne, ako sa bude dať preukázať, nakoľko nie všetky spotrebiteľské zmluvy musia mať písomnú formu.</w:t>
      </w:r>
      <w:r>
        <w:t xml:space="preserve"> </w:t>
      </w:r>
      <w:r>
        <w:br/>
      </w:r>
      <w:r>
        <w:br/>
      </w:r>
      <w:r>
        <w:rPr>
          <w:rFonts w:ascii="Arial" w:hAnsi="Arial" w:cs="Arial"/>
          <w:sz w:val="20"/>
          <w:szCs w:val="20"/>
        </w:rPr>
        <w:t>Vo všeobecnosti uvedené ustanovenie nepovažujeme za správne, nakoľko spotrebiteľ má možnosť sa oboznámiť so službou resp. tovarom na "mieste", t.j. nejde o prípad napr. kúpy tovaru alebo služby cez internet, kde má ustanovenie o odstúpení od zmluvy bez udania dôvodu svoje opodstatnenie, nakoľko spotrebiteľ nemá možnosť si tovar obzrieť ("vyskúšať"). Ak by sa malo navrhované ustanovenie schváliť, je potrebné ho doplniť aj o "zodpovednosť" spotrebiteľa, t.j. spotrebiteľ bude zodpovedať za zníženie hodnoty tovaru (služby), ku ktorej došlo v dôsledku jej používania spotrebiteľom (uvedené by sa prejavilo v tom, že by spotrebiteľ nedostal pri odstúpení od zmluvy celú zaplatenú cenu za tovar alebo službu späť, ale by zaplatil pomernú časť ceny ako určitý "postih" za používanie tovaru alebo služby - uvedené je obdobne riešené aj napr. v § 1820 ods. 1 písm. h) nového českého Občianskeho zákonníka).</w:t>
      </w:r>
      <w:r>
        <w:t xml:space="preserve"> </w:t>
      </w:r>
      <w:r>
        <w:br/>
      </w:r>
      <w:r>
        <w:br/>
      </w:r>
      <w:r>
        <w:rPr>
          <w:rFonts w:ascii="Arial" w:hAnsi="Arial" w:cs="Arial"/>
          <w:sz w:val="20"/>
          <w:szCs w:val="20"/>
        </w:rPr>
        <w:t xml:space="preserve">Z uvedeného ustanovenia vo vzťahu k predmetu činnosti poisťovní je napríklad nejasné, či poisťovňa v prípade, ak dôjde do siedmich dní k odstúpeniu zmluvy, bude musieť poskytovať poistné krytie, </w:t>
      </w:r>
      <w:proofErr w:type="spellStart"/>
      <w:r>
        <w:rPr>
          <w:rFonts w:ascii="Arial" w:hAnsi="Arial" w:cs="Arial"/>
          <w:sz w:val="20"/>
          <w:szCs w:val="20"/>
        </w:rPr>
        <w:t>t.j.aj</w:t>
      </w:r>
      <w:proofErr w:type="spellEnd"/>
      <w:r>
        <w:rPr>
          <w:rFonts w:ascii="Arial" w:hAnsi="Arial" w:cs="Arial"/>
          <w:sz w:val="20"/>
          <w:szCs w:val="20"/>
        </w:rPr>
        <w:t xml:space="preserve">  poskytnúť plnenie, ak poistná udalosť nastala v tejto 7 dňovej lehote (t.j. toto navrhované ustanovenie je </w:t>
      </w:r>
      <w:proofErr w:type="spellStart"/>
      <w:r>
        <w:rPr>
          <w:rFonts w:ascii="Arial" w:hAnsi="Arial" w:cs="Arial"/>
          <w:sz w:val="20"/>
          <w:szCs w:val="20"/>
        </w:rPr>
        <w:t>lex</w:t>
      </w:r>
      <w:proofErr w:type="spellEnd"/>
      <w:r>
        <w:rPr>
          <w:rFonts w:ascii="Arial" w:hAnsi="Arial" w:cs="Arial"/>
          <w:sz w:val="20"/>
          <w:szCs w:val="20"/>
        </w:rPr>
        <w:t xml:space="preserve"> </w:t>
      </w:r>
      <w:proofErr w:type="spellStart"/>
      <w:r>
        <w:rPr>
          <w:rFonts w:ascii="Arial" w:hAnsi="Arial" w:cs="Arial"/>
          <w:sz w:val="20"/>
          <w:szCs w:val="20"/>
        </w:rPr>
        <w:t>specialis</w:t>
      </w:r>
      <w:proofErr w:type="spellEnd"/>
      <w:r>
        <w:rPr>
          <w:rFonts w:ascii="Arial" w:hAnsi="Arial" w:cs="Arial"/>
          <w:sz w:val="20"/>
          <w:szCs w:val="20"/>
        </w:rPr>
        <w:t xml:space="preserve"> k inštitútu odstúpenia od zmluvy podľa OZ), alebo by mal platiť pri odstúpení podľa tohto ustanovenia záver, že si zmluvné strany vrátia vzájomné plnenia (t.j. poisťovňa vráti zaplatené poistné a poistený vráti poisťovni poistné plnenie).</w:t>
      </w:r>
      <w:r>
        <w:t xml:space="preserve"> </w:t>
      </w:r>
      <w:r>
        <w:br/>
      </w:r>
    </w:p>
    <w:sectPr w:rsidR="00BD17A8" w:rsidSect="00BD17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92763"/>
    <w:rsid w:val="00692763"/>
    <w:rsid w:val="00BD17A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D17A8"/>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4386</Characters>
  <Application>Microsoft Office Word</Application>
  <DocSecurity>0</DocSecurity>
  <Lines>36</Lines>
  <Paragraphs>10</Paragraphs>
  <ScaleCrop>false</ScaleCrop>
  <Company>HP</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2014-01-30T08:26:00Z</dcterms:created>
  <dcterms:modified xsi:type="dcterms:W3CDTF">2014-01-30T08:26:00Z</dcterms:modified>
</cp:coreProperties>
</file>